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A7AB" w14:textId="50D22A21" w:rsidR="000E0C9D" w:rsidRDefault="000E0C9D" w:rsidP="00A37CE0">
      <w:pPr>
        <w:jc w:val="both"/>
        <w:rPr>
          <w:rFonts w:ascii="Times New Roman" w:hAnsi="Times New Roman" w:cs="Times New Roman"/>
          <w:b/>
          <w:bCs/>
        </w:rPr>
      </w:pPr>
      <w:r>
        <w:rPr>
          <w:rFonts w:ascii="Century Gothic" w:hAnsi="Century Gothic"/>
          <w:b/>
          <w:bCs/>
          <w:noProof/>
          <w:sz w:val="28"/>
          <w:szCs w:val="28"/>
        </w:rPr>
        <w:drawing>
          <wp:inline distT="0" distB="0" distL="0" distR="0" wp14:anchorId="29A71A1E" wp14:editId="0AA1BA7B">
            <wp:extent cx="920323" cy="542925"/>
            <wp:effectExtent l="0" t="0" r="0" b="0"/>
            <wp:docPr id="208585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58158" name="Picture 20858581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873" cy="545609"/>
                    </a:xfrm>
                    <a:prstGeom prst="rect">
                      <a:avLst/>
                    </a:prstGeom>
                  </pic:spPr>
                </pic:pic>
              </a:graphicData>
            </a:graphic>
          </wp:inline>
        </w:drawing>
      </w:r>
    </w:p>
    <w:p w14:paraId="083A71D7" w14:textId="77777777" w:rsidR="000E0C9D" w:rsidRDefault="000E0C9D" w:rsidP="000E0C9D">
      <w:pPr>
        <w:jc w:val="center"/>
        <w:rPr>
          <w:rFonts w:ascii="Century Gothic" w:hAnsi="Century Gothic"/>
          <w:b/>
          <w:bCs/>
          <w:sz w:val="28"/>
          <w:szCs w:val="28"/>
        </w:rPr>
      </w:pPr>
    </w:p>
    <w:p w14:paraId="0E6E82F6" w14:textId="3392224B" w:rsidR="000E0C9D" w:rsidRPr="000E0C9D" w:rsidRDefault="000E0C9D" w:rsidP="000E0C9D">
      <w:pPr>
        <w:jc w:val="center"/>
        <w:rPr>
          <w:rFonts w:ascii="Century Gothic" w:hAnsi="Century Gothic"/>
          <w:b/>
          <w:bCs/>
          <w:sz w:val="28"/>
          <w:szCs w:val="28"/>
        </w:rPr>
      </w:pPr>
      <w:r w:rsidRPr="000E0C9D">
        <w:rPr>
          <w:rFonts w:ascii="Century Gothic" w:hAnsi="Century Gothic"/>
          <w:b/>
          <w:bCs/>
          <w:sz w:val="28"/>
          <w:szCs w:val="28"/>
        </w:rPr>
        <w:t>Energy Poverty, Energy Affordability, and Demand Modelling</w:t>
      </w:r>
    </w:p>
    <w:p w14:paraId="139BB47D" w14:textId="77777777" w:rsidR="000E0C9D" w:rsidRPr="00156178" w:rsidRDefault="000E0C9D" w:rsidP="000E0C9D">
      <w:pPr>
        <w:jc w:val="center"/>
        <w:rPr>
          <w:rFonts w:ascii="Century Gothic" w:hAnsi="Century Gothic"/>
          <w:b/>
          <w:bCs/>
          <w:sz w:val="28"/>
          <w:szCs w:val="28"/>
        </w:rPr>
      </w:pPr>
    </w:p>
    <w:p w14:paraId="45B03906" w14:textId="77777777" w:rsidR="000E0C9D" w:rsidRPr="00156178" w:rsidRDefault="000E0C9D" w:rsidP="000E0C9D">
      <w:pPr>
        <w:jc w:val="center"/>
        <w:rPr>
          <w:rFonts w:ascii="Century Gothic" w:hAnsi="Century Gothic"/>
          <w:b/>
          <w:bCs/>
          <w:sz w:val="28"/>
          <w:szCs w:val="28"/>
        </w:rPr>
      </w:pPr>
    </w:p>
    <w:p w14:paraId="14887818" w14:textId="77777777" w:rsidR="000E0C9D" w:rsidRPr="00156178" w:rsidRDefault="000E0C9D" w:rsidP="000E0C9D">
      <w:pPr>
        <w:jc w:val="center"/>
        <w:rPr>
          <w:rFonts w:ascii="Century Gothic" w:hAnsi="Century Gothic"/>
          <w:b/>
          <w:bCs/>
          <w:sz w:val="28"/>
          <w:szCs w:val="28"/>
        </w:rPr>
      </w:pPr>
      <w:r w:rsidRPr="00156178">
        <w:rPr>
          <w:rFonts w:ascii="Century Gothic" w:hAnsi="Century Gothic"/>
          <w:b/>
          <w:bCs/>
          <w:sz w:val="28"/>
          <w:szCs w:val="28"/>
        </w:rPr>
        <w:t>by:</w:t>
      </w:r>
      <w:r w:rsidRPr="00156178">
        <w:rPr>
          <w:rFonts w:ascii="Century Gothic" w:hAnsi="Century Gothic"/>
          <w:b/>
          <w:bCs/>
          <w:sz w:val="28"/>
          <w:szCs w:val="28"/>
        </w:rPr>
        <w:br/>
        <w:t>African Energy Research (AER)</w:t>
      </w:r>
    </w:p>
    <w:p w14:paraId="5273ED2F" w14:textId="77777777" w:rsidR="000E0C9D" w:rsidRPr="00156178" w:rsidRDefault="000E0C9D" w:rsidP="000E0C9D">
      <w:pPr>
        <w:jc w:val="center"/>
        <w:rPr>
          <w:rFonts w:ascii="Century Gothic" w:hAnsi="Century Gothic"/>
          <w:b/>
          <w:bCs/>
          <w:sz w:val="28"/>
          <w:szCs w:val="28"/>
        </w:rPr>
      </w:pPr>
    </w:p>
    <w:p w14:paraId="445F1451" w14:textId="77777777" w:rsidR="000E0C9D" w:rsidRPr="00156178" w:rsidRDefault="000E0C9D" w:rsidP="000E0C9D">
      <w:pPr>
        <w:jc w:val="center"/>
        <w:rPr>
          <w:rFonts w:ascii="Century Gothic" w:hAnsi="Century Gothic"/>
          <w:b/>
          <w:bCs/>
          <w:sz w:val="28"/>
          <w:szCs w:val="28"/>
        </w:rPr>
      </w:pPr>
    </w:p>
    <w:p w14:paraId="0E9B4504" w14:textId="77777777" w:rsidR="000E0C9D" w:rsidRPr="00156178" w:rsidRDefault="000E0C9D" w:rsidP="000E0C9D">
      <w:pPr>
        <w:jc w:val="center"/>
        <w:rPr>
          <w:rFonts w:ascii="Century Gothic" w:hAnsi="Century Gothic"/>
          <w:b/>
          <w:bCs/>
          <w:sz w:val="28"/>
          <w:szCs w:val="28"/>
        </w:rPr>
      </w:pPr>
    </w:p>
    <w:p w14:paraId="75B358E8" w14:textId="452DE95F" w:rsidR="000E0C9D" w:rsidRPr="00156178" w:rsidRDefault="000E0C9D" w:rsidP="000E0C9D">
      <w:pPr>
        <w:jc w:val="center"/>
        <w:rPr>
          <w:rFonts w:ascii="Century Gothic" w:hAnsi="Century Gothic"/>
          <w:b/>
          <w:bCs/>
          <w:sz w:val="28"/>
          <w:szCs w:val="28"/>
        </w:rPr>
      </w:pPr>
      <w:r w:rsidRPr="00156178">
        <w:rPr>
          <w:rFonts w:ascii="Century Gothic" w:hAnsi="Century Gothic"/>
          <w:b/>
          <w:bCs/>
          <w:sz w:val="28"/>
          <w:szCs w:val="28"/>
        </w:rPr>
        <w:t>Research Team</w:t>
      </w:r>
    </w:p>
    <w:p w14:paraId="7C66ADCB" w14:textId="77777777" w:rsidR="000E0C9D" w:rsidRPr="00156178" w:rsidRDefault="000E0C9D" w:rsidP="000E0C9D">
      <w:pPr>
        <w:jc w:val="center"/>
        <w:rPr>
          <w:rFonts w:ascii="Century Gothic" w:hAnsi="Century Gothic"/>
          <w:b/>
          <w:bCs/>
          <w:sz w:val="28"/>
          <w:szCs w:val="28"/>
        </w:rPr>
      </w:pPr>
    </w:p>
    <w:p w14:paraId="0A264C25" w14:textId="77777777" w:rsidR="000E0C9D" w:rsidRPr="00156178" w:rsidRDefault="000E0C9D" w:rsidP="000E0C9D">
      <w:pPr>
        <w:jc w:val="center"/>
        <w:rPr>
          <w:rFonts w:ascii="Century Gothic" w:hAnsi="Century Gothic"/>
          <w:b/>
          <w:bCs/>
          <w:sz w:val="28"/>
          <w:szCs w:val="28"/>
        </w:rPr>
      </w:pPr>
    </w:p>
    <w:p w14:paraId="7A43E39B" w14:textId="77777777" w:rsidR="000E0C9D" w:rsidRPr="00156178" w:rsidRDefault="000E0C9D" w:rsidP="000E0C9D">
      <w:pPr>
        <w:jc w:val="center"/>
        <w:rPr>
          <w:rFonts w:ascii="Century Gothic" w:hAnsi="Century Gothic"/>
          <w:b/>
          <w:bCs/>
          <w:sz w:val="28"/>
          <w:szCs w:val="28"/>
        </w:rPr>
      </w:pPr>
    </w:p>
    <w:p w14:paraId="197FAC0B" w14:textId="0D9F8BBA" w:rsidR="000E0C9D" w:rsidRPr="00156178" w:rsidRDefault="000E0C9D" w:rsidP="000E0C9D">
      <w:pPr>
        <w:jc w:val="center"/>
        <w:rPr>
          <w:rFonts w:ascii="Century Gothic" w:hAnsi="Century Gothic"/>
          <w:b/>
          <w:bCs/>
          <w:sz w:val="28"/>
          <w:szCs w:val="28"/>
        </w:rPr>
      </w:pPr>
      <w:r w:rsidRPr="00156178">
        <w:rPr>
          <w:rFonts w:ascii="Century Gothic" w:hAnsi="Century Gothic"/>
          <w:b/>
          <w:bCs/>
          <w:sz w:val="28"/>
          <w:szCs w:val="28"/>
        </w:rPr>
        <w:t>Date:</w:t>
      </w:r>
      <w:r>
        <w:rPr>
          <w:rFonts w:ascii="Century Gothic" w:hAnsi="Century Gothic"/>
          <w:b/>
          <w:bCs/>
          <w:sz w:val="28"/>
          <w:szCs w:val="28"/>
        </w:rPr>
        <w:t xml:space="preserve"> March, 2026</w:t>
      </w:r>
    </w:p>
    <w:p w14:paraId="51F7E9DA" w14:textId="77777777" w:rsidR="000E0C9D" w:rsidRPr="00F17C25" w:rsidRDefault="000E0C9D" w:rsidP="000E0C9D">
      <w:pPr>
        <w:jc w:val="center"/>
        <w:rPr>
          <w:rFonts w:ascii="Century Gothic" w:hAnsi="Century Gothic"/>
          <w:sz w:val="28"/>
          <w:szCs w:val="28"/>
        </w:rPr>
      </w:pPr>
    </w:p>
    <w:p w14:paraId="2ED33174" w14:textId="77777777" w:rsidR="000E0C9D" w:rsidRPr="00F17C25" w:rsidRDefault="000E0C9D" w:rsidP="000E0C9D">
      <w:pPr>
        <w:jc w:val="center"/>
        <w:rPr>
          <w:rFonts w:ascii="Century Gothic" w:hAnsi="Century Gothic"/>
          <w:sz w:val="28"/>
          <w:szCs w:val="28"/>
        </w:rPr>
      </w:pPr>
    </w:p>
    <w:p w14:paraId="771D0023" w14:textId="77777777" w:rsidR="000E0C9D" w:rsidRDefault="000E0C9D" w:rsidP="000E0C9D">
      <w:pPr>
        <w:rPr>
          <w:rFonts w:ascii="Century Gothic" w:hAnsi="Century Gothic"/>
          <w:sz w:val="28"/>
          <w:szCs w:val="28"/>
        </w:rPr>
      </w:pPr>
    </w:p>
    <w:p w14:paraId="2E9B261E" w14:textId="77777777" w:rsidR="000E0C9D" w:rsidRDefault="000E0C9D" w:rsidP="000E0C9D">
      <w:pPr>
        <w:rPr>
          <w:rFonts w:ascii="Century Gothic" w:hAnsi="Century Gothic"/>
          <w:sz w:val="28"/>
          <w:szCs w:val="28"/>
        </w:rPr>
      </w:pPr>
    </w:p>
    <w:p w14:paraId="111219DA" w14:textId="77777777" w:rsidR="000E0C9D" w:rsidRDefault="000E0C9D" w:rsidP="000E0C9D">
      <w:pPr>
        <w:jc w:val="center"/>
        <w:rPr>
          <w:rFonts w:ascii="Century Gothic" w:hAnsi="Century Gothic"/>
          <w:b/>
          <w:bCs/>
          <w:sz w:val="20"/>
          <w:szCs w:val="20"/>
        </w:rPr>
      </w:pPr>
    </w:p>
    <w:p w14:paraId="7E768893" w14:textId="77777777" w:rsidR="000E0C9D" w:rsidRDefault="000E0C9D" w:rsidP="000E0C9D">
      <w:pPr>
        <w:jc w:val="center"/>
        <w:rPr>
          <w:rFonts w:ascii="Century Gothic" w:hAnsi="Century Gothic"/>
          <w:b/>
          <w:bCs/>
        </w:rPr>
      </w:pPr>
    </w:p>
    <w:p w14:paraId="73FDA2CA" w14:textId="77777777" w:rsidR="000E0C9D" w:rsidRDefault="000E0C9D" w:rsidP="00A37CE0">
      <w:pPr>
        <w:jc w:val="both"/>
        <w:rPr>
          <w:rFonts w:ascii="Times New Roman" w:hAnsi="Times New Roman" w:cs="Times New Roman"/>
          <w:b/>
          <w:bCs/>
        </w:rPr>
      </w:pPr>
    </w:p>
    <w:p w14:paraId="69DE8EC1" w14:textId="77777777" w:rsidR="000E0C9D" w:rsidRDefault="000E0C9D" w:rsidP="00A37CE0">
      <w:pPr>
        <w:jc w:val="both"/>
        <w:rPr>
          <w:rFonts w:ascii="Times New Roman" w:hAnsi="Times New Roman" w:cs="Times New Roman"/>
          <w:b/>
          <w:bCs/>
        </w:rPr>
      </w:pPr>
    </w:p>
    <w:p w14:paraId="24F2E30B" w14:textId="3EC82E55"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lastRenderedPageBreak/>
        <w:t>Executive Summary</w:t>
      </w:r>
    </w:p>
    <w:p w14:paraId="14FCE7ED" w14:textId="6DF8AFC3" w:rsidR="00A37CE0" w:rsidRPr="00A37CE0" w:rsidRDefault="00A37CE0" w:rsidP="00A37CE0">
      <w:pPr>
        <w:jc w:val="both"/>
        <w:rPr>
          <w:rFonts w:ascii="Times New Roman" w:hAnsi="Times New Roman" w:cs="Times New Roman"/>
        </w:rPr>
      </w:pPr>
      <w:r w:rsidRPr="00A37CE0">
        <w:rPr>
          <w:rFonts w:ascii="Times New Roman" w:hAnsi="Times New Roman" w:cs="Times New Roman"/>
        </w:rPr>
        <w:t>Energy poverty remains a critical structural constraint on global oil and gas demand growth, with 730 million people worldwide lacking electricity access as of 2024</w:t>
      </w:r>
      <w:r>
        <w:rPr>
          <w:rFonts w:ascii="Times New Roman" w:hAnsi="Times New Roman" w:cs="Times New Roman"/>
        </w:rPr>
        <w:t xml:space="preserve"> </w:t>
      </w:r>
      <w:r w:rsidRPr="00A37CE0">
        <w:rPr>
          <w:rFonts w:ascii="Times New Roman" w:hAnsi="Times New Roman" w:cs="Times New Roman"/>
        </w:rPr>
        <w:t>declining by only 11 million from 2023, a pace slower than pre-pandemic levels</w:t>
      </w:r>
      <w:bookmarkStart w:id="0" w:name="_Ref224090096"/>
      <w:r>
        <w:rPr>
          <w:rStyle w:val="FootnoteReference"/>
          <w:rFonts w:ascii="Times New Roman" w:hAnsi="Times New Roman" w:cs="Times New Roman"/>
        </w:rPr>
        <w:footnoteReference w:id="1"/>
      </w:r>
      <w:bookmarkEnd w:id="0"/>
      <w:r w:rsidRPr="00A37CE0">
        <w:rPr>
          <w:rFonts w:ascii="Times New Roman" w:hAnsi="Times New Roman" w:cs="Times New Roman"/>
        </w:rPr>
        <w:t xml:space="preserve"> . Sub-Saharan Africa accounts for 80% of the global access deficit, where population growth continues to outpace electrification despite record solar PV imports and grid expansion</w:t>
      </w:r>
      <w:r w:rsidR="00403275">
        <w:rPr>
          <w:rFonts w:ascii="Times New Roman" w:hAnsi="Times New Roman" w:cs="Times New Roman"/>
        </w:rPr>
        <w:fldChar w:fldCharType="begin"/>
      </w:r>
      <w:r w:rsidR="00403275">
        <w:rPr>
          <w:rFonts w:ascii="Times New Roman" w:hAnsi="Times New Roman" w:cs="Times New Roman"/>
        </w:rPr>
        <w:instrText xml:space="preserve"> NOTEREF _Ref224090096 \f \h </w:instrText>
      </w:r>
      <w:r w:rsidR="00403275">
        <w:rPr>
          <w:rFonts w:ascii="Times New Roman" w:hAnsi="Times New Roman" w:cs="Times New Roman"/>
        </w:rPr>
      </w:r>
      <w:r w:rsidR="00403275">
        <w:rPr>
          <w:rFonts w:ascii="Times New Roman" w:hAnsi="Times New Roman" w:cs="Times New Roman"/>
        </w:rPr>
        <w:fldChar w:fldCharType="separate"/>
      </w:r>
      <w:r w:rsidR="00403275" w:rsidRPr="00403275">
        <w:rPr>
          <w:rStyle w:val="FootnoteReference"/>
        </w:rPr>
        <w:t>1</w:t>
      </w:r>
      <w:r w:rsidR="00403275">
        <w:rPr>
          <w:rFonts w:ascii="Times New Roman" w:hAnsi="Times New Roman" w:cs="Times New Roman"/>
        </w:rPr>
        <w:fldChar w:fldCharType="end"/>
      </w:r>
      <w:r w:rsidRPr="00A37CE0">
        <w:rPr>
          <w:rFonts w:ascii="Times New Roman" w:hAnsi="Times New Roman" w:cs="Times New Roman"/>
        </w:rPr>
        <w:t xml:space="preserve"> .</w:t>
      </w:r>
    </w:p>
    <w:p w14:paraId="38E282FB" w14:textId="62B93AA9" w:rsidR="00A37CE0" w:rsidRPr="00A37CE0" w:rsidRDefault="00A37CE0" w:rsidP="00A37CE0">
      <w:pPr>
        <w:jc w:val="both"/>
        <w:rPr>
          <w:rFonts w:ascii="Times New Roman" w:hAnsi="Times New Roman" w:cs="Times New Roman"/>
        </w:rPr>
      </w:pPr>
      <w:r w:rsidRPr="00A37CE0">
        <w:rPr>
          <w:rFonts w:ascii="Times New Roman" w:hAnsi="Times New Roman" w:cs="Times New Roman"/>
        </w:rPr>
        <w:t>From a demand modelling perspective, developing economies exhibit income elasticities of 1.2–1.9 for total energy demand</w:t>
      </w:r>
      <w:r w:rsidR="00403275">
        <w:rPr>
          <w:rFonts w:ascii="Times New Roman" w:hAnsi="Times New Roman" w:cs="Times New Roman"/>
        </w:rPr>
        <w:t xml:space="preserve"> </w:t>
      </w:r>
      <w:r w:rsidRPr="00A37CE0">
        <w:rPr>
          <w:rFonts w:ascii="Times New Roman" w:hAnsi="Times New Roman" w:cs="Times New Roman"/>
        </w:rPr>
        <w:t>significantly higher than OECD ranges of 0.8–1.1</w:t>
      </w:r>
      <w:r w:rsidR="00403275">
        <w:rPr>
          <w:rFonts w:ascii="Times New Roman" w:hAnsi="Times New Roman" w:cs="Times New Roman"/>
        </w:rPr>
        <w:t xml:space="preserve">, </w:t>
      </w:r>
      <w:r w:rsidRPr="00A37CE0">
        <w:rPr>
          <w:rFonts w:ascii="Times New Roman" w:hAnsi="Times New Roman" w:cs="Times New Roman"/>
        </w:rPr>
        <w:t>indicating that GDP growth in emerging markets drives disproportionately higher energy consumption</w:t>
      </w:r>
      <w:bookmarkStart w:id="1" w:name="_Ref224091629"/>
      <w:r w:rsidR="00403275">
        <w:rPr>
          <w:rStyle w:val="FootnoteReference"/>
          <w:rFonts w:ascii="Times New Roman" w:hAnsi="Times New Roman" w:cs="Times New Roman"/>
        </w:rPr>
        <w:footnoteReference w:id="2"/>
      </w:r>
      <w:bookmarkEnd w:id="1"/>
      <w:r w:rsidRPr="00A37CE0">
        <w:rPr>
          <w:rFonts w:ascii="Times New Roman" w:hAnsi="Times New Roman" w:cs="Times New Roman"/>
        </w:rPr>
        <w:t>. OPEC's latest World Oil Outlook projects non-OECD oil demand to increase by 26.1 mboe/d by 2050, with Africa contributing 4.1 mboe/d of incremental demand</w:t>
      </w:r>
      <w:bookmarkStart w:id="2" w:name="_Ref224091984"/>
      <w:r w:rsidR="00403275">
        <w:rPr>
          <w:rStyle w:val="FootnoteReference"/>
          <w:rFonts w:ascii="Times New Roman" w:hAnsi="Times New Roman" w:cs="Times New Roman"/>
        </w:rPr>
        <w:footnoteReference w:id="3"/>
      </w:r>
      <w:bookmarkEnd w:id="2"/>
      <w:r w:rsidRPr="00A37CE0">
        <w:rPr>
          <w:rFonts w:ascii="Times New Roman" w:hAnsi="Times New Roman" w:cs="Times New Roman"/>
        </w:rPr>
        <w:t>. However, affordability constraints persist: household energy bills in emerging markets are projected to rise 80% by 2050, outpacing disposable income growth</w:t>
      </w:r>
      <w:r w:rsidR="00403275">
        <w:rPr>
          <w:rFonts w:ascii="Times New Roman" w:hAnsi="Times New Roman" w:cs="Times New Roman"/>
        </w:rPr>
        <w:fldChar w:fldCharType="begin"/>
      </w:r>
      <w:r w:rsidR="00403275">
        <w:rPr>
          <w:rFonts w:ascii="Times New Roman" w:hAnsi="Times New Roman" w:cs="Times New Roman"/>
        </w:rPr>
        <w:instrText xml:space="preserve"> NOTEREF _Ref224090096 \f \h </w:instrText>
      </w:r>
      <w:r w:rsidR="00403275">
        <w:rPr>
          <w:rFonts w:ascii="Times New Roman" w:hAnsi="Times New Roman" w:cs="Times New Roman"/>
        </w:rPr>
      </w:r>
      <w:r w:rsidR="00403275">
        <w:rPr>
          <w:rFonts w:ascii="Times New Roman" w:hAnsi="Times New Roman" w:cs="Times New Roman"/>
        </w:rPr>
        <w:fldChar w:fldCharType="separate"/>
      </w:r>
      <w:r w:rsidR="00403275" w:rsidRPr="00403275">
        <w:rPr>
          <w:rStyle w:val="FootnoteReference"/>
        </w:rPr>
        <w:t>1</w:t>
      </w:r>
      <w:r w:rsidR="00403275">
        <w:rPr>
          <w:rFonts w:ascii="Times New Roman" w:hAnsi="Times New Roman" w:cs="Times New Roman"/>
        </w:rPr>
        <w:fldChar w:fldCharType="end"/>
      </w:r>
    </w:p>
    <w:p w14:paraId="64C79EBD" w14:textId="7DC2E4EC" w:rsidR="00A37CE0" w:rsidRPr="00A37CE0" w:rsidRDefault="00A37CE0" w:rsidP="00A37CE0">
      <w:pPr>
        <w:jc w:val="both"/>
        <w:rPr>
          <w:rFonts w:ascii="Times New Roman" w:hAnsi="Times New Roman" w:cs="Times New Roman"/>
        </w:rPr>
      </w:pPr>
      <w:r w:rsidRPr="00A37CE0">
        <w:rPr>
          <w:rFonts w:ascii="Times New Roman" w:hAnsi="Times New Roman" w:cs="Times New Roman"/>
          <w:b/>
          <w:bCs/>
        </w:rPr>
        <w:t>Key Investment Implication:</w:t>
      </w:r>
      <w:r w:rsidRPr="00A37CE0">
        <w:rPr>
          <w:rFonts w:ascii="Times New Roman" w:hAnsi="Times New Roman" w:cs="Times New Roman"/>
        </w:rPr>
        <w:t xml:space="preserve"> The divergence between high income elasticity in developing markets and stagnating access rates creates a bifurcated demand outlook</w:t>
      </w:r>
      <w:r w:rsidR="00425AFA">
        <w:rPr>
          <w:rFonts w:ascii="Times New Roman" w:hAnsi="Times New Roman" w:cs="Times New Roman"/>
        </w:rPr>
        <w:t xml:space="preserve"> </w:t>
      </w:r>
      <w:r w:rsidRPr="00A37CE0">
        <w:rPr>
          <w:rFonts w:ascii="Times New Roman" w:hAnsi="Times New Roman" w:cs="Times New Roman"/>
        </w:rPr>
        <w:t>robust long-term growth potential constrained by near-term affordability barriers and sovereign debt burdens.</w:t>
      </w:r>
    </w:p>
    <w:p w14:paraId="5921A468" w14:textId="770C593B" w:rsidR="00A37CE0" w:rsidRPr="00A37CE0" w:rsidRDefault="00A37CE0" w:rsidP="00A37CE0">
      <w:pPr>
        <w:jc w:val="both"/>
        <w:rPr>
          <w:rFonts w:ascii="Times New Roman" w:hAnsi="Times New Roman" w:cs="Times New Roman"/>
        </w:rPr>
      </w:pPr>
    </w:p>
    <w:p w14:paraId="7AAD0B42"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Background and Context</w:t>
      </w:r>
    </w:p>
    <w:p w14:paraId="1A5B969B" w14:textId="46AD7A52" w:rsidR="00425AFA" w:rsidRPr="00A37CE0" w:rsidRDefault="00A37CE0" w:rsidP="00A37CE0">
      <w:pPr>
        <w:jc w:val="both"/>
        <w:rPr>
          <w:rFonts w:ascii="Times New Roman" w:hAnsi="Times New Roman" w:cs="Times New Roman"/>
        </w:rPr>
      </w:pPr>
      <w:r w:rsidRPr="00A37CE0">
        <w:rPr>
          <w:rFonts w:ascii="Times New Roman" w:hAnsi="Times New Roman" w:cs="Times New Roman"/>
        </w:rPr>
        <w:t>Energy poverty</w:t>
      </w:r>
      <w:r w:rsidR="00425AFA">
        <w:rPr>
          <w:rFonts w:ascii="Times New Roman" w:hAnsi="Times New Roman" w:cs="Times New Roman"/>
        </w:rPr>
        <w:t xml:space="preserve"> </w:t>
      </w:r>
      <w:r w:rsidRPr="00A37CE0">
        <w:rPr>
          <w:rFonts w:ascii="Times New Roman" w:hAnsi="Times New Roman" w:cs="Times New Roman"/>
        </w:rPr>
        <w:t>defined as lack of access to modern energy services or excessive energy expenditure relative to income</w:t>
      </w:r>
      <w:r w:rsidR="00425AFA">
        <w:rPr>
          <w:rFonts w:ascii="Times New Roman" w:hAnsi="Times New Roman" w:cs="Times New Roman"/>
        </w:rPr>
        <w:t xml:space="preserve"> </w:t>
      </w:r>
      <w:r w:rsidRPr="00A37CE0">
        <w:rPr>
          <w:rFonts w:ascii="Times New Roman" w:hAnsi="Times New Roman" w:cs="Times New Roman"/>
        </w:rPr>
        <w:t>represents both a humanitarian challenge and a market structural factor. The IEA estimates that 730 million people lacked electricity access in 2024, with sub-Saharan Africa hosting 600 million of this population. Despite universal access achievements in India and Indonesia, progress has stalled in Pakistan, Afghanistan, and across much of Africa due to elevated debt burdens, high borrowing costs, and declining development finance</w:t>
      </w:r>
      <w:r w:rsidR="00425AFA">
        <w:rPr>
          <w:rFonts w:ascii="Times New Roman" w:hAnsi="Times New Roman" w:cs="Times New Roman"/>
        </w:rPr>
        <w:fldChar w:fldCharType="begin"/>
      </w:r>
      <w:r w:rsidR="00425AFA">
        <w:rPr>
          <w:rFonts w:ascii="Times New Roman" w:hAnsi="Times New Roman" w:cs="Times New Roman"/>
        </w:rPr>
        <w:instrText xml:space="preserve"> NOTEREF _Ref224090096 \f \h </w:instrText>
      </w:r>
      <w:r w:rsidR="00425AFA">
        <w:rPr>
          <w:rFonts w:ascii="Times New Roman" w:hAnsi="Times New Roman" w:cs="Times New Roman"/>
        </w:rPr>
      </w:r>
      <w:r w:rsidR="00425AFA">
        <w:rPr>
          <w:rFonts w:ascii="Times New Roman" w:hAnsi="Times New Roman" w:cs="Times New Roman"/>
        </w:rPr>
        <w:fldChar w:fldCharType="separate"/>
      </w:r>
      <w:r w:rsidR="00425AFA" w:rsidRPr="00425AFA">
        <w:rPr>
          <w:rStyle w:val="FootnoteReference"/>
        </w:rPr>
        <w:t>1</w:t>
      </w:r>
      <w:r w:rsidR="00425AFA">
        <w:rPr>
          <w:rFonts w:ascii="Times New Roman" w:hAnsi="Times New Roman" w:cs="Times New Roman"/>
        </w:rPr>
        <w:fldChar w:fldCharType="end"/>
      </w:r>
      <w:r w:rsidRPr="00A37CE0">
        <w:rPr>
          <w:rFonts w:ascii="Times New Roman" w:hAnsi="Times New Roman" w:cs="Times New Roman"/>
        </w:rPr>
        <w:t>.</w:t>
      </w:r>
    </w:p>
    <w:p w14:paraId="337F0C25" w14:textId="45E4D17B" w:rsidR="00A37CE0" w:rsidRPr="00A37CE0" w:rsidRDefault="00A37CE0" w:rsidP="00A37CE0">
      <w:pPr>
        <w:jc w:val="both"/>
        <w:rPr>
          <w:rFonts w:ascii="Times New Roman" w:hAnsi="Times New Roman" w:cs="Times New Roman"/>
        </w:rPr>
      </w:pPr>
      <w:r w:rsidRPr="00A37CE0">
        <w:rPr>
          <w:rFonts w:ascii="Times New Roman" w:hAnsi="Times New Roman" w:cs="Times New Roman"/>
        </w:rPr>
        <w:t>The energy affordability crisis extends beyond access to include "hidden" energy poverty</w:t>
      </w:r>
      <w:r w:rsidR="00425AFA">
        <w:rPr>
          <w:rFonts w:ascii="Times New Roman" w:hAnsi="Times New Roman" w:cs="Times New Roman"/>
        </w:rPr>
        <w:t xml:space="preserve"> </w:t>
      </w:r>
      <w:r w:rsidRPr="00A37CE0">
        <w:rPr>
          <w:rFonts w:ascii="Times New Roman" w:hAnsi="Times New Roman" w:cs="Times New Roman"/>
        </w:rPr>
        <w:t xml:space="preserve">where households maintain grid connections but reduce consumption below essential levels due to cost constraints. In emerging market and developing economies, energy expenditure often exceeds 10% of household income, the threshold commonly cited for energy poverty, though systematic cross-country data remains limited </w:t>
      </w:r>
    </w:p>
    <w:p w14:paraId="2C01BBAA" w14:textId="4BC8803B" w:rsidR="00A37CE0" w:rsidRPr="00A37CE0" w:rsidRDefault="00425AFA" w:rsidP="00A37CE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65EC437A" wp14:editId="378D6666">
            <wp:extent cx="5267325" cy="5410263"/>
            <wp:effectExtent l="0" t="0" r="0" b="0"/>
            <wp:docPr id="16760099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09970" name="Picture 1676009970"/>
                    <pic:cNvPicPr/>
                  </pic:nvPicPr>
                  <pic:blipFill>
                    <a:blip r:embed="rId9">
                      <a:extLst>
                        <a:ext uri="{28A0092B-C50C-407E-A947-70E740481C1C}">
                          <a14:useLocalDpi xmlns:a14="http://schemas.microsoft.com/office/drawing/2010/main" val="0"/>
                        </a:ext>
                      </a:extLst>
                    </a:blip>
                    <a:stretch>
                      <a:fillRect/>
                    </a:stretch>
                  </pic:blipFill>
                  <pic:spPr>
                    <a:xfrm>
                      <a:off x="0" y="0"/>
                      <a:ext cx="5274059" cy="5417180"/>
                    </a:xfrm>
                    <a:prstGeom prst="rect">
                      <a:avLst/>
                    </a:prstGeom>
                  </pic:spPr>
                </pic:pic>
              </a:graphicData>
            </a:graphic>
          </wp:inline>
        </w:drawing>
      </w:r>
    </w:p>
    <w:p w14:paraId="59892287" w14:textId="557DB938" w:rsidR="00A37CE0" w:rsidRPr="00A37CE0" w:rsidRDefault="00A37CE0" w:rsidP="00A37CE0">
      <w:pPr>
        <w:jc w:val="both"/>
        <w:rPr>
          <w:rFonts w:ascii="Times New Roman" w:hAnsi="Times New Roman" w:cs="Times New Roman"/>
        </w:rPr>
      </w:pPr>
      <w:r w:rsidRPr="00A37CE0">
        <w:rPr>
          <w:rFonts w:ascii="Times New Roman" w:hAnsi="Times New Roman" w:cs="Times New Roman"/>
        </w:rPr>
        <mc:AlternateContent>
          <mc:Choice Requires="wps">
            <w:drawing>
              <wp:inline distT="0" distB="0" distL="0" distR="0" wp14:anchorId="466A8E8D" wp14:editId="41C59F51">
                <wp:extent cx="304800" cy="304800"/>
                <wp:effectExtent l="0" t="0" r="0" b="0"/>
                <wp:docPr id="1994111775" name="Rectangle 4" descr="Access to Electricity in Afr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E9E2A" id="Rectangle 4" o:spid="_x0000_s1026" alt="Access to Electricity in Afr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FE709A"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i/>
          <w:iCs/>
        </w:rPr>
        <w:t>Figure 1: Electricity access rates across Africa, showing significant regional disparities (Source: Economist/World Bank data)</w:t>
      </w:r>
    </w:p>
    <w:p w14:paraId="4832C2CC" w14:textId="490CEFB3" w:rsidR="00A37CE0" w:rsidRPr="00A37CE0" w:rsidRDefault="00A37CE0" w:rsidP="00A37CE0">
      <w:pPr>
        <w:jc w:val="both"/>
        <w:rPr>
          <w:rFonts w:ascii="Times New Roman" w:hAnsi="Times New Roman" w:cs="Times New Roman"/>
        </w:rPr>
      </w:pPr>
    </w:p>
    <w:p w14:paraId="5E67F9E1"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Key Findings and Data Insights</w:t>
      </w:r>
    </w:p>
    <w:p w14:paraId="55EA0A8C"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Electricity Access Stagnation</w:t>
      </w:r>
    </w:p>
    <w:p w14:paraId="0EA38696" w14:textId="77777777" w:rsidR="00A37CE0" w:rsidRPr="00A37CE0" w:rsidRDefault="00A37CE0" w:rsidP="00A37CE0">
      <w:pPr>
        <w:numPr>
          <w:ilvl w:val="0"/>
          <w:numId w:val="3"/>
        </w:numPr>
        <w:jc w:val="both"/>
        <w:rPr>
          <w:rFonts w:ascii="Times New Roman" w:hAnsi="Times New Roman" w:cs="Times New Roman"/>
        </w:rPr>
      </w:pPr>
      <w:r w:rsidRPr="00A37CE0">
        <w:rPr>
          <w:rFonts w:ascii="Times New Roman" w:hAnsi="Times New Roman" w:cs="Times New Roman"/>
          <w:b/>
          <w:bCs/>
        </w:rPr>
        <w:t>Global Access Gap:</w:t>
      </w:r>
      <w:r w:rsidRPr="00A37CE0">
        <w:rPr>
          <w:rFonts w:ascii="Times New Roman" w:hAnsi="Times New Roman" w:cs="Times New Roman"/>
        </w:rPr>
        <w:t xml:space="preserve"> 730 million people without electricity in 2024 (down from 750 million in 2023) </w:t>
      </w:r>
    </w:p>
    <w:p w14:paraId="326EE749" w14:textId="77777777" w:rsidR="00A37CE0" w:rsidRPr="00A37CE0" w:rsidRDefault="00A37CE0" w:rsidP="00A37CE0">
      <w:pPr>
        <w:numPr>
          <w:ilvl w:val="0"/>
          <w:numId w:val="3"/>
        </w:numPr>
        <w:jc w:val="both"/>
        <w:rPr>
          <w:rFonts w:ascii="Times New Roman" w:hAnsi="Times New Roman" w:cs="Times New Roman"/>
        </w:rPr>
      </w:pPr>
      <w:r w:rsidRPr="00A37CE0">
        <w:rPr>
          <w:rFonts w:ascii="Times New Roman" w:hAnsi="Times New Roman" w:cs="Times New Roman"/>
          <w:b/>
          <w:bCs/>
        </w:rPr>
        <w:lastRenderedPageBreak/>
        <w:t>Sub-Saharan Africa:</w:t>
      </w:r>
      <w:r w:rsidRPr="00A37CE0">
        <w:rPr>
          <w:rFonts w:ascii="Times New Roman" w:hAnsi="Times New Roman" w:cs="Times New Roman"/>
        </w:rPr>
        <w:t xml:space="preserve"> 80% of global deficit; only 4 million reduction in unconnected population in 2024 due to population growth offsetting 6.8 million new connections </w:t>
      </w:r>
    </w:p>
    <w:p w14:paraId="63AB973C" w14:textId="77777777" w:rsidR="00A37CE0" w:rsidRPr="00A37CE0" w:rsidRDefault="00A37CE0" w:rsidP="00A37CE0">
      <w:pPr>
        <w:numPr>
          <w:ilvl w:val="0"/>
          <w:numId w:val="3"/>
        </w:numPr>
        <w:jc w:val="both"/>
        <w:rPr>
          <w:rFonts w:ascii="Times New Roman" w:hAnsi="Times New Roman" w:cs="Times New Roman"/>
        </w:rPr>
      </w:pPr>
      <w:r w:rsidRPr="00A37CE0">
        <w:rPr>
          <w:rFonts w:ascii="Times New Roman" w:hAnsi="Times New Roman" w:cs="Times New Roman"/>
          <w:b/>
          <w:bCs/>
        </w:rPr>
        <w:t>Grid vs. Off-Grid:</w:t>
      </w:r>
      <w:r w:rsidRPr="00A37CE0">
        <w:rPr>
          <w:rFonts w:ascii="Times New Roman" w:hAnsi="Times New Roman" w:cs="Times New Roman"/>
        </w:rPr>
        <w:t xml:space="preserve"> Grid expansion and mini-grids drove 90% of new connections in sub-Saharan Africa in 2024, with grid connections rising 11% year-on-year </w:t>
      </w:r>
    </w:p>
    <w:p w14:paraId="48D5D015" w14:textId="77777777" w:rsidR="00A37CE0" w:rsidRPr="00A37CE0" w:rsidRDefault="00A37CE0" w:rsidP="00A37CE0">
      <w:pPr>
        <w:numPr>
          <w:ilvl w:val="0"/>
          <w:numId w:val="3"/>
        </w:numPr>
        <w:jc w:val="both"/>
        <w:rPr>
          <w:rFonts w:ascii="Times New Roman" w:hAnsi="Times New Roman" w:cs="Times New Roman"/>
        </w:rPr>
      </w:pPr>
      <w:r w:rsidRPr="00A37CE0">
        <w:rPr>
          <w:rFonts w:ascii="Times New Roman" w:hAnsi="Times New Roman" w:cs="Times New Roman"/>
          <w:b/>
          <w:bCs/>
        </w:rPr>
        <w:t>Solar Home Systems:</w:t>
      </w:r>
      <w:r w:rsidRPr="00A37CE0">
        <w:rPr>
          <w:rFonts w:ascii="Times New Roman" w:hAnsi="Times New Roman" w:cs="Times New Roman"/>
        </w:rPr>
        <w:t xml:space="preserve"> Global sales grew 4% in 2024, with sub-Saharan Africa recording 26% increase in new primary users, though mostly Tier 1 systems (basic lighting/phone charging only) </w:t>
      </w:r>
    </w:p>
    <w:p w14:paraId="4D9C9610"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Energy Demand Projections</w:t>
      </w:r>
    </w:p>
    <w:p w14:paraId="0B35B4E3" w14:textId="578BE804" w:rsidR="00A37CE0" w:rsidRPr="00A37CE0" w:rsidRDefault="00A37CE0" w:rsidP="00A37CE0">
      <w:pPr>
        <w:jc w:val="both"/>
        <w:rPr>
          <w:rFonts w:ascii="Times New Roman" w:hAnsi="Times New Roman" w:cs="Times New Roman"/>
        </w:rPr>
      </w:pPr>
      <w:r w:rsidRPr="00A37CE0">
        <w:rPr>
          <w:rFonts w:ascii="Times New Roman" w:hAnsi="Times New Roman" w:cs="Times New Roman"/>
        </w:rPr>
        <w:t>OPEC's World Oil Outlook 2050 projects</w:t>
      </w:r>
      <w:r w:rsidR="00B2296C">
        <w:rPr>
          <w:rFonts w:ascii="Times New Roman" w:hAnsi="Times New Roman" w:cs="Times New Roman"/>
        </w:rPr>
        <w:fldChar w:fldCharType="begin"/>
      </w:r>
      <w:r w:rsidR="00B2296C">
        <w:rPr>
          <w:rFonts w:ascii="Times New Roman" w:hAnsi="Times New Roman" w:cs="Times New Roman"/>
        </w:rPr>
        <w:instrText xml:space="preserve"> NOTEREF _Ref224091984 \f \h </w:instrText>
      </w:r>
      <w:r w:rsidR="00B2296C">
        <w:rPr>
          <w:rFonts w:ascii="Times New Roman" w:hAnsi="Times New Roman" w:cs="Times New Roman"/>
        </w:rPr>
      </w:r>
      <w:r w:rsidR="00B2296C">
        <w:rPr>
          <w:rFonts w:ascii="Times New Roman" w:hAnsi="Times New Roman" w:cs="Times New Roman"/>
        </w:rPr>
        <w:fldChar w:fldCharType="separate"/>
      </w:r>
      <w:r w:rsidR="00B2296C" w:rsidRPr="00B2296C">
        <w:rPr>
          <w:rStyle w:val="FootnoteReference"/>
        </w:rPr>
        <w:t>3</w:t>
      </w:r>
      <w:r w:rsidR="00B2296C">
        <w:rPr>
          <w:rFonts w:ascii="Times New Roman" w:hAnsi="Times New Roman" w:cs="Times New Roman"/>
        </w:rPr>
        <w:fldChar w:fldCharType="end"/>
      </w:r>
      <w:r w:rsidRPr="00A37CE0">
        <w:rPr>
          <w:rFonts w:ascii="Times New Roman" w:hAnsi="Times New Roman" w:cs="Times New Roman"/>
        </w:rPr>
        <w:t>:</w:t>
      </w:r>
    </w:p>
    <w:p w14:paraId="26693079" w14:textId="77777777" w:rsidR="00A37CE0" w:rsidRPr="00A37CE0" w:rsidRDefault="00A37CE0" w:rsidP="00A37CE0">
      <w:pPr>
        <w:numPr>
          <w:ilvl w:val="0"/>
          <w:numId w:val="4"/>
        </w:numPr>
        <w:jc w:val="both"/>
        <w:rPr>
          <w:rFonts w:ascii="Times New Roman" w:hAnsi="Times New Roman" w:cs="Times New Roman"/>
        </w:rPr>
      </w:pPr>
      <w:r w:rsidRPr="00A37CE0">
        <w:rPr>
          <w:rFonts w:ascii="Times New Roman" w:hAnsi="Times New Roman" w:cs="Times New Roman"/>
          <w:b/>
          <w:bCs/>
        </w:rPr>
        <w:t>Primary Energy Demand:</w:t>
      </w:r>
      <w:r w:rsidRPr="00A37CE0">
        <w:rPr>
          <w:rFonts w:ascii="Times New Roman" w:hAnsi="Times New Roman" w:cs="Times New Roman"/>
        </w:rPr>
        <w:t xml:space="preserve"> Global increase from 308 mboe/d (2024) to 378 mboe/d (2050), with non-OECD countries accounting for nearly all growth </w:t>
      </w:r>
    </w:p>
    <w:p w14:paraId="2C755ACA" w14:textId="77777777" w:rsidR="00A37CE0" w:rsidRPr="00A37CE0" w:rsidRDefault="00A37CE0" w:rsidP="00A37CE0">
      <w:pPr>
        <w:numPr>
          <w:ilvl w:val="0"/>
          <w:numId w:val="4"/>
        </w:numPr>
        <w:jc w:val="both"/>
        <w:rPr>
          <w:rFonts w:ascii="Times New Roman" w:hAnsi="Times New Roman" w:cs="Times New Roman"/>
        </w:rPr>
      </w:pPr>
      <w:r w:rsidRPr="00A37CE0">
        <w:rPr>
          <w:rFonts w:ascii="Times New Roman" w:hAnsi="Times New Roman" w:cs="Times New Roman"/>
          <w:b/>
          <w:bCs/>
        </w:rPr>
        <w:t>Regional Growth:</w:t>
      </w:r>
      <w:r w:rsidRPr="00A37CE0">
        <w:rPr>
          <w:rFonts w:ascii="Times New Roman" w:hAnsi="Times New Roman" w:cs="Times New Roman"/>
        </w:rPr>
        <w:t xml:space="preserve"> India (+21.6 mboe/d), Other Asia (+15.3 mboe/d), Africa (+4.1 mboe/d) </w:t>
      </w:r>
    </w:p>
    <w:p w14:paraId="2D28C024" w14:textId="77777777" w:rsidR="00A37CE0" w:rsidRPr="00A37CE0" w:rsidRDefault="00A37CE0" w:rsidP="00A37CE0">
      <w:pPr>
        <w:numPr>
          <w:ilvl w:val="0"/>
          <w:numId w:val="4"/>
        </w:numPr>
        <w:jc w:val="both"/>
        <w:rPr>
          <w:rFonts w:ascii="Times New Roman" w:hAnsi="Times New Roman" w:cs="Times New Roman"/>
        </w:rPr>
      </w:pPr>
      <w:r w:rsidRPr="00A37CE0">
        <w:rPr>
          <w:rFonts w:ascii="Times New Roman" w:hAnsi="Times New Roman" w:cs="Times New Roman"/>
          <w:b/>
          <w:bCs/>
        </w:rPr>
        <w:t>Oil Demand:</w:t>
      </w:r>
      <w:r w:rsidRPr="00A37CE0">
        <w:rPr>
          <w:rFonts w:ascii="Times New Roman" w:hAnsi="Times New Roman" w:cs="Times New Roman"/>
        </w:rPr>
        <w:t xml:space="preserve"> Non-OECD increase of 26.1 mboe/d by 2050, reaching 81.3 mboe/d </w:t>
      </w:r>
    </w:p>
    <w:p w14:paraId="0F5FE6DE" w14:textId="77777777" w:rsidR="00A37CE0" w:rsidRPr="00A37CE0" w:rsidRDefault="00A37CE0" w:rsidP="00A37CE0">
      <w:pPr>
        <w:numPr>
          <w:ilvl w:val="0"/>
          <w:numId w:val="4"/>
        </w:numPr>
        <w:jc w:val="both"/>
        <w:rPr>
          <w:rFonts w:ascii="Times New Roman" w:hAnsi="Times New Roman" w:cs="Times New Roman"/>
        </w:rPr>
      </w:pPr>
      <w:r w:rsidRPr="00A37CE0">
        <w:rPr>
          <w:rFonts w:ascii="Times New Roman" w:hAnsi="Times New Roman" w:cs="Times New Roman"/>
          <w:b/>
          <w:bCs/>
        </w:rPr>
        <w:t>Natural Gas:</w:t>
      </w:r>
      <w:r w:rsidRPr="00A37CE0">
        <w:rPr>
          <w:rFonts w:ascii="Times New Roman" w:hAnsi="Times New Roman" w:cs="Times New Roman"/>
        </w:rPr>
        <w:t xml:space="preserve"> Non-OECD demand rising from 40 mboe/d (2024) to 60.7 mboe/d (2050) </w:t>
      </w:r>
    </w:p>
    <w:p w14:paraId="6D28988E"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Affordability Constraints</w:t>
      </w:r>
    </w:p>
    <w:p w14:paraId="49716B7C" w14:textId="77777777" w:rsidR="00A37CE0" w:rsidRPr="00A37CE0" w:rsidRDefault="00A37CE0" w:rsidP="00A37CE0">
      <w:pPr>
        <w:numPr>
          <w:ilvl w:val="0"/>
          <w:numId w:val="5"/>
        </w:numPr>
        <w:jc w:val="both"/>
        <w:rPr>
          <w:rFonts w:ascii="Times New Roman" w:hAnsi="Times New Roman" w:cs="Times New Roman"/>
        </w:rPr>
      </w:pPr>
      <w:r w:rsidRPr="00A37CE0">
        <w:rPr>
          <w:rFonts w:ascii="Times New Roman" w:hAnsi="Times New Roman" w:cs="Times New Roman"/>
          <w:b/>
          <w:bCs/>
        </w:rPr>
        <w:t>Household Energy Bills:</w:t>
      </w:r>
      <w:r w:rsidRPr="00A37CE0">
        <w:rPr>
          <w:rFonts w:ascii="Times New Roman" w:hAnsi="Times New Roman" w:cs="Times New Roman"/>
        </w:rPr>
        <w:t xml:space="preserve"> In emerging markets, projected 80% increase by 2050 under stated policies scenario, exceeding disposable income growth </w:t>
      </w:r>
    </w:p>
    <w:p w14:paraId="1F353D1B" w14:textId="77777777" w:rsidR="00A37CE0" w:rsidRPr="00A37CE0" w:rsidRDefault="00A37CE0" w:rsidP="00A37CE0">
      <w:pPr>
        <w:numPr>
          <w:ilvl w:val="0"/>
          <w:numId w:val="5"/>
        </w:numPr>
        <w:jc w:val="both"/>
        <w:rPr>
          <w:rFonts w:ascii="Times New Roman" w:hAnsi="Times New Roman" w:cs="Times New Roman"/>
        </w:rPr>
      </w:pPr>
      <w:r w:rsidRPr="00A37CE0">
        <w:rPr>
          <w:rFonts w:ascii="Times New Roman" w:hAnsi="Times New Roman" w:cs="Times New Roman"/>
          <w:b/>
          <w:bCs/>
        </w:rPr>
        <w:t>Vulnerability to Price Shocks:</w:t>
      </w:r>
      <w:r w:rsidRPr="00A37CE0">
        <w:rPr>
          <w:rFonts w:ascii="Times New Roman" w:hAnsi="Times New Roman" w:cs="Times New Roman"/>
        </w:rPr>
        <w:t xml:space="preserve"> A fossil fuel price shock scenario (using 2010–2020 peak prices) would increase household energy costs by 35% in emerging markets vs. 25% in advanced economies </w:t>
      </w:r>
    </w:p>
    <w:p w14:paraId="5875EC1B" w14:textId="77777777" w:rsidR="00A37CE0" w:rsidRPr="00A37CE0" w:rsidRDefault="00A37CE0" w:rsidP="00A37CE0">
      <w:pPr>
        <w:numPr>
          <w:ilvl w:val="0"/>
          <w:numId w:val="5"/>
        </w:numPr>
        <w:jc w:val="both"/>
        <w:rPr>
          <w:rFonts w:ascii="Times New Roman" w:hAnsi="Times New Roman" w:cs="Times New Roman"/>
        </w:rPr>
      </w:pPr>
      <w:r w:rsidRPr="00A37CE0">
        <w:rPr>
          <w:rFonts w:ascii="Times New Roman" w:hAnsi="Times New Roman" w:cs="Times New Roman"/>
          <w:b/>
          <w:bCs/>
        </w:rPr>
        <w:t>Electricity Share:</w:t>
      </w:r>
      <w:r w:rsidRPr="00A37CE0">
        <w:rPr>
          <w:rFonts w:ascii="Times New Roman" w:hAnsi="Times New Roman" w:cs="Times New Roman"/>
        </w:rPr>
        <w:t xml:space="preserve"> By 2050, electricity projected to account for 90% of household energy bills in emerging markets (vs. 30% in 2020) </w:t>
      </w:r>
    </w:p>
    <w:p w14:paraId="3EEFA399" w14:textId="11D7FCCE" w:rsidR="00A37CE0" w:rsidRPr="00A37CE0" w:rsidRDefault="00A37CE0" w:rsidP="00A37CE0">
      <w:pPr>
        <w:jc w:val="both"/>
        <w:rPr>
          <w:rFonts w:ascii="Times New Roman" w:hAnsi="Times New Roman" w:cs="Times New Roman"/>
        </w:rPr>
      </w:pPr>
      <w:r w:rsidRPr="00A37CE0">
        <w:rPr>
          <w:rFonts w:ascii="Times New Roman" w:hAnsi="Times New Roman" w:cs="Times New Roman"/>
        </w:rPr>
        <w:lastRenderedPageBreak/>
        <mc:AlternateContent>
          <mc:Choice Requires="wps">
            <w:drawing>
              <wp:inline distT="0" distB="0" distL="0" distR="0" wp14:anchorId="6AE644ED" wp14:editId="199E233C">
                <wp:extent cx="304800" cy="304800"/>
                <wp:effectExtent l="0" t="0" r="0" b="0"/>
                <wp:docPr id="1348567908" name="Rectangle 3" descr="Energy vs Income in Afr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9292D" id="Rectangle 3" o:spid="_x0000_s1026" alt="Energy vs Income in Afr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A17ED">
        <w:rPr>
          <w:rFonts w:ascii="Times New Roman" w:hAnsi="Times New Roman" w:cs="Times New Roman"/>
          <w:noProof/>
        </w:rPr>
        <w:drawing>
          <wp:inline distT="0" distB="0" distL="0" distR="0" wp14:anchorId="260A27E8" wp14:editId="0CB1E222">
            <wp:extent cx="5448300" cy="3672364"/>
            <wp:effectExtent l="0" t="0" r="0" b="4445"/>
            <wp:docPr id="20926138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13885" name="Picture 20926138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54890" cy="3676806"/>
                    </a:xfrm>
                    <a:prstGeom prst="rect">
                      <a:avLst/>
                    </a:prstGeom>
                  </pic:spPr>
                </pic:pic>
              </a:graphicData>
            </a:graphic>
          </wp:inline>
        </w:drawing>
      </w:r>
    </w:p>
    <w:p w14:paraId="0A63EB9E"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i/>
          <w:iCs/>
        </w:rPr>
        <w:t>Figure 2: Relationship between electricity use and income per capita, highlighting that higher-income, low-energy countries do not exist in Africa (Source: Energy for Growth Hub)</w:t>
      </w:r>
    </w:p>
    <w:p w14:paraId="3652C75E" w14:textId="469E3038" w:rsidR="00A37CE0" w:rsidRPr="00A37CE0" w:rsidRDefault="00A37CE0" w:rsidP="00A37CE0">
      <w:pPr>
        <w:jc w:val="both"/>
        <w:rPr>
          <w:rFonts w:ascii="Times New Roman" w:hAnsi="Times New Roman" w:cs="Times New Roman"/>
        </w:rPr>
      </w:pPr>
    </w:p>
    <w:p w14:paraId="20B7391E"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Demand Modelling Implications for Energy Markets</w:t>
      </w:r>
    </w:p>
    <w:p w14:paraId="3016F0D1"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Econometric Approaches</w:t>
      </w:r>
    </w:p>
    <w:p w14:paraId="7B214F40"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rPr>
        <w:t>Energy demand modelling employs three primary methodological frameworks:</w:t>
      </w:r>
    </w:p>
    <w:p w14:paraId="205C2DD3" w14:textId="77777777" w:rsidR="009644DB" w:rsidRDefault="00A37CE0" w:rsidP="009644DB">
      <w:pPr>
        <w:rPr>
          <w:rFonts w:ascii="Times New Roman" w:hAnsi="Times New Roman" w:cs="Times New Roman"/>
          <w:b/>
          <w:bCs/>
        </w:rPr>
      </w:pPr>
      <w:r w:rsidRPr="00A37CE0">
        <w:rPr>
          <w:rFonts w:ascii="Times New Roman" w:hAnsi="Times New Roman" w:cs="Times New Roman"/>
          <w:b/>
          <w:bCs/>
        </w:rPr>
        <w:t>1.Econometric Elasticity Models</w:t>
      </w:r>
    </w:p>
    <w:p w14:paraId="47EA3579" w14:textId="5E7DEF8F" w:rsidR="00A37CE0" w:rsidRPr="00A37CE0" w:rsidRDefault="00A37CE0" w:rsidP="009644DB">
      <w:pPr>
        <w:rPr>
          <w:rFonts w:ascii="Times New Roman" w:hAnsi="Times New Roman" w:cs="Times New Roman"/>
        </w:rPr>
      </w:pPr>
      <w:r w:rsidRPr="00A37CE0">
        <w:rPr>
          <w:rFonts w:ascii="Times New Roman" w:hAnsi="Times New Roman" w:cs="Times New Roman"/>
        </w:rPr>
        <w:br/>
        <w:t>The standard approach estimates long-run relationships using the form:</w:t>
      </w:r>
      <w:r w:rsidRPr="00A37CE0">
        <w:rPr>
          <w:rFonts w:ascii="Times New Roman" w:hAnsi="Times New Roman" w:cs="Times New Roman"/>
        </w:rPr>
        <w:br/>
        <w:t>ln(E) = α + β₁ln(GDP) + β₂ln(Price) + ε</w:t>
      </w:r>
    </w:p>
    <w:p w14:paraId="794BB46F" w14:textId="3F1D250C" w:rsidR="00A37CE0" w:rsidRPr="00A37CE0" w:rsidRDefault="00A37CE0" w:rsidP="009644DB">
      <w:pPr>
        <w:rPr>
          <w:rFonts w:ascii="Times New Roman" w:hAnsi="Times New Roman" w:cs="Times New Roman"/>
        </w:rPr>
      </w:pPr>
      <w:r w:rsidRPr="00A37CE0">
        <w:rPr>
          <w:rFonts w:ascii="Times New Roman" w:hAnsi="Times New Roman" w:cs="Times New Roman"/>
        </w:rPr>
        <w:t>Recent panel data studies utilizing 65 countries (1960–2016) confirm income elasticities vary significantly by development stage</w:t>
      </w:r>
      <w:r w:rsidR="009644DB">
        <w:rPr>
          <w:rStyle w:val="FootnoteReference"/>
          <w:rFonts w:ascii="Times New Roman" w:hAnsi="Times New Roman" w:cs="Times New Roman"/>
        </w:rPr>
        <w:footnoteReference w:id="4"/>
      </w:r>
      <w:r w:rsidRPr="00A37CE0">
        <w:rPr>
          <w:rFonts w:ascii="Times New Roman" w:hAnsi="Times New Roman" w:cs="Times New Roman"/>
        </w:rPr>
        <w:t xml:space="preserve"> </w:t>
      </w:r>
    </w:p>
    <w:p w14:paraId="68560121" w14:textId="77777777" w:rsidR="00A37CE0" w:rsidRPr="00A37CE0" w:rsidRDefault="00A37CE0" w:rsidP="00A37CE0">
      <w:pPr>
        <w:numPr>
          <w:ilvl w:val="0"/>
          <w:numId w:val="6"/>
        </w:numPr>
        <w:jc w:val="both"/>
        <w:rPr>
          <w:rFonts w:ascii="Times New Roman" w:hAnsi="Times New Roman" w:cs="Times New Roman"/>
        </w:rPr>
      </w:pPr>
      <w:r w:rsidRPr="00A37CE0">
        <w:rPr>
          <w:rFonts w:ascii="Times New Roman" w:hAnsi="Times New Roman" w:cs="Times New Roman"/>
          <w:b/>
          <w:bCs/>
        </w:rPr>
        <w:t>OECD/High-Income:</w:t>
      </w:r>
      <w:r w:rsidRPr="00A37CE0">
        <w:rPr>
          <w:rFonts w:ascii="Times New Roman" w:hAnsi="Times New Roman" w:cs="Times New Roman"/>
        </w:rPr>
        <w:t xml:space="preserve"> Income elasticity ~0.6–0.7; Price elasticity ~-0.2 to -0.3 </w:t>
      </w:r>
    </w:p>
    <w:p w14:paraId="4676441A" w14:textId="77777777" w:rsidR="00A37CE0" w:rsidRPr="00A37CE0" w:rsidRDefault="00A37CE0" w:rsidP="00A37CE0">
      <w:pPr>
        <w:numPr>
          <w:ilvl w:val="0"/>
          <w:numId w:val="6"/>
        </w:numPr>
        <w:jc w:val="both"/>
        <w:rPr>
          <w:rFonts w:ascii="Times New Roman" w:hAnsi="Times New Roman" w:cs="Times New Roman"/>
        </w:rPr>
      </w:pPr>
      <w:r w:rsidRPr="00A37CE0">
        <w:rPr>
          <w:rFonts w:ascii="Times New Roman" w:hAnsi="Times New Roman" w:cs="Times New Roman"/>
          <w:b/>
          <w:bCs/>
        </w:rPr>
        <w:lastRenderedPageBreak/>
        <w:t>Middle-Income/Non-OECD:</w:t>
      </w:r>
      <w:r w:rsidRPr="00A37CE0">
        <w:rPr>
          <w:rFonts w:ascii="Times New Roman" w:hAnsi="Times New Roman" w:cs="Times New Roman"/>
        </w:rPr>
        <w:t xml:space="preserve"> Income elasticity ~0.8–1.25; Price elasticity ~-0.1 to -0.08 (often statistically insignificant) </w:t>
      </w:r>
    </w:p>
    <w:p w14:paraId="421F6F9D" w14:textId="352AB4FE" w:rsidR="00A37CE0" w:rsidRPr="00A37CE0" w:rsidRDefault="00A37CE0" w:rsidP="00A37CE0">
      <w:pPr>
        <w:numPr>
          <w:ilvl w:val="0"/>
          <w:numId w:val="6"/>
        </w:numPr>
        <w:jc w:val="both"/>
        <w:rPr>
          <w:rFonts w:ascii="Times New Roman" w:hAnsi="Times New Roman" w:cs="Times New Roman"/>
        </w:rPr>
      </w:pPr>
      <w:r w:rsidRPr="00A37CE0">
        <w:rPr>
          <w:rFonts w:ascii="Times New Roman" w:hAnsi="Times New Roman" w:cs="Times New Roman"/>
          <w:b/>
          <w:bCs/>
        </w:rPr>
        <w:t>Oil-Exporting Developing Economies:</w:t>
      </w:r>
      <w:r w:rsidRPr="00A37CE0">
        <w:rPr>
          <w:rFonts w:ascii="Times New Roman" w:hAnsi="Times New Roman" w:cs="Times New Roman"/>
        </w:rPr>
        <w:t xml:space="preserve"> Income elasticity substantially above unity </w:t>
      </w:r>
      <w:r w:rsidR="009644DB">
        <w:rPr>
          <w:rStyle w:val="FootnoteReference"/>
          <w:rFonts w:ascii="Times New Roman" w:hAnsi="Times New Roman" w:cs="Times New Roman"/>
        </w:rPr>
        <w:footnoteReference w:id="5"/>
      </w:r>
    </w:p>
    <w:p w14:paraId="4B09AF87" w14:textId="77777777" w:rsidR="00A37CE0" w:rsidRPr="00A37CE0" w:rsidRDefault="00A37CE0" w:rsidP="009644DB">
      <w:pPr>
        <w:rPr>
          <w:rFonts w:ascii="Times New Roman" w:hAnsi="Times New Roman" w:cs="Times New Roman"/>
        </w:rPr>
      </w:pPr>
      <w:r w:rsidRPr="00A37CE0">
        <w:rPr>
          <w:rFonts w:ascii="Times New Roman" w:hAnsi="Times New Roman" w:cs="Times New Roman"/>
          <w:b/>
          <w:bCs/>
        </w:rPr>
        <w:t>2. Scenario Modelling</w:t>
      </w:r>
      <w:r w:rsidRPr="00A37CE0">
        <w:rPr>
          <w:rFonts w:ascii="Times New Roman" w:hAnsi="Times New Roman" w:cs="Times New Roman"/>
        </w:rPr>
        <w:br/>
        <w:t>Integrated assessment models (IAMs) and energy system models (e.g., IEA's World Energy Model, OPEC's World Oil Model) project demand under alternative policy scenarios. These incorporate:</w:t>
      </w:r>
    </w:p>
    <w:p w14:paraId="4D9FB18C" w14:textId="77777777" w:rsidR="00A37CE0" w:rsidRPr="00A37CE0" w:rsidRDefault="00A37CE0" w:rsidP="00A37CE0">
      <w:pPr>
        <w:numPr>
          <w:ilvl w:val="0"/>
          <w:numId w:val="7"/>
        </w:numPr>
        <w:jc w:val="both"/>
        <w:rPr>
          <w:rFonts w:ascii="Times New Roman" w:hAnsi="Times New Roman" w:cs="Times New Roman"/>
        </w:rPr>
      </w:pPr>
      <w:r w:rsidRPr="00A37CE0">
        <w:rPr>
          <w:rFonts w:ascii="Times New Roman" w:hAnsi="Times New Roman" w:cs="Times New Roman"/>
        </w:rPr>
        <w:t>Macroeconomic growth trajectories</w:t>
      </w:r>
    </w:p>
    <w:p w14:paraId="026B2A18" w14:textId="77777777" w:rsidR="00A37CE0" w:rsidRPr="00A37CE0" w:rsidRDefault="00A37CE0" w:rsidP="00A37CE0">
      <w:pPr>
        <w:numPr>
          <w:ilvl w:val="0"/>
          <w:numId w:val="7"/>
        </w:numPr>
        <w:jc w:val="both"/>
        <w:rPr>
          <w:rFonts w:ascii="Times New Roman" w:hAnsi="Times New Roman" w:cs="Times New Roman"/>
        </w:rPr>
      </w:pPr>
      <w:r w:rsidRPr="00A37CE0">
        <w:rPr>
          <w:rFonts w:ascii="Times New Roman" w:hAnsi="Times New Roman" w:cs="Times New Roman"/>
        </w:rPr>
        <w:t>Technology cost curves (particularly renewables)</w:t>
      </w:r>
    </w:p>
    <w:p w14:paraId="643A9336" w14:textId="77777777" w:rsidR="00A37CE0" w:rsidRPr="00A37CE0" w:rsidRDefault="00A37CE0" w:rsidP="00A37CE0">
      <w:pPr>
        <w:numPr>
          <w:ilvl w:val="0"/>
          <w:numId w:val="7"/>
        </w:numPr>
        <w:jc w:val="both"/>
        <w:rPr>
          <w:rFonts w:ascii="Times New Roman" w:hAnsi="Times New Roman" w:cs="Times New Roman"/>
        </w:rPr>
      </w:pPr>
      <w:r w:rsidRPr="00A37CE0">
        <w:rPr>
          <w:rFonts w:ascii="Times New Roman" w:hAnsi="Times New Roman" w:cs="Times New Roman"/>
        </w:rPr>
        <w:t>Policy constraints (carbon pricing, access targets)</w:t>
      </w:r>
    </w:p>
    <w:p w14:paraId="362E7D2D" w14:textId="77777777" w:rsidR="00A37CE0" w:rsidRPr="00A37CE0" w:rsidRDefault="00A37CE0" w:rsidP="00A37CE0">
      <w:pPr>
        <w:numPr>
          <w:ilvl w:val="0"/>
          <w:numId w:val="7"/>
        </w:numPr>
        <w:jc w:val="both"/>
        <w:rPr>
          <w:rFonts w:ascii="Times New Roman" w:hAnsi="Times New Roman" w:cs="Times New Roman"/>
        </w:rPr>
      </w:pPr>
      <w:r w:rsidRPr="00A37CE0">
        <w:rPr>
          <w:rFonts w:ascii="Times New Roman" w:hAnsi="Times New Roman" w:cs="Times New Roman"/>
        </w:rPr>
        <w:t>Demographic and urbanization trends</w:t>
      </w:r>
    </w:p>
    <w:p w14:paraId="3084E9CF" w14:textId="77777777" w:rsidR="00A37CE0" w:rsidRPr="00A37CE0" w:rsidRDefault="00A37CE0" w:rsidP="009644DB">
      <w:pPr>
        <w:rPr>
          <w:rFonts w:ascii="Times New Roman" w:hAnsi="Times New Roman" w:cs="Times New Roman"/>
        </w:rPr>
      </w:pPr>
      <w:r w:rsidRPr="00A37CE0">
        <w:rPr>
          <w:rFonts w:ascii="Times New Roman" w:hAnsi="Times New Roman" w:cs="Times New Roman"/>
          <w:b/>
          <w:bCs/>
        </w:rPr>
        <w:t>3. Sectoral Decomposition</w:t>
      </w:r>
      <w:r w:rsidRPr="00A37CE0">
        <w:rPr>
          <w:rFonts w:ascii="Times New Roman" w:hAnsi="Times New Roman" w:cs="Times New Roman"/>
        </w:rPr>
        <w:br/>
        <w:t>Disaggregated models estimate demand by end-use sector:</w:t>
      </w:r>
    </w:p>
    <w:p w14:paraId="760A8875" w14:textId="77777777" w:rsidR="00A37CE0" w:rsidRPr="00A37CE0" w:rsidRDefault="00A37CE0" w:rsidP="00A37CE0">
      <w:pPr>
        <w:numPr>
          <w:ilvl w:val="0"/>
          <w:numId w:val="8"/>
        </w:numPr>
        <w:jc w:val="both"/>
        <w:rPr>
          <w:rFonts w:ascii="Times New Roman" w:hAnsi="Times New Roman" w:cs="Times New Roman"/>
        </w:rPr>
      </w:pPr>
      <w:r w:rsidRPr="00A37CE0">
        <w:rPr>
          <w:rFonts w:ascii="Times New Roman" w:hAnsi="Times New Roman" w:cs="Times New Roman"/>
          <w:b/>
          <w:bCs/>
        </w:rPr>
        <w:t>Residential:</w:t>
      </w:r>
      <w:r w:rsidRPr="00A37CE0">
        <w:rPr>
          <w:rFonts w:ascii="Times New Roman" w:hAnsi="Times New Roman" w:cs="Times New Roman"/>
        </w:rPr>
        <w:t xml:space="preserve"> Income elasticity 0.4–1.4; Price elasticity -0.3 to -1.0 </w:t>
      </w:r>
    </w:p>
    <w:p w14:paraId="0D21DDAE" w14:textId="77777777" w:rsidR="00A37CE0" w:rsidRPr="00A37CE0" w:rsidRDefault="00A37CE0" w:rsidP="00A37CE0">
      <w:pPr>
        <w:numPr>
          <w:ilvl w:val="0"/>
          <w:numId w:val="8"/>
        </w:numPr>
        <w:jc w:val="both"/>
        <w:rPr>
          <w:rFonts w:ascii="Times New Roman" w:hAnsi="Times New Roman" w:cs="Times New Roman"/>
        </w:rPr>
      </w:pPr>
      <w:r w:rsidRPr="00A37CE0">
        <w:rPr>
          <w:rFonts w:ascii="Times New Roman" w:hAnsi="Times New Roman" w:cs="Times New Roman"/>
          <w:b/>
          <w:bCs/>
        </w:rPr>
        <w:t>Transport:</w:t>
      </w:r>
      <w:r w:rsidRPr="00A37CE0">
        <w:rPr>
          <w:rFonts w:ascii="Times New Roman" w:hAnsi="Times New Roman" w:cs="Times New Roman"/>
        </w:rPr>
        <w:t xml:space="preserve"> Gasoline demand income elasticity 0.7–1.2; Price elasticity -0.2 to -1.5 </w:t>
      </w:r>
    </w:p>
    <w:p w14:paraId="67420259" w14:textId="56FEE998" w:rsidR="00A37CE0" w:rsidRPr="00A37CE0" w:rsidRDefault="00A37CE0" w:rsidP="00A37CE0">
      <w:pPr>
        <w:numPr>
          <w:ilvl w:val="0"/>
          <w:numId w:val="8"/>
        </w:numPr>
        <w:jc w:val="both"/>
        <w:rPr>
          <w:rFonts w:ascii="Times New Roman" w:hAnsi="Times New Roman" w:cs="Times New Roman"/>
        </w:rPr>
      </w:pPr>
      <w:r w:rsidRPr="00A37CE0">
        <w:rPr>
          <w:rFonts w:ascii="Times New Roman" w:hAnsi="Times New Roman" w:cs="Times New Roman"/>
          <w:b/>
          <w:bCs/>
        </w:rPr>
        <w:t>Industry:</w:t>
      </w:r>
      <w:r w:rsidRPr="00A37CE0">
        <w:rPr>
          <w:rFonts w:ascii="Times New Roman" w:hAnsi="Times New Roman" w:cs="Times New Roman"/>
        </w:rPr>
        <w:t xml:space="preserve"> Output elasticity 0.6–1.0; Price elasticity -0.3 to -0.8 </w:t>
      </w:r>
      <w:r w:rsidR="009644DB">
        <w:rPr>
          <w:rFonts w:ascii="Times New Roman" w:hAnsi="Times New Roman" w:cs="Times New Roman"/>
        </w:rPr>
        <w:fldChar w:fldCharType="begin"/>
      </w:r>
      <w:r w:rsidR="009644DB">
        <w:rPr>
          <w:rFonts w:ascii="Times New Roman" w:hAnsi="Times New Roman" w:cs="Times New Roman"/>
        </w:rPr>
        <w:instrText xml:space="preserve"> NOTEREF _Ref224091629 \f \h </w:instrText>
      </w:r>
      <w:r w:rsidR="009644DB">
        <w:rPr>
          <w:rFonts w:ascii="Times New Roman" w:hAnsi="Times New Roman" w:cs="Times New Roman"/>
        </w:rPr>
      </w:r>
      <w:r w:rsidR="009644DB">
        <w:rPr>
          <w:rFonts w:ascii="Times New Roman" w:hAnsi="Times New Roman" w:cs="Times New Roman"/>
        </w:rPr>
        <w:fldChar w:fldCharType="separate"/>
      </w:r>
      <w:r w:rsidR="009644DB" w:rsidRPr="009644DB">
        <w:rPr>
          <w:rStyle w:val="FootnoteReference"/>
        </w:rPr>
        <w:t>2</w:t>
      </w:r>
      <w:r w:rsidR="009644DB">
        <w:rPr>
          <w:rFonts w:ascii="Times New Roman" w:hAnsi="Times New Roman" w:cs="Times New Roman"/>
        </w:rPr>
        <w:fldChar w:fldCharType="end"/>
      </w:r>
    </w:p>
    <w:p w14:paraId="1ADF1ECB" w14:textId="77777777" w:rsidR="009644DB" w:rsidRDefault="009644DB" w:rsidP="00A37CE0">
      <w:pPr>
        <w:jc w:val="both"/>
        <w:rPr>
          <w:rFonts w:ascii="Times New Roman" w:hAnsi="Times New Roman" w:cs="Times New Roman"/>
          <w:b/>
          <w:bCs/>
        </w:rPr>
      </w:pPr>
    </w:p>
    <w:p w14:paraId="6A60FBA1" w14:textId="0C5458CB"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Critical Modelling Insights</w:t>
      </w:r>
    </w:p>
    <w:p w14:paraId="25A22D86" w14:textId="77777777" w:rsidR="00A37CE0" w:rsidRPr="00A37CE0" w:rsidRDefault="00A37CE0" w:rsidP="00A37CE0">
      <w:pPr>
        <w:numPr>
          <w:ilvl w:val="0"/>
          <w:numId w:val="9"/>
        </w:numPr>
        <w:jc w:val="both"/>
        <w:rPr>
          <w:rFonts w:ascii="Times New Roman" w:hAnsi="Times New Roman" w:cs="Times New Roman"/>
        </w:rPr>
      </w:pPr>
      <w:r w:rsidRPr="00A37CE0">
        <w:rPr>
          <w:rFonts w:ascii="Times New Roman" w:hAnsi="Times New Roman" w:cs="Times New Roman"/>
          <w:b/>
          <w:bCs/>
        </w:rPr>
        <w:t>Asymmetric Responses:</w:t>
      </w:r>
      <w:r w:rsidRPr="00A37CE0">
        <w:rPr>
          <w:rFonts w:ascii="Times New Roman" w:hAnsi="Times New Roman" w:cs="Times New Roman"/>
        </w:rPr>
        <w:t xml:space="preserve"> Price elasticity in developing countries is typically lower than in OECD markets due to limited substitution options and essential demand characteristics </w:t>
      </w:r>
    </w:p>
    <w:p w14:paraId="59B945F2" w14:textId="77777777" w:rsidR="00A37CE0" w:rsidRPr="00A37CE0" w:rsidRDefault="00A37CE0" w:rsidP="00A37CE0">
      <w:pPr>
        <w:numPr>
          <w:ilvl w:val="0"/>
          <w:numId w:val="9"/>
        </w:numPr>
        <w:jc w:val="both"/>
        <w:rPr>
          <w:rFonts w:ascii="Times New Roman" w:hAnsi="Times New Roman" w:cs="Times New Roman"/>
        </w:rPr>
      </w:pPr>
      <w:r w:rsidRPr="00A37CE0">
        <w:rPr>
          <w:rFonts w:ascii="Times New Roman" w:hAnsi="Times New Roman" w:cs="Times New Roman"/>
          <w:b/>
          <w:bCs/>
        </w:rPr>
        <w:t>Saturation Effects:</w:t>
      </w:r>
      <w:r w:rsidRPr="00A37CE0">
        <w:rPr>
          <w:rFonts w:ascii="Times New Roman" w:hAnsi="Times New Roman" w:cs="Times New Roman"/>
        </w:rPr>
        <w:t xml:space="preserve"> High-income countries show declining income elasticities as energy service demands saturate; developing markets remain on the steep portion of the energy-GDP curve </w:t>
      </w:r>
    </w:p>
    <w:p w14:paraId="33BD2DB5" w14:textId="77777777" w:rsidR="00A37CE0" w:rsidRPr="00A37CE0" w:rsidRDefault="00A37CE0" w:rsidP="00A37CE0">
      <w:pPr>
        <w:numPr>
          <w:ilvl w:val="0"/>
          <w:numId w:val="9"/>
        </w:numPr>
        <w:jc w:val="both"/>
        <w:rPr>
          <w:rFonts w:ascii="Times New Roman" w:hAnsi="Times New Roman" w:cs="Times New Roman"/>
        </w:rPr>
      </w:pPr>
      <w:r w:rsidRPr="00A37CE0">
        <w:rPr>
          <w:rFonts w:ascii="Times New Roman" w:hAnsi="Times New Roman" w:cs="Times New Roman"/>
          <w:b/>
          <w:bCs/>
        </w:rPr>
        <w:t>Structural Change:</w:t>
      </w:r>
      <w:r w:rsidRPr="00A37CE0">
        <w:rPr>
          <w:rFonts w:ascii="Times New Roman" w:hAnsi="Times New Roman" w:cs="Times New Roman"/>
        </w:rPr>
        <w:t xml:space="preserve"> Industrialization shifts in developing economies contribute to greater-than-unitary income elasticities as energy-intensive sectors expand </w:t>
      </w:r>
    </w:p>
    <w:p w14:paraId="7B8F3598" w14:textId="7CAD0A50" w:rsidR="00A37CE0" w:rsidRDefault="00A37CE0" w:rsidP="00A37CE0">
      <w:pPr>
        <w:jc w:val="both"/>
        <w:rPr>
          <w:rFonts w:ascii="Times New Roman" w:hAnsi="Times New Roman" w:cs="Times New Roman"/>
        </w:rPr>
      </w:pPr>
    </w:p>
    <w:p w14:paraId="43C3DC58" w14:textId="77777777" w:rsidR="009644DB" w:rsidRDefault="009644DB" w:rsidP="00A37CE0">
      <w:pPr>
        <w:jc w:val="both"/>
        <w:rPr>
          <w:rFonts w:ascii="Times New Roman" w:hAnsi="Times New Roman" w:cs="Times New Roman"/>
        </w:rPr>
      </w:pPr>
    </w:p>
    <w:p w14:paraId="41958A1B" w14:textId="77777777" w:rsidR="009644DB" w:rsidRPr="00A37CE0" w:rsidRDefault="009644DB" w:rsidP="00A37CE0">
      <w:pPr>
        <w:jc w:val="both"/>
        <w:rPr>
          <w:rFonts w:ascii="Times New Roman" w:hAnsi="Times New Roman" w:cs="Times New Roman"/>
        </w:rPr>
      </w:pPr>
    </w:p>
    <w:p w14:paraId="4007F4F1"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lastRenderedPageBreak/>
        <w:t>Policy and Investment Risks</w:t>
      </w:r>
    </w:p>
    <w:p w14:paraId="0C4C8A9C"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Sovereign Debt and Fiscal Constraints</w:t>
      </w:r>
    </w:p>
    <w:p w14:paraId="6F6E39F7"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rPr>
        <w:t xml:space="preserve">Elevated post-pandemic debt burdens in sub-Saharan Africa constrain public investment in grid infrastructure. The IEA notes that cuts in international aid and high borrowing costs are weighing on electrification progress, with 27 countries in the region still lagging pre-pandemic connection rates </w:t>
      </w:r>
    </w:p>
    <w:p w14:paraId="72B2BAE1"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rPr>
        <w:t>.</w:t>
      </w:r>
    </w:p>
    <w:p w14:paraId="4DB83735"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Affordability-Access Trade-offs</w:t>
      </w:r>
    </w:p>
    <w:p w14:paraId="2F2AD4A1"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rPr>
        <w:t xml:space="preserve">Mini-grid and off-grid solar solutions (Tier 1–2) provide basic access but limit demand growth potential. Tier 1 systems (12 Wh/day) support only lighting and phone charging, while Tier 3+ systems (&gt;800W) enabling productive uses remain unaffordable for most rural households </w:t>
      </w:r>
    </w:p>
    <w:p w14:paraId="192BFF4E" w14:textId="77777777" w:rsidR="00A37CE0" w:rsidRPr="00A37CE0" w:rsidRDefault="00A37CE0" w:rsidP="00A37CE0">
      <w:pPr>
        <w:jc w:val="both"/>
        <w:rPr>
          <w:rFonts w:ascii="Times New Roman" w:hAnsi="Times New Roman" w:cs="Times New Roman"/>
        </w:rPr>
      </w:pPr>
      <w:r w:rsidRPr="00A37CE0">
        <w:rPr>
          <w:rFonts w:ascii="Times New Roman" w:hAnsi="Times New Roman" w:cs="Times New Roman"/>
        </w:rPr>
        <w:t>. This creates a "low-energy trap" where access gains do not translate to significant demand growth.</w:t>
      </w:r>
    </w:p>
    <w:p w14:paraId="4E58940D" w14:textId="77777777" w:rsidR="009644DB" w:rsidRDefault="009644DB" w:rsidP="00A37CE0">
      <w:pPr>
        <w:jc w:val="both"/>
        <w:rPr>
          <w:rFonts w:ascii="Times New Roman" w:hAnsi="Times New Roman" w:cs="Times New Roman"/>
          <w:b/>
          <w:bCs/>
        </w:rPr>
      </w:pPr>
    </w:p>
    <w:p w14:paraId="47EE0C82" w14:textId="20E00CD2"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Fuel Substitution Risks</w:t>
      </w:r>
    </w:p>
    <w:p w14:paraId="1262A169" w14:textId="77777777" w:rsidR="00A37CE0" w:rsidRPr="00A37CE0" w:rsidRDefault="00A37CE0" w:rsidP="00A37CE0">
      <w:pPr>
        <w:numPr>
          <w:ilvl w:val="0"/>
          <w:numId w:val="10"/>
        </w:numPr>
        <w:jc w:val="both"/>
        <w:rPr>
          <w:rFonts w:ascii="Times New Roman" w:hAnsi="Times New Roman" w:cs="Times New Roman"/>
        </w:rPr>
      </w:pPr>
      <w:r w:rsidRPr="00A37CE0">
        <w:rPr>
          <w:rFonts w:ascii="Times New Roman" w:hAnsi="Times New Roman" w:cs="Times New Roman"/>
          <w:b/>
          <w:bCs/>
        </w:rPr>
        <w:t>LPG for Biomass:</w:t>
      </w:r>
      <w:r w:rsidRPr="00A37CE0">
        <w:rPr>
          <w:rFonts w:ascii="Times New Roman" w:hAnsi="Times New Roman" w:cs="Times New Roman"/>
        </w:rPr>
        <w:t xml:space="preserve"> Rising energy access supports LPG demand growth, particularly in sub-Saharan Africa, as households transition from traditional biomass </w:t>
      </w:r>
    </w:p>
    <w:p w14:paraId="6CD6E5E0" w14:textId="77777777" w:rsidR="00A37CE0" w:rsidRPr="00A37CE0" w:rsidRDefault="00A37CE0" w:rsidP="00A37CE0">
      <w:pPr>
        <w:numPr>
          <w:ilvl w:val="0"/>
          <w:numId w:val="10"/>
        </w:numPr>
        <w:jc w:val="both"/>
        <w:rPr>
          <w:rFonts w:ascii="Times New Roman" w:hAnsi="Times New Roman" w:cs="Times New Roman"/>
        </w:rPr>
      </w:pPr>
      <w:r w:rsidRPr="00A37CE0">
        <w:rPr>
          <w:rFonts w:ascii="Times New Roman" w:hAnsi="Times New Roman" w:cs="Times New Roman"/>
          <w:b/>
          <w:bCs/>
        </w:rPr>
        <w:t>Coal-to-Gas Switching:</w:t>
      </w:r>
      <w:r w:rsidRPr="00A37CE0">
        <w:rPr>
          <w:rFonts w:ascii="Times New Roman" w:hAnsi="Times New Roman" w:cs="Times New Roman"/>
        </w:rPr>
        <w:t xml:space="preserve"> Natural gas demand growth in non-OECD Asia is policy-dependent; China and India's coal phase-out policies will determine gas import requirements </w:t>
      </w:r>
    </w:p>
    <w:p w14:paraId="0B3DAD14" w14:textId="77777777" w:rsidR="00A37CE0" w:rsidRPr="00A37CE0" w:rsidRDefault="00A37CE0" w:rsidP="00A37CE0">
      <w:pPr>
        <w:numPr>
          <w:ilvl w:val="0"/>
          <w:numId w:val="10"/>
        </w:numPr>
        <w:jc w:val="both"/>
        <w:rPr>
          <w:rFonts w:ascii="Times New Roman" w:hAnsi="Times New Roman" w:cs="Times New Roman"/>
        </w:rPr>
      </w:pPr>
      <w:r w:rsidRPr="00A37CE0">
        <w:rPr>
          <w:rFonts w:ascii="Times New Roman" w:hAnsi="Times New Roman" w:cs="Times New Roman"/>
          <w:b/>
          <w:bCs/>
        </w:rPr>
        <w:t>Electrification vs. Liquid Fuels:</w:t>
      </w:r>
      <w:r w:rsidRPr="00A37CE0">
        <w:rPr>
          <w:rFonts w:ascii="Times New Roman" w:hAnsi="Times New Roman" w:cs="Times New Roman"/>
        </w:rPr>
        <w:t xml:space="preserve"> Transport electrification in emerging markets remains limited by infrastructure constraints, preserving oil demand growth in the commercial vehicle sector </w:t>
      </w:r>
    </w:p>
    <w:p w14:paraId="58257E8E" w14:textId="77777777"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t>Investment Requirements</w:t>
      </w:r>
    </w:p>
    <w:p w14:paraId="6BD3BE4B" w14:textId="72A95789" w:rsidR="00A37CE0" w:rsidRPr="00A37CE0" w:rsidRDefault="00A37CE0" w:rsidP="00A37CE0">
      <w:pPr>
        <w:jc w:val="both"/>
        <w:rPr>
          <w:rFonts w:ascii="Times New Roman" w:hAnsi="Times New Roman" w:cs="Times New Roman"/>
        </w:rPr>
      </w:pPr>
      <w:r w:rsidRPr="00A37CE0">
        <w:rPr>
          <w:rFonts w:ascii="Times New Roman" w:hAnsi="Times New Roman" w:cs="Times New Roman"/>
        </w:rPr>
        <w:t>OPEC estimates $18.2 trillion in cumulative energy investments needed globally through 2050, including $14.9 trillion for upstream oil and gas</w:t>
      </w:r>
      <w:r w:rsidR="009644DB">
        <w:rPr>
          <w:rStyle w:val="FootnoteReference"/>
          <w:rFonts w:ascii="Times New Roman" w:hAnsi="Times New Roman" w:cs="Times New Roman"/>
        </w:rPr>
        <w:footnoteReference w:id="6"/>
      </w:r>
      <w:r w:rsidRPr="00A37CE0">
        <w:rPr>
          <w:rFonts w:ascii="Times New Roman" w:hAnsi="Times New Roman" w:cs="Times New Roman"/>
        </w:rPr>
        <w:t>. However, affordability constraints may delay demand materialization, creating stranded asset risks if supply investments precede demand growth.</w:t>
      </w:r>
    </w:p>
    <w:p w14:paraId="353842A0" w14:textId="17DC1F4C" w:rsidR="00A37CE0" w:rsidRPr="00A37CE0" w:rsidRDefault="00A37CE0" w:rsidP="00A37CE0">
      <w:pPr>
        <w:jc w:val="both"/>
        <w:rPr>
          <w:rFonts w:ascii="Times New Roman" w:hAnsi="Times New Roman" w:cs="Times New Roman"/>
        </w:rPr>
      </w:pPr>
    </w:p>
    <w:p w14:paraId="1C8D877B" w14:textId="77777777" w:rsidR="00D13EEA" w:rsidRDefault="00D13EEA" w:rsidP="00A37CE0">
      <w:pPr>
        <w:jc w:val="both"/>
        <w:rPr>
          <w:rFonts w:ascii="Times New Roman" w:hAnsi="Times New Roman" w:cs="Times New Roman"/>
          <w:b/>
          <w:bCs/>
        </w:rPr>
      </w:pPr>
    </w:p>
    <w:p w14:paraId="4A60C5DF" w14:textId="27DE7725" w:rsidR="00A37CE0" w:rsidRPr="00A37CE0" w:rsidRDefault="00A37CE0" w:rsidP="00A37CE0">
      <w:pPr>
        <w:jc w:val="both"/>
        <w:rPr>
          <w:rFonts w:ascii="Times New Roman" w:hAnsi="Times New Roman" w:cs="Times New Roman"/>
          <w:b/>
          <w:bCs/>
        </w:rPr>
      </w:pPr>
      <w:r w:rsidRPr="00A37CE0">
        <w:rPr>
          <w:rFonts w:ascii="Times New Roman" w:hAnsi="Times New Roman" w:cs="Times New Roman"/>
          <w:b/>
          <w:bCs/>
        </w:rPr>
        <w:lastRenderedPageBreak/>
        <w:t>Conclusion</w:t>
      </w:r>
    </w:p>
    <w:p w14:paraId="724AE3CB" w14:textId="4B7C1068" w:rsidR="003C4B39" w:rsidRPr="00A37CE0" w:rsidRDefault="00D13EEA" w:rsidP="00A37CE0">
      <w:pPr>
        <w:jc w:val="both"/>
        <w:rPr>
          <w:rFonts w:ascii="Times New Roman" w:hAnsi="Times New Roman" w:cs="Times New Roman"/>
        </w:rPr>
      </w:pPr>
      <w:r w:rsidRPr="00D13EEA">
        <w:rPr>
          <w:rFonts w:ascii="Times New Roman" w:hAnsi="Times New Roman" w:cs="Times New Roman"/>
        </w:rPr>
        <w:t>Energy poverty and affordability constraints remain critical structural factors shaping global energy demand. While developing economies exhibit high income elasticities</w:t>
      </w:r>
      <w:r>
        <w:rPr>
          <w:rFonts w:ascii="Times New Roman" w:hAnsi="Times New Roman" w:cs="Times New Roman"/>
        </w:rPr>
        <w:t xml:space="preserve">, </w:t>
      </w:r>
      <w:r w:rsidRPr="00D13EEA">
        <w:rPr>
          <w:rFonts w:ascii="Times New Roman" w:hAnsi="Times New Roman" w:cs="Times New Roman"/>
        </w:rPr>
        <w:t>stagnant electrification rates, high household energy burdens, and elevated sovereign debt limit the immediate realization of this demand. Sub-Saharan Africa, home to the majority of the unconnected population, exemplifies the persistent “low-energy trap,” where access gains do not translate into significant consumption growth. From a policy and investment perspective, bridging the gap between access and affordability is essential to unlock sustainable demand expansion, mitigate supply stranded risks, and support long-term economic development. Targeted investments in Tier 3+ off-grid solutions, grid expansion, and supportive fiscal mechanisms are critical to ensure that rising energy demand in non-OECD countries translates into real market opportunities rather than structural underconsumption.</w:t>
      </w:r>
    </w:p>
    <w:sectPr w:rsidR="003C4B39" w:rsidRPr="00A37C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693C" w14:textId="77777777" w:rsidR="00424175" w:rsidRDefault="00424175" w:rsidP="00A37CE0">
      <w:pPr>
        <w:spacing w:after="0" w:line="240" w:lineRule="auto"/>
      </w:pPr>
      <w:r>
        <w:separator/>
      </w:r>
    </w:p>
  </w:endnote>
  <w:endnote w:type="continuationSeparator" w:id="0">
    <w:p w14:paraId="1E248EB6" w14:textId="77777777" w:rsidR="00424175" w:rsidRDefault="00424175" w:rsidP="00A3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B3BF" w14:textId="77777777" w:rsidR="00424175" w:rsidRDefault="00424175" w:rsidP="00A37CE0">
      <w:pPr>
        <w:spacing w:after="0" w:line="240" w:lineRule="auto"/>
      </w:pPr>
      <w:r>
        <w:separator/>
      </w:r>
    </w:p>
  </w:footnote>
  <w:footnote w:type="continuationSeparator" w:id="0">
    <w:p w14:paraId="7C179C33" w14:textId="77777777" w:rsidR="00424175" w:rsidRDefault="00424175" w:rsidP="00A37CE0">
      <w:pPr>
        <w:spacing w:after="0" w:line="240" w:lineRule="auto"/>
      </w:pPr>
      <w:r>
        <w:continuationSeparator/>
      </w:r>
    </w:p>
  </w:footnote>
  <w:footnote w:id="1">
    <w:p w14:paraId="283B173E" w14:textId="094FA198" w:rsidR="00A37CE0" w:rsidRDefault="00A37CE0">
      <w:pPr>
        <w:pStyle w:val="FootnoteText"/>
      </w:pPr>
      <w:r>
        <w:rPr>
          <w:rStyle w:val="FootnoteReference"/>
        </w:rPr>
        <w:footnoteRef/>
      </w:r>
      <w:r>
        <w:t xml:space="preserve"> </w:t>
      </w:r>
      <w:r w:rsidRPr="00A37CE0">
        <w:t>IEA (2025), Access to electricity stagnates, leaving globally 730 million in the dark, IEA, Paris https://www.iea.org/commentaries/access-to-electricity-stagnates-leaving-globally-730-million-in-the-dark, Licence: CC BY 4.0</w:t>
      </w:r>
    </w:p>
  </w:footnote>
  <w:footnote w:id="2">
    <w:p w14:paraId="22A0A547" w14:textId="04149956" w:rsidR="00403275" w:rsidRDefault="00403275">
      <w:pPr>
        <w:pStyle w:val="FootnoteText"/>
      </w:pPr>
      <w:r>
        <w:rPr>
          <w:rStyle w:val="FootnoteReference"/>
        </w:rPr>
        <w:footnoteRef/>
      </w:r>
      <w:r>
        <w:t xml:space="preserve"> </w:t>
      </w:r>
      <w:r w:rsidRPr="00403275">
        <w:t xml:space="preserve">Choe, B. J. (1981). </w:t>
      </w:r>
      <w:r w:rsidRPr="00403275">
        <w:rPr>
          <w:i/>
          <w:iCs/>
        </w:rPr>
        <w:t>Energy demand elasticities: Concept, evidence and implications</w:t>
      </w:r>
      <w:r w:rsidRPr="00403275">
        <w:t>. World Bank, Development Policy Staff, Economic Analysis and Projections Department.</w:t>
      </w:r>
    </w:p>
  </w:footnote>
  <w:footnote w:id="3">
    <w:p w14:paraId="1B741F25" w14:textId="5C73EDB0" w:rsidR="00403275" w:rsidRDefault="00403275">
      <w:pPr>
        <w:pStyle w:val="FootnoteText"/>
      </w:pPr>
      <w:r>
        <w:rPr>
          <w:rStyle w:val="FootnoteReference"/>
        </w:rPr>
        <w:footnoteRef/>
      </w:r>
      <w:r>
        <w:t xml:space="preserve"> </w:t>
      </w:r>
      <w:r w:rsidRPr="00403275">
        <w:t xml:space="preserve">Organization of the Petroleum Exporting Countries (OPEC). (2024). </w:t>
      </w:r>
      <w:r w:rsidRPr="00403275">
        <w:rPr>
          <w:i/>
          <w:iCs/>
        </w:rPr>
        <w:t>World oil outlook 2050</w:t>
      </w:r>
      <w:r w:rsidRPr="00403275">
        <w:t>. OPEC.</w:t>
      </w:r>
    </w:p>
  </w:footnote>
  <w:footnote w:id="4">
    <w:p w14:paraId="5C232356" w14:textId="412B0A70" w:rsidR="009644DB" w:rsidRDefault="009644DB">
      <w:pPr>
        <w:pStyle w:val="FootnoteText"/>
      </w:pPr>
      <w:r>
        <w:rPr>
          <w:rStyle w:val="FootnoteReference"/>
        </w:rPr>
        <w:footnoteRef/>
      </w:r>
      <w:r>
        <w:t xml:space="preserve"> </w:t>
      </w:r>
      <w:r w:rsidRPr="009644DB">
        <w:t xml:space="preserve">Jiti Gao., Bin Peng., &amp; Russell Smyth. (2021). On income and price elasticities for energy demand: A panel data study. </w:t>
      </w:r>
      <w:r w:rsidRPr="009644DB">
        <w:rPr>
          <w:i/>
          <w:iCs/>
        </w:rPr>
        <w:t>Energy Economics, 96</w:t>
      </w:r>
      <w:r w:rsidRPr="009644DB">
        <w:t xml:space="preserve">, 105168. </w:t>
      </w:r>
      <w:hyperlink r:id="rId1" w:tgtFrame="_new" w:history="1">
        <w:r w:rsidRPr="009644DB">
          <w:rPr>
            <w:rStyle w:val="Hyperlink"/>
          </w:rPr>
          <w:t>https://doi.org/10.1016/j.eneco.2021.105168</w:t>
        </w:r>
      </w:hyperlink>
    </w:p>
  </w:footnote>
  <w:footnote w:id="5">
    <w:p w14:paraId="426E390F" w14:textId="598D4F10" w:rsidR="009644DB" w:rsidRDefault="009644DB">
      <w:pPr>
        <w:pStyle w:val="FootnoteText"/>
      </w:pPr>
      <w:r>
        <w:rPr>
          <w:rStyle w:val="FootnoteReference"/>
        </w:rPr>
        <w:footnoteRef/>
      </w:r>
      <w:r>
        <w:t xml:space="preserve"> </w:t>
      </w:r>
      <w:r w:rsidRPr="009644DB">
        <w:t xml:space="preserve">Hillard G. Huntington. (2015). </w:t>
      </w:r>
      <w:r w:rsidRPr="009644DB">
        <w:rPr>
          <w:i/>
          <w:iCs/>
        </w:rPr>
        <w:t>Prices, income and energy demand</w:t>
      </w:r>
      <w:r w:rsidRPr="009644DB">
        <w:t xml:space="preserve">. Stanford University, Energy Modeling Forum. </w:t>
      </w:r>
      <w:hyperlink r:id="rId2" w:tgtFrame="_new" w:history="1">
        <w:r w:rsidRPr="009644DB">
          <w:rPr>
            <w:rStyle w:val="Hyperlink"/>
          </w:rPr>
          <w:t>https://web.stanford.edu/group/emf-research/docs/occasional_papers/op73.pdf</w:t>
        </w:r>
      </w:hyperlink>
    </w:p>
  </w:footnote>
  <w:footnote w:id="6">
    <w:p w14:paraId="6590140F" w14:textId="4B027336" w:rsidR="009644DB" w:rsidRDefault="009644DB">
      <w:pPr>
        <w:pStyle w:val="FootnoteText"/>
      </w:pPr>
      <w:r>
        <w:rPr>
          <w:rStyle w:val="FootnoteReference"/>
        </w:rPr>
        <w:footnoteRef/>
      </w:r>
      <w:r>
        <w:t xml:space="preserve"> </w:t>
      </w:r>
      <w:r w:rsidRPr="009644DB">
        <w:t xml:space="preserve">African Energy Chamber. (2025, September 29). </w:t>
      </w:r>
      <w:r w:rsidRPr="009644DB">
        <w:rPr>
          <w:i/>
          <w:iCs/>
        </w:rPr>
        <w:t>AEW: OPEC highlights Africa’s rising oil demand, calls for realistic energy pathways</w:t>
      </w:r>
      <w:r w:rsidRPr="009644DB">
        <w:t xml:space="preserve">. AEC Week. </w:t>
      </w:r>
      <w:hyperlink r:id="rId3" w:tgtFrame="_new" w:history="1">
        <w:r w:rsidRPr="009644DB">
          <w:rPr>
            <w:rStyle w:val="Hyperlink"/>
          </w:rPr>
          <w:t>https://aecweek.com/aew-opec-highlights-africas-rising-oil-demand-calls-for-realistic-energy-pathways/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1FD"/>
    <w:multiLevelType w:val="multilevel"/>
    <w:tmpl w:val="AB4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B12E3"/>
    <w:multiLevelType w:val="multilevel"/>
    <w:tmpl w:val="899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B4CDA"/>
    <w:multiLevelType w:val="multilevel"/>
    <w:tmpl w:val="100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1499A"/>
    <w:multiLevelType w:val="multilevel"/>
    <w:tmpl w:val="BB1E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12F03"/>
    <w:multiLevelType w:val="multilevel"/>
    <w:tmpl w:val="9FA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BE5407"/>
    <w:multiLevelType w:val="multilevel"/>
    <w:tmpl w:val="A23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306C16"/>
    <w:multiLevelType w:val="multilevel"/>
    <w:tmpl w:val="960A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55EA9"/>
    <w:multiLevelType w:val="multilevel"/>
    <w:tmpl w:val="A22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729FB"/>
    <w:multiLevelType w:val="multilevel"/>
    <w:tmpl w:val="5FF2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083787"/>
    <w:multiLevelType w:val="multilevel"/>
    <w:tmpl w:val="DEF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8100092">
    <w:abstractNumId w:val="7"/>
  </w:num>
  <w:num w:numId="2" w16cid:durableId="1055196658">
    <w:abstractNumId w:val="6"/>
  </w:num>
  <w:num w:numId="3" w16cid:durableId="1972710161">
    <w:abstractNumId w:val="5"/>
  </w:num>
  <w:num w:numId="4" w16cid:durableId="1233813126">
    <w:abstractNumId w:val="8"/>
  </w:num>
  <w:num w:numId="5" w16cid:durableId="764182383">
    <w:abstractNumId w:val="4"/>
  </w:num>
  <w:num w:numId="6" w16cid:durableId="999965910">
    <w:abstractNumId w:val="3"/>
  </w:num>
  <w:num w:numId="7" w16cid:durableId="483741021">
    <w:abstractNumId w:val="1"/>
  </w:num>
  <w:num w:numId="8" w16cid:durableId="1521433389">
    <w:abstractNumId w:val="2"/>
  </w:num>
  <w:num w:numId="9" w16cid:durableId="1081948567">
    <w:abstractNumId w:val="9"/>
  </w:num>
  <w:num w:numId="10" w16cid:durableId="55863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E0"/>
    <w:rsid w:val="00056014"/>
    <w:rsid w:val="000E0C9D"/>
    <w:rsid w:val="00312848"/>
    <w:rsid w:val="003C4B39"/>
    <w:rsid w:val="00403275"/>
    <w:rsid w:val="00424175"/>
    <w:rsid w:val="00425AFA"/>
    <w:rsid w:val="008A17ED"/>
    <w:rsid w:val="009644DB"/>
    <w:rsid w:val="00A37CE0"/>
    <w:rsid w:val="00B2296C"/>
    <w:rsid w:val="00D1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D0A0"/>
  <w15:chartTrackingRefBased/>
  <w15:docId w15:val="{DBF7E21B-6E01-40F6-AA2E-EB12C1AE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CE0"/>
    <w:rPr>
      <w:rFonts w:eastAsiaTheme="majorEastAsia" w:cstheme="majorBidi"/>
      <w:color w:val="272727" w:themeColor="text1" w:themeTint="D8"/>
    </w:rPr>
  </w:style>
  <w:style w:type="paragraph" w:styleId="Title">
    <w:name w:val="Title"/>
    <w:basedOn w:val="Normal"/>
    <w:next w:val="Normal"/>
    <w:link w:val="TitleChar"/>
    <w:uiPriority w:val="10"/>
    <w:qFormat/>
    <w:rsid w:val="00A3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CE0"/>
    <w:pPr>
      <w:spacing w:before="160"/>
      <w:jc w:val="center"/>
    </w:pPr>
    <w:rPr>
      <w:i/>
      <w:iCs/>
      <w:color w:val="404040" w:themeColor="text1" w:themeTint="BF"/>
    </w:rPr>
  </w:style>
  <w:style w:type="character" w:customStyle="1" w:styleId="QuoteChar">
    <w:name w:val="Quote Char"/>
    <w:basedOn w:val="DefaultParagraphFont"/>
    <w:link w:val="Quote"/>
    <w:uiPriority w:val="29"/>
    <w:rsid w:val="00A37CE0"/>
    <w:rPr>
      <w:i/>
      <w:iCs/>
      <w:color w:val="404040" w:themeColor="text1" w:themeTint="BF"/>
    </w:rPr>
  </w:style>
  <w:style w:type="paragraph" w:styleId="ListParagraph">
    <w:name w:val="List Paragraph"/>
    <w:basedOn w:val="Normal"/>
    <w:uiPriority w:val="34"/>
    <w:qFormat/>
    <w:rsid w:val="00A37CE0"/>
    <w:pPr>
      <w:ind w:left="720"/>
      <w:contextualSpacing/>
    </w:pPr>
  </w:style>
  <w:style w:type="character" w:styleId="IntenseEmphasis">
    <w:name w:val="Intense Emphasis"/>
    <w:basedOn w:val="DefaultParagraphFont"/>
    <w:uiPriority w:val="21"/>
    <w:qFormat/>
    <w:rsid w:val="00A37CE0"/>
    <w:rPr>
      <w:i/>
      <w:iCs/>
      <w:color w:val="2F5496" w:themeColor="accent1" w:themeShade="BF"/>
    </w:rPr>
  </w:style>
  <w:style w:type="paragraph" w:styleId="IntenseQuote">
    <w:name w:val="Intense Quote"/>
    <w:basedOn w:val="Normal"/>
    <w:next w:val="Normal"/>
    <w:link w:val="IntenseQuoteChar"/>
    <w:uiPriority w:val="30"/>
    <w:qFormat/>
    <w:rsid w:val="00A37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CE0"/>
    <w:rPr>
      <w:i/>
      <w:iCs/>
      <w:color w:val="2F5496" w:themeColor="accent1" w:themeShade="BF"/>
    </w:rPr>
  </w:style>
  <w:style w:type="character" w:styleId="IntenseReference">
    <w:name w:val="Intense Reference"/>
    <w:basedOn w:val="DefaultParagraphFont"/>
    <w:uiPriority w:val="32"/>
    <w:qFormat/>
    <w:rsid w:val="00A37CE0"/>
    <w:rPr>
      <w:b/>
      <w:bCs/>
      <w:smallCaps/>
      <w:color w:val="2F5496" w:themeColor="accent1" w:themeShade="BF"/>
      <w:spacing w:val="5"/>
    </w:rPr>
  </w:style>
  <w:style w:type="paragraph" w:styleId="FootnoteText">
    <w:name w:val="footnote text"/>
    <w:basedOn w:val="Normal"/>
    <w:link w:val="FootnoteTextChar"/>
    <w:uiPriority w:val="99"/>
    <w:semiHidden/>
    <w:unhideWhenUsed/>
    <w:rsid w:val="00A37C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E0"/>
    <w:rPr>
      <w:sz w:val="20"/>
      <w:szCs w:val="20"/>
    </w:rPr>
  </w:style>
  <w:style w:type="character" w:styleId="FootnoteReference">
    <w:name w:val="footnote reference"/>
    <w:basedOn w:val="DefaultParagraphFont"/>
    <w:uiPriority w:val="99"/>
    <w:unhideWhenUsed/>
    <w:rsid w:val="00A37CE0"/>
    <w:rPr>
      <w:vertAlign w:val="superscript"/>
    </w:rPr>
  </w:style>
  <w:style w:type="character" w:styleId="Hyperlink">
    <w:name w:val="Hyperlink"/>
    <w:basedOn w:val="DefaultParagraphFont"/>
    <w:uiPriority w:val="99"/>
    <w:unhideWhenUsed/>
    <w:rsid w:val="009644DB"/>
    <w:rPr>
      <w:color w:val="0563C1" w:themeColor="hyperlink"/>
      <w:u w:val="single"/>
    </w:rPr>
  </w:style>
  <w:style w:type="character" w:styleId="UnresolvedMention">
    <w:name w:val="Unresolved Mention"/>
    <w:basedOn w:val="DefaultParagraphFont"/>
    <w:uiPriority w:val="99"/>
    <w:semiHidden/>
    <w:unhideWhenUsed/>
    <w:rsid w:val="00964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ecweek.com/aew-opec-highlights-africas-rising-oil-demand-calls-for-realistic-energy-pathways/" TargetMode="External"/><Relationship Id="rId2" Type="http://schemas.openxmlformats.org/officeDocument/2006/relationships/hyperlink" Target="https://web.stanford.edu/group/emf-research/docs/occasional_papers/op73.pdf" TargetMode="External"/><Relationship Id="rId1" Type="http://schemas.openxmlformats.org/officeDocument/2006/relationships/hyperlink" Target="https://doi.org/10.1016/j.eneco.2021.105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2FEC-A789-40D0-9FDB-04112780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ECDC</dc:creator>
  <cp:keywords/>
  <dc:description/>
  <cp:lastModifiedBy>ECDC</cp:lastModifiedBy>
  <cp:revision>6</cp:revision>
  <dcterms:created xsi:type="dcterms:W3CDTF">2026-03-11T01:42:00Z</dcterms:created>
  <dcterms:modified xsi:type="dcterms:W3CDTF">2026-03-11T02:28:00Z</dcterms:modified>
</cp:coreProperties>
</file>