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African gas and LNG report for 2025/2026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Executive Summary</w:t>
      </w:r>
    </w:p>
    <w:p w:rsidR="00000000" w:rsidDel="00000000" w:rsidP="00000000" w:rsidRDefault="00000000" w:rsidRPr="00000000" w14:paraId="00000004">
      <w:pPr>
        <w:jc w:val="both"/>
        <w:rPr/>
      </w:pPr>
      <w:r w:rsidDel="00000000" w:rsidR="00000000" w:rsidRPr="00000000">
        <w:rPr>
          <w:rtl w:val="0"/>
        </w:rPr>
        <w:t xml:space="preserve">The years 2025 and 2026 mark a Decisive Decade milestone for African gas. As of 2025, Africa's gross natural gas production is led by the continent's three dominant producers: Algeria, Nigeria, and Egypt. Key highlights include the successful commercialization of the Greater Tortue Ahmeyim (GTA) project in West Africa and the critical restart of Mozambique LNG operations in late 2025. </w:t>
      </w:r>
    </w:p>
    <w:p w:rsidR="00000000" w:rsidDel="00000000" w:rsidP="00000000" w:rsidRDefault="00000000" w:rsidRPr="00000000" w14:paraId="00000005">
      <w:pPr>
        <w:jc w:val="both"/>
        <w:rPr/>
      </w:pPr>
      <w:r w:rsidDel="00000000" w:rsidR="00000000" w:rsidRPr="00000000">
        <w:rPr>
          <w:rtl w:val="0"/>
        </w:rPr>
        <w:t xml:space="preserve">Domestic demand is rising (projected 60% growth by 2050 to approximately 90 bcm), driven by gas-to-power ambitions, but LNG exports dipped in 2025 due to maintenance and domestic deman pressures in North Africa. North Africa currently produces two-thirds of the continent's gas, but the African Energy Chamber's State of African Energy 2026 Outlook projects this share falling by 2035. It is estimated that Sub-Saharan LNG supply could potentially quadruple by 2050 as North Africa’s share falls from approximately 66% to 40%.</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bCs w:val="1"/>
        </w:rPr>
      </w:pPr>
      <w:r w:rsidDel="00000000" w:rsidR="00000000" w:rsidRPr="00000000">
        <w:rPr>
          <w:b w:val="1"/>
          <w:bCs w:val="1"/>
          <w:rtl w:val="0"/>
        </w:rPr>
        <w:t xml:space="preserve">Reserves and Resources</w:t>
      </w:r>
    </w:p>
    <w:p w:rsidR="00000000" w:rsidDel="00000000" w:rsidP="00000000" w:rsidRDefault="00000000" w:rsidRPr="00000000" w14:paraId="00000009">
      <w:pPr>
        <w:jc w:val="both"/>
        <w:rPr/>
      </w:pPr>
      <w:r w:rsidDel="00000000" w:rsidR="00000000" w:rsidRPr="00000000">
        <w:rPr>
          <w:rtl w:val="0"/>
        </w:rPr>
        <w:t xml:space="preserve">Africa’s remaining recoverable gas resources are concentrated in:</w:t>
      </w:r>
    </w:p>
    <w:p w:rsidR="00000000" w:rsidDel="00000000" w:rsidP="00000000" w:rsidRDefault="00000000" w:rsidRPr="00000000" w14:paraId="0000000A">
      <w:pPr>
        <w:numPr>
          <w:ilvl w:val="0"/>
          <w:numId w:val="9"/>
        </w:numPr>
        <w:ind w:left="720" w:hanging="360"/>
        <w:jc w:val="both"/>
        <w:rPr>
          <w:u w:val="none"/>
        </w:rPr>
      </w:pPr>
      <w:r w:rsidDel="00000000" w:rsidR="00000000" w:rsidRPr="00000000">
        <w:rPr>
          <w:b w:val="1"/>
          <w:bCs w:val="1"/>
          <w:rtl w:val="0"/>
        </w:rPr>
        <w:t xml:space="preserve">West Africa</w:t>
      </w: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bCs w:val="1"/>
          <w:rtl w:val="0"/>
        </w:rPr>
        <w:t xml:space="preserve">Mauritania &amp; Senegal (GTA Project):</w:t>
      </w:r>
      <w:r w:rsidDel="00000000" w:rsidR="00000000" w:rsidRPr="00000000">
        <w:rPr>
          <w:rtl w:val="0"/>
        </w:rPr>
        <w:t xml:space="preserve"> The Greater Tortue Ahmeyim (GTA) LNG development on the maritime border of Mauritania and Senegal has established core infrastructure and cross-border resource-sharing mechanisms. Following First Gas in late 2024, the Greater Tortue Ahmeyim (GTA) Phase 1 exported its inaugural cargo in April 2025. By March 2026, the project reached its nameplate capacity of 2.7 MTPA, with plans to double exports to 36 cargoes annually by the end of 2026.</w:t>
      </w:r>
    </w:p>
    <w:p w:rsidR="00000000" w:rsidDel="00000000" w:rsidP="00000000" w:rsidRDefault="00000000" w:rsidRPr="00000000" w14:paraId="0000000D">
      <w:pPr>
        <w:jc w:val="both"/>
        <w:rPr/>
      </w:pPr>
      <w:r w:rsidDel="00000000" w:rsidR="00000000" w:rsidRPr="00000000">
        <w:rPr>
          <w:rtl w:val="0"/>
        </w:rPr>
        <w:t xml:space="preserve">Each country has a modest claim from the GTA project domestically, with delivery of Senegal's portion going to the Saint-Louis CCGT for power generation expected in 2026.</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bCs w:val="1"/>
          <w:rtl w:val="0"/>
        </w:rPr>
        <w:t xml:space="preserve">Nigeria: </w:t>
      </w:r>
      <w:r w:rsidDel="00000000" w:rsidR="00000000" w:rsidRPr="00000000">
        <w:rPr>
          <w:rtl w:val="0"/>
        </w:rPr>
        <w:t xml:space="preserve">Nigeria holds the continent's largest proven gas reserves. Nigeria recorded 210.54 trillion cubic feet (TCF) of natural gas reserves as of early 2025, the largest in Africa but ranks 3rd in actual production behind Algeria and Egypt. Actual production stands at roughly 3.8 billion standard cubic feet per day. Under its "Decade of Gas" initiative launched in 2021, Nigeria is pushing hard to close this gap.</w:t>
      </w:r>
    </w:p>
    <w:p w:rsidR="00000000" w:rsidDel="00000000" w:rsidP="00000000" w:rsidRDefault="00000000" w:rsidRPr="00000000" w14:paraId="00000010">
      <w:pPr>
        <w:jc w:val="both"/>
        <w:rPr/>
      </w:pPr>
      <w:r w:rsidDel="00000000" w:rsidR="00000000" w:rsidRPr="00000000">
        <w:rPr>
          <w:rtl w:val="0"/>
        </w:rPr>
        <w:t xml:space="preserve">The NLNG Train 7 expansion on Bonny Island is over 80% complete as of early 2026. Once operational, it will boost Nigeria’s capacity from 22 to 30 MTPA. Simultaneously, Nigeria is pushing its Decade of Gas policy, focusing on the AKK Pipeline (Ajaokuta-Kaduna-Kano) to industrialize the northern corridors.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bCs w:val="1"/>
          <w:rtl w:val="0"/>
        </w:rPr>
        <w:t xml:space="preserve">Equatorial Guinea:</w:t>
      </w:r>
      <w:r w:rsidDel="00000000" w:rsidR="00000000" w:rsidRPr="00000000">
        <w:rPr>
          <w:rtl w:val="0"/>
        </w:rPr>
        <w:t xml:space="preserve"> The Gas Mega Hub initiative has gained momentum through cross-border unitization deals with Cameroon (Yoyo-Yolanda fields), ensuring the Punta Europa terminal remains fed despite declining domestic reserves.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numPr>
          <w:ilvl w:val="0"/>
          <w:numId w:val="3"/>
        </w:numPr>
        <w:ind w:left="720" w:hanging="360"/>
        <w:jc w:val="both"/>
        <w:rPr>
          <w:b w:val="1"/>
          <w:bCs w:val="1"/>
          <w:u w:val="none"/>
        </w:rPr>
      </w:pPr>
      <w:r w:rsidDel="00000000" w:rsidR="00000000" w:rsidRPr="00000000">
        <w:rPr>
          <w:b w:val="1"/>
          <w:bCs w:val="1"/>
          <w:rtl w:val="0"/>
        </w:rPr>
        <w:t xml:space="preserve">East Africa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bCs w:val="1"/>
          <w:rtl w:val="0"/>
        </w:rPr>
        <w:t xml:space="preserve">Mozambique: </w:t>
      </w:r>
      <w:r w:rsidDel="00000000" w:rsidR="00000000" w:rsidRPr="00000000">
        <w:rPr>
          <w:rtl w:val="0"/>
        </w:rPr>
        <w:t xml:space="preserve">Mozambique is arguably the continent's most watched gas story. Mozambique has potential to become a top five global LNG producer next decade, and 2026 is a key year for its core projects. In October 2025, TotalEnergies officially lifted the force majeure on the $20 billion Area 1 LNG project.TotalEnergies' Mozambique LNG project will be fully on site in heavy construction phase in 2026, this restart has catalyzed interest in ExxonMobil's Rovuma LNG project, with a Final Investment Decision (FID) expected by late 2026. The onshore Afungi LNG facilities in the Rovuma Basin remain contingent on overcoming security challenges in the Cabo Delgado region.</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bCs w:val="1"/>
          <w:rtl w:val="0"/>
        </w:rPr>
        <w:t xml:space="preserve">Tanzania:</w:t>
      </w:r>
      <w:r w:rsidDel="00000000" w:rsidR="00000000" w:rsidRPr="00000000">
        <w:rPr>
          <w:rtl w:val="0"/>
        </w:rPr>
        <w:t xml:space="preserve"> Negotiation of the Host Government Agreement (HGA) for the $42 billion Lindi LNG project continues, with the government targeting a 2026 FID to unlock 57 Tcf of deepwater reserves.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numPr>
          <w:ilvl w:val="0"/>
          <w:numId w:val="8"/>
        </w:numPr>
        <w:ind w:left="720" w:hanging="360"/>
        <w:jc w:val="both"/>
        <w:rPr>
          <w:u w:val="none"/>
        </w:rPr>
      </w:pPr>
      <w:r w:rsidDel="00000000" w:rsidR="00000000" w:rsidRPr="00000000">
        <w:rPr>
          <w:b w:val="1"/>
          <w:bCs w:val="1"/>
          <w:rtl w:val="0"/>
        </w:rPr>
        <w:t xml:space="preserve">North Africa</w:t>
      </w:r>
      <w:r w:rsidDel="00000000" w:rsidR="00000000" w:rsidRPr="00000000">
        <w:rPr>
          <w:rtl w:val="0"/>
        </w:rPr>
        <w:t xml:space="preserve">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bCs w:val="1"/>
          <w:rtl w:val="0"/>
        </w:rPr>
        <w:t xml:space="preserve">Egypt:</w:t>
      </w:r>
      <w:r w:rsidDel="00000000" w:rsidR="00000000" w:rsidRPr="00000000">
        <w:rPr>
          <w:rtl w:val="0"/>
        </w:rPr>
        <w:t xml:space="preserve"> Once a major exporter, Egypt is currently navigating a production deficit. New 3D seismic acquisitions in the Eastern Mediterranean scheduled for 2026 are critical to reversing this trend. Egypt's gas story in 2025 is one of recovery after decline. Egypt has gone back to being a net gas importer, and the largest drop in gas exports was in Egypt due to a substantial decline in gas production and persistently high domestic consumption.</w:t>
      </w:r>
    </w:p>
    <w:p w:rsidR="00000000" w:rsidDel="00000000" w:rsidP="00000000" w:rsidRDefault="00000000" w:rsidRPr="00000000" w14:paraId="0000001D">
      <w:pPr>
        <w:jc w:val="both"/>
        <w:rPr/>
      </w:pPr>
      <w:r w:rsidDel="00000000" w:rsidR="00000000" w:rsidRPr="00000000">
        <w:rPr>
          <w:rtl w:val="0"/>
        </w:rPr>
        <w:t xml:space="preserve">While it remains a regional hub via the Damietta and Idku plants, 2025 saw Egypt prioritizing domestic power generation. Egypt's state hydrocarbon firm EGAS will commence in 2026 Phase 1 of a planned large-scale multi year seismic acquisition in the Eastern Mediterranean a mega-survey planned to run over seven years.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bCs w:val="1"/>
          <w:rtl w:val="0"/>
        </w:rPr>
        <w:t xml:space="preserve">Algeria:</w:t>
      </w:r>
      <w:r w:rsidDel="00000000" w:rsidR="00000000" w:rsidRPr="00000000">
        <w:rPr>
          <w:rtl w:val="0"/>
        </w:rPr>
        <w:t xml:space="preserve"> Algeria remains Africa's most consequential gas exporter. Algeria exported 52 bcm in 2024, roughly half its domestic production. The EU absorbed about three-quarters of Algeria's gas exports, with Italy (46%), Spain (23%), Turkey (11%), and France (9%) as top clients.</w:t>
      </w:r>
    </w:p>
    <w:p w:rsidR="00000000" w:rsidDel="00000000" w:rsidP="00000000" w:rsidRDefault="00000000" w:rsidRPr="00000000" w14:paraId="00000020">
      <w:pPr>
        <w:jc w:val="both"/>
        <w:rPr/>
      </w:pPr>
      <w:r w:rsidDel="00000000" w:rsidR="00000000" w:rsidRPr="00000000">
        <w:rPr>
          <w:rtl w:val="0"/>
        </w:rPr>
        <w:t xml:space="preserve">Algeria boasts three gas pipelines feeding into the EU: Medgaz connecting it to Spain (operating near nominal capacity), and the TransMed connecting it with Italy (operating below capacity). The Maghreb-Europe pipeline to Spain and Portugal has been shut since 2021 due to diplomatic tensions with Morocco. Sonatrach continues to be Europe’s reliable "pipe-gas" partner. However, rising internal consumption is limiting the growth of LNG spot-cargo availability.</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b w:val="1"/>
          <w:bCs w:val="1"/>
          <w:rtl w:val="0"/>
        </w:rPr>
        <w:t xml:space="preserve">Libya:</w:t>
      </w:r>
      <w:r w:rsidDel="00000000" w:rsidR="00000000" w:rsidRPr="00000000">
        <w:rPr>
          <w:rtl w:val="0"/>
        </w:rPr>
        <w:t xml:space="preserve"> Libya's gas exports remain severely constrained by rising domestic demand, field production decline, the impact of continued internal political strife, and a hiatus in investments by international companies. The country's gas sector remains an underperformer relative to its reserve potential, largely due to political instability.</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rtl w:val="0"/>
        </w:rPr>
      </w:r>
    </w:p>
    <w:p w:rsidR="00000000" w:rsidDel="00000000" w:rsidP="00000000" w:rsidRDefault="00000000" w:rsidRPr="00000000" w14:paraId="00000025">
      <w:pPr>
        <w:jc w:val="both"/>
        <w:rPr>
          <w:b w:val="1"/>
          <w:bCs w:val="1"/>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b w:val="1"/>
          <w:bCs w:val="1"/>
          <w:rtl w:val="0"/>
        </w:rPr>
        <w:t xml:space="preserve">Top Producers</w:t>
      </w: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numPr>
          <w:ilvl w:val="0"/>
          <w:numId w:val="10"/>
        </w:numPr>
        <w:ind w:left="720" w:hanging="360"/>
        <w:jc w:val="both"/>
        <w:rPr>
          <w:u w:val="none"/>
        </w:rPr>
      </w:pPr>
      <w:r w:rsidDel="00000000" w:rsidR="00000000" w:rsidRPr="00000000">
        <w:rPr>
          <w:rtl w:val="0"/>
        </w:rPr>
        <w:t xml:space="preserve">Algeria: ~100 bcm (largest overall)</w:t>
      </w:r>
    </w:p>
    <w:p w:rsidR="00000000" w:rsidDel="00000000" w:rsidP="00000000" w:rsidRDefault="00000000" w:rsidRPr="00000000" w14:paraId="0000002A">
      <w:pPr>
        <w:numPr>
          <w:ilvl w:val="0"/>
          <w:numId w:val="10"/>
        </w:numPr>
        <w:ind w:left="720" w:hanging="360"/>
        <w:jc w:val="both"/>
        <w:rPr>
          <w:u w:val="none"/>
        </w:rPr>
      </w:pPr>
      <w:r w:rsidDel="00000000" w:rsidR="00000000" w:rsidRPr="00000000">
        <w:rPr>
          <w:rtl w:val="0"/>
        </w:rPr>
        <w:t xml:space="preserve">Egypt: ~65 bcm</w:t>
      </w:r>
    </w:p>
    <w:p w:rsidR="00000000" w:rsidDel="00000000" w:rsidP="00000000" w:rsidRDefault="00000000" w:rsidRPr="00000000" w14:paraId="0000002B">
      <w:pPr>
        <w:numPr>
          <w:ilvl w:val="0"/>
          <w:numId w:val="10"/>
        </w:numPr>
        <w:ind w:left="720" w:hanging="360"/>
        <w:jc w:val="both"/>
        <w:rPr>
          <w:u w:val="none"/>
        </w:rPr>
      </w:pPr>
      <w:r w:rsidDel="00000000" w:rsidR="00000000" w:rsidRPr="00000000">
        <w:rPr>
          <w:rtl w:val="0"/>
        </w:rPr>
        <w:t xml:space="preserve">Nigeria: ~40 bcm (rising to 7.5 bcfd or ~77 bcm equivalent under Decade of Gas)</w:t>
      </w:r>
    </w:p>
    <w:p w:rsidR="00000000" w:rsidDel="00000000" w:rsidP="00000000" w:rsidRDefault="00000000" w:rsidRPr="00000000" w14:paraId="0000002C">
      <w:pPr>
        <w:numPr>
          <w:ilvl w:val="0"/>
          <w:numId w:val="10"/>
        </w:numPr>
        <w:ind w:left="720" w:hanging="360"/>
        <w:jc w:val="both"/>
        <w:rPr>
          <w:u w:val="none"/>
        </w:rPr>
      </w:pPr>
      <w:r w:rsidDel="00000000" w:rsidR="00000000" w:rsidRPr="00000000">
        <w:rPr>
          <w:rtl w:val="0"/>
        </w:rPr>
        <w:t xml:space="preserve">Libya, Angola, Mozambique, Gabon, Congo follow.</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0"/>
        <w:gridCol w:w="1880"/>
        <w:gridCol w:w="1880"/>
        <w:gridCol w:w="1545"/>
        <w:gridCol w:w="2175"/>
        <w:tblGridChange w:id="0">
          <w:tblGrid>
            <w:gridCol w:w="1880"/>
            <w:gridCol w:w="1880"/>
            <w:gridCol w:w="1880"/>
            <w:gridCol w:w="1545"/>
            <w:gridCol w:w="2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b w:val="1"/>
                <w:bCs w:val="1"/>
              </w:rPr>
            </w:pPr>
            <w:r w:rsidDel="00000000" w:rsidR="00000000" w:rsidRPr="00000000">
              <w:rPr>
                <w:b w:val="1"/>
                <w:bCs w:val="1"/>
                <w:rtl w:val="0"/>
              </w:rPr>
              <w:t xml:space="preserve">Project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both"/>
              <w:rPr>
                <w:b w:val="1"/>
                <w:bCs w:val="1"/>
              </w:rPr>
            </w:pPr>
            <w:r w:rsidDel="00000000" w:rsidR="00000000" w:rsidRPr="00000000">
              <w:rPr>
                <w:b w:val="1"/>
                <w:bCs w:val="1"/>
                <w:rtl w:val="0"/>
              </w:rPr>
              <w:t xml:space="preserve">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both"/>
              <w:rPr>
                <w:b w:val="1"/>
                <w:bCs w:val="1"/>
              </w:rPr>
            </w:pPr>
            <w:r w:rsidDel="00000000" w:rsidR="00000000" w:rsidRPr="00000000">
              <w:rPr>
                <w:b w:val="1"/>
                <w:bCs w:val="1"/>
                <w:rtl w:val="0"/>
              </w:rPr>
              <w:t xml:space="preserve">Status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both"/>
              <w:rPr>
                <w:b w:val="1"/>
                <w:bCs w:val="1"/>
              </w:rPr>
            </w:pPr>
            <w:r w:rsidDel="00000000" w:rsidR="00000000" w:rsidRPr="00000000">
              <w:rPr>
                <w:b w:val="1"/>
                <w:bCs w:val="1"/>
                <w:rtl w:val="0"/>
              </w:rPr>
              <w:t xml:space="preserve">Capacity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b w:val="1"/>
                <w:bCs w:val="1"/>
              </w:rPr>
            </w:pPr>
            <w:r w:rsidDel="00000000" w:rsidR="00000000" w:rsidRPr="00000000">
              <w:rPr>
                <w:b w:val="1"/>
                <w:bCs w:val="1"/>
                <w:rtl w:val="0"/>
              </w:rPr>
              <w:t xml:space="preserve">Key 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both"/>
              <w:rPr/>
            </w:pPr>
            <w:r w:rsidDel="00000000" w:rsidR="00000000" w:rsidRPr="00000000">
              <w:rPr>
                <w:rtl w:val="0"/>
              </w:rPr>
              <w:t xml:space="preserve">GTA Phase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pPr>
            <w:r w:rsidDel="00000000" w:rsidR="00000000" w:rsidRPr="00000000">
              <w:rPr>
                <w:rtl w:val="0"/>
              </w:rPr>
              <w:t xml:space="preserve">Mauritania/Senegal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pPr>
            <w:r w:rsidDel="00000000" w:rsidR="00000000" w:rsidRPr="00000000">
              <w:rPr>
                <w:rtl w:val="0"/>
              </w:rPr>
              <w:t xml:space="preserve">Operational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both"/>
              <w:rPr/>
            </w:pPr>
            <w:r w:rsidDel="00000000" w:rsidR="00000000" w:rsidRPr="00000000">
              <w:rPr>
                <w:rtl w:val="0"/>
              </w:rPr>
              <w:t xml:space="preserve">2.7 MTPA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pPr>
            <w:r w:rsidDel="00000000" w:rsidR="00000000" w:rsidRPr="00000000">
              <w:rPr>
                <w:rtl w:val="0"/>
              </w:rPr>
              <w:t xml:space="preserve">First cargo in 2025; ramp up ongoing.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pPr>
            <w:r w:rsidDel="00000000" w:rsidR="00000000" w:rsidRPr="00000000">
              <w:rPr>
                <w:rtl w:val="0"/>
              </w:rPr>
              <w:t xml:space="preserve">NLNG Train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pPr>
            <w:r w:rsidDel="00000000" w:rsidR="00000000" w:rsidRPr="00000000">
              <w:rPr>
                <w:rtl w:val="0"/>
              </w:rPr>
              <w:t xml:space="preserve">Nigeria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pPr>
            <w:r w:rsidDel="00000000" w:rsidR="00000000" w:rsidRPr="00000000">
              <w:rPr>
                <w:rtl w:val="0"/>
              </w:rPr>
              <w:t xml:space="preserve">Commissioning 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pPr>
            <w:r w:rsidDel="00000000" w:rsidR="00000000" w:rsidRPr="00000000">
              <w:rPr>
                <w:rtl w:val="0"/>
              </w:rPr>
              <w:t xml:space="preserve">+8 MTPA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pPr>
            <w:r w:rsidDel="00000000" w:rsidR="00000000" w:rsidRPr="00000000">
              <w:rPr>
                <w:rtl w:val="0"/>
              </w:rPr>
              <w:t xml:space="preserve">Expanding total capacity to approximately 30 MTPA.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pPr>
            <w:r w:rsidDel="00000000" w:rsidR="00000000" w:rsidRPr="00000000">
              <w:rPr>
                <w:rtl w:val="0"/>
              </w:rPr>
              <w:t xml:space="preserve">Coral North FLNG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pPr>
            <w:r w:rsidDel="00000000" w:rsidR="00000000" w:rsidRPr="00000000">
              <w:rPr>
                <w:rtl w:val="0"/>
              </w:rPr>
              <w:t xml:space="preserve">Mozambique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pPr>
            <w:r w:rsidDel="00000000" w:rsidR="00000000" w:rsidRPr="00000000">
              <w:rPr>
                <w:rtl w:val="0"/>
              </w:rPr>
              <w:t xml:space="preserve">FID/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pPr>
            <w:r w:rsidDel="00000000" w:rsidR="00000000" w:rsidRPr="00000000">
              <w:rPr>
                <w:rtl w:val="0"/>
              </w:rPr>
              <w:t xml:space="preserve">3.4 MTPA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pPr>
            <w:r w:rsidDel="00000000" w:rsidR="00000000" w:rsidRPr="00000000">
              <w:rPr>
                <w:rtl w:val="0"/>
              </w:rPr>
              <w:t xml:space="preserve">FID expected; builds on coral south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pPr>
            <w:r w:rsidDel="00000000" w:rsidR="00000000" w:rsidRPr="00000000">
              <w:rPr>
                <w:rtl w:val="0"/>
              </w:rPr>
              <w:t xml:space="preserve">Congo LNG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pPr>
            <w:r w:rsidDel="00000000" w:rsidR="00000000" w:rsidRPr="00000000">
              <w:rPr>
                <w:rtl w:val="0"/>
              </w:rPr>
              <w:t xml:space="preserve">Republic of Congo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pPr>
            <w:r w:rsidDel="00000000" w:rsidR="00000000" w:rsidRPr="00000000">
              <w:rPr>
                <w:rtl w:val="0"/>
              </w:rPr>
              <w:t xml:space="preserve">Ramping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pPr>
            <w:r w:rsidDel="00000000" w:rsidR="00000000" w:rsidRPr="00000000">
              <w:rPr>
                <w:rtl w:val="0"/>
              </w:rPr>
              <w:t xml:space="preserve">3.0 MTPA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pPr>
            <w:r w:rsidDel="00000000" w:rsidR="00000000" w:rsidRPr="00000000">
              <w:rPr>
                <w:rtl w:val="0"/>
              </w:rPr>
              <w:t xml:space="preserve">Phased development underway.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both"/>
              <w:rPr/>
            </w:pPr>
            <w:r w:rsidDel="00000000" w:rsidR="00000000" w:rsidRPr="00000000">
              <w:rPr>
                <w:rtl w:val="0"/>
              </w:rPr>
              <w:t xml:space="preserve">Marine XII (FLNG)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pPr>
            <w:r w:rsidDel="00000000" w:rsidR="00000000" w:rsidRPr="00000000">
              <w:rPr>
                <w:rtl w:val="0"/>
              </w:rPr>
              <w:t xml:space="preserve">Gabon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both"/>
              <w:rPr/>
            </w:pPr>
            <w:r w:rsidDel="00000000" w:rsidR="00000000" w:rsidRPr="00000000">
              <w:rPr>
                <w:rtl w:val="0"/>
              </w:rPr>
              <w:t xml:space="preserve">Operational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pPr>
            <w:r w:rsidDel="00000000" w:rsidR="00000000" w:rsidRPr="00000000">
              <w:rPr>
                <w:rtl w:val="0"/>
              </w:rPr>
              <w:t xml:space="preserve">0.7 MTPA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both"/>
              <w:rPr/>
            </w:pPr>
            <w:r w:rsidDel="00000000" w:rsidR="00000000" w:rsidRPr="00000000">
              <w:rPr>
                <w:rtl w:val="0"/>
              </w:rPr>
              <w:t xml:space="preserve">Small-scale  floating LNG project.</w:t>
            </w:r>
          </w:p>
        </w:tc>
      </w:tr>
    </w:tbl>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bCs w:val="1"/>
        </w:rPr>
      </w:pPr>
      <w:r w:rsidDel="00000000" w:rsidR="00000000" w:rsidRPr="00000000">
        <w:rPr>
          <w:b w:val="1"/>
          <w:bCs w:val="1"/>
          <w:rtl w:val="0"/>
        </w:rPr>
        <w:t xml:space="preserve">Challenges</w:t>
      </w:r>
    </w:p>
    <w:p w:rsidR="00000000" w:rsidDel="00000000" w:rsidP="00000000" w:rsidRDefault="00000000" w:rsidRPr="00000000" w14:paraId="00000051">
      <w:pPr>
        <w:jc w:val="both"/>
        <w:rPr/>
      </w:pPr>
      <w:r w:rsidDel="00000000" w:rsidR="00000000" w:rsidRPr="00000000">
        <w:rPr>
          <w:rtl w:val="0"/>
        </w:rPr>
        <w:t xml:space="preserve">Despite the optimistic trajectory, serious obstacles remain. They include: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numPr>
          <w:ilvl w:val="0"/>
          <w:numId w:val="7"/>
        </w:numPr>
        <w:ind w:left="720" w:hanging="360"/>
        <w:jc w:val="both"/>
        <w:rPr>
          <w:u w:val="none"/>
        </w:rPr>
      </w:pPr>
      <w:r w:rsidDel="00000000" w:rsidR="00000000" w:rsidRPr="00000000">
        <w:rPr>
          <w:rtl w:val="0"/>
        </w:rPr>
        <w:t xml:space="preserve">Infrastructure Gaps</w:t>
      </w:r>
    </w:p>
    <w:p w:rsidR="00000000" w:rsidDel="00000000" w:rsidP="00000000" w:rsidRDefault="00000000" w:rsidRPr="00000000" w14:paraId="00000054">
      <w:pPr>
        <w:jc w:val="both"/>
        <w:rPr/>
      </w:pPr>
      <w:r w:rsidDel="00000000" w:rsidR="00000000" w:rsidRPr="00000000">
        <w:rPr>
          <w:rtl w:val="0"/>
        </w:rPr>
        <w:t xml:space="preserve">These are the most cited barrier. Over 50% of sub-Saharan gas production remains tied to associated gas (produced alongside oil), which limits flexibility and constrains long-term planning. Non-associated gas projects require much higher capital investment and stronger offtake agreements to be viable.</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numPr>
          <w:ilvl w:val="0"/>
          <w:numId w:val="6"/>
        </w:numPr>
        <w:ind w:left="720" w:hanging="360"/>
        <w:jc w:val="both"/>
        <w:rPr>
          <w:u w:val="none"/>
        </w:rPr>
      </w:pPr>
      <w:r w:rsidDel="00000000" w:rsidR="00000000" w:rsidRPr="00000000">
        <w:rPr>
          <w:rtl w:val="0"/>
        </w:rPr>
        <w:t xml:space="preserve">Geopolitical disruptions </w:t>
      </w:r>
    </w:p>
    <w:p w:rsidR="00000000" w:rsidDel="00000000" w:rsidP="00000000" w:rsidRDefault="00000000" w:rsidRPr="00000000" w14:paraId="00000057">
      <w:pPr>
        <w:jc w:val="both"/>
        <w:rPr/>
      </w:pPr>
      <w:r w:rsidDel="00000000" w:rsidR="00000000" w:rsidRPr="00000000">
        <w:rPr>
          <w:rtl w:val="0"/>
        </w:rPr>
        <w:t xml:space="preserve">These are also reshaping trade flows. With much of the Middle East in turmoil, African LNG projects in west and sub-Saharan Africa are benefiting from Japanese and Asian buyers seeking security and diversity of supply, potentially expanding investment in African upstream projects. </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numPr>
          <w:ilvl w:val="0"/>
          <w:numId w:val="4"/>
        </w:numPr>
        <w:ind w:left="720" w:hanging="360"/>
        <w:jc w:val="both"/>
        <w:rPr>
          <w:u w:val="none"/>
        </w:rPr>
      </w:pPr>
      <w:r w:rsidDel="00000000" w:rsidR="00000000" w:rsidRPr="00000000">
        <w:rPr>
          <w:rtl w:val="0"/>
        </w:rPr>
        <w:t xml:space="preserve">Flaring/emissions intensity</w:t>
      </w:r>
    </w:p>
    <w:p w:rsidR="00000000" w:rsidDel="00000000" w:rsidP="00000000" w:rsidRDefault="00000000" w:rsidRPr="00000000" w14:paraId="0000005A">
      <w:pPr>
        <w:jc w:val="both"/>
        <w:rPr/>
      </w:pPr>
      <w:r w:rsidDel="00000000" w:rsidR="00000000" w:rsidRPr="00000000">
        <w:rPr>
          <w:rtl w:val="0"/>
        </w:rPr>
        <w:t xml:space="preserve">Methane and environmental compliance are rising in importance. The EU Methane Regulation (MER) and the Corporate Sustainability Due Diligence Directive (CSDDD) have faced strong criticism from the gas and LNG industries in 2025, especially from major global exporters. Companies say compliance difficulties are delaying new contracts and risk disrupting imports. </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numPr>
          <w:ilvl w:val="0"/>
          <w:numId w:val="1"/>
        </w:numPr>
        <w:ind w:left="720" w:hanging="360"/>
        <w:jc w:val="both"/>
        <w:rPr>
          <w:u w:val="none"/>
        </w:rPr>
      </w:pPr>
      <w:r w:rsidDel="00000000" w:rsidR="00000000" w:rsidRPr="00000000">
        <w:rPr>
          <w:rtl w:val="0"/>
        </w:rPr>
        <w:t xml:space="preserve">Security (Mozambique insurgency delays).</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b w:val="1"/>
          <w:bCs w:val="1"/>
          <w:rtl w:val="0"/>
        </w:rPr>
        <w:t xml:space="preserve">Opportunities</w:t>
      </w:r>
      <w:r w:rsidDel="00000000" w:rsidR="00000000" w:rsidRPr="00000000">
        <w:rPr>
          <w:rtl w:val="0"/>
        </w:rPr>
        <w:t xml:space="preserve"> </w:t>
      </w:r>
    </w:p>
    <w:p w:rsidR="00000000" w:rsidDel="00000000" w:rsidP="00000000" w:rsidRDefault="00000000" w:rsidRPr="00000000" w14:paraId="00000060">
      <w:pPr>
        <w:numPr>
          <w:ilvl w:val="0"/>
          <w:numId w:val="2"/>
        </w:numPr>
        <w:ind w:left="720" w:hanging="360"/>
        <w:jc w:val="both"/>
        <w:rPr>
          <w:u w:val="none"/>
        </w:rPr>
      </w:pPr>
      <w:r w:rsidDel="00000000" w:rsidR="00000000" w:rsidRPr="00000000">
        <w:rPr>
          <w:rtl w:val="0"/>
        </w:rPr>
        <w:t xml:space="preserve">Gas-to-power and industrialization (Nigeria, Senegal, Angola targets).</w:t>
      </w:r>
    </w:p>
    <w:p w:rsidR="00000000" w:rsidDel="00000000" w:rsidP="00000000" w:rsidRDefault="00000000" w:rsidRPr="00000000" w14:paraId="00000061">
      <w:pPr>
        <w:numPr>
          <w:ilvl w:val="0"/>
          <w:numId w:val="2"/>
        </w:numPr>
        <w:ind w:left="720" w:hanging="360"/>
        <w:jc w:val="both"/>
        <w:rPr>
          <w:u w:val="none"/>
        </w:rPr>
      </w:pPr>
      <w:r w:rsidDel="00000000" w:rsidR="00000000" w:rsidRPr="00000000">
        <w:rPr>
          <w:rtl w:val="0"/>
        </w:rPr>
        <w:t xml:space="preserve">industrial development </w:t>
      </w:r>
    </w:p>
    <w:p w:rsidR="00000000" w:rsidDel="00000000" w:rsidP="00000000" w:rsidRDefault="00000000" w:rsidRPr="00000000" w14:paraId="00000062">
      <w:pPr>
        <w:numPr>
          <w:ilvl w:val="0"/>
          <w:numId w:val="2"/>
        </w:numPr>
        <w:ind w:left="720" w:hanging="360"/>
        <w:jc w:val="both"/>
        <w:rPr>
          <w:u w:val="none"/>
        </w:rPr>
      </w:pPr>
      <w:r w:rsidDel="00000000" w:rsidR="00000000" w:rsidRPr="00000000">
        <w:rPr>
          <w:rtl w:val="0"/>
        </w:rPr>
        <w:t xml:space="preserve">Competitive fiscal terms and licensing rounds.</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b w:val="1"/>
          <w:bCs w:val="1"/>
        </w:rPr>
      </w:pPr>
      <w:r w:rsidDel="00000000" w:rsidR="00000000" w:rsidRPr="00000000">
        <w:rPr>
          <w:b w:val="1"/>
          <w:bCs w:val="1"/>
          <w:rtl w:val="0"/>
        </w:rPr>
        <w:t xml:space="preserve">Investment &amp; FID Outlook for 2026</w:t>
      </w:r>
    </w:p>
    <w:p w:rsidR="00000000" w:rsidDel="00000000" w:rsidP="00000000" w:rsidRDefault="00000000" w:rsidRPr="00000000" w14:paraId="00000066">
      <w:pPr>
        <w:jc w:val="both"/>
        <w:rPr/>
      </w:pPr>
      <w:r w:rsidDel="00000000" w:rsidR="00000000" w:rsidRPr="00000000">
        <w:rPr>
          <w:rtl w:val="0"/>
        </w:rPr>
        <w:t xml:space="preserve">Key milestones expected in 2026 include: </w:t>
      </w:r>
    </w:p>
    <w:p w:rsidR="00000000" w:rsidDel="00000000" w:rsidP="00000000" w:rsidRDefault="00000000" w:rsidRPr="00000000" w14:paraId="00000067">
      <w:pPr>
        <w:numPr>
          <w:ilvl w:val="0"/>
          <w:numId w:val="5"/>
        </w:numPr>
        <w:ind w:left="720" w:hanging="360"/>
        <w:jc w:val="both"/>
        <w:rPr>
          <w:u w:val="none"/>
        </w:rPr>
      </w:pPr>
      <w:r w:rsidDel="00000000" w:rsidR="00000000" w:rsidRPr="00000000">
        <w:rPr>
          <w:rtl w:val="0"/>
        </w:rPr>
        <w:t xml:space="preserve">The ANOH project in Nigeria ramping up</w:t>
      </w:r>
    </w:p>
    <w:p w:rsidR="00000000" w:rsidDel="00000000" w:rsidP="00000000" w:rsidRDefault="00000000" w:rsidRPr="00000000" w14:paraId="00000068">
      <w:pPr>
        <w:numPr>
          <w:ilvl w:val="0"/>
          <w:numId w:val="5"/>
        </w:numPr>
        <w:ind w:left="720" w:hanging="360"/>
        <w:jc w:val="both"/>
        <w:rPr>
          <w:u w:val="none"/>
        </w:rPr>
      </w:pPr>
      <w:r w:rsidDel="00000000" w:rsidR="00000000" w:rsidRPr="00000000">
        <w:rPr>
          <w:rtl w:val="0"/>
        </w:rPr>
        <w:t xml:space="preserve">Angola's New Gas Consortium achieving first gas</w:t>
      </w:r>
    </w:p>
    <w:p w:rsidR="00000000" w:rsidDel="00000000" w:rsidP="00000000" w:rsidRDefault="00000000" w:rsidRPr="00000000" w14:paraId="00000069">
      <w:pPr>
        <w:numPr>
          <w:ilvl w:val="0"/>
          <w:numId w:val="5"/>
        </w:numPr>
        <w:ind w:left="720" w:hanging="360"/>
        <w:jc w:val="both"/>
        <w:rPr>
          <w:u w:val="none"/>
        </w:rPr>
      </w:pPr>
      <w:r w:rsidDel="00000000" w:rsidR="00000000" w:rsidRPr="00000000">
        <w:rPr>
          <w:rtl w:val="0"/>
        </w:rPr>
        <w:t xml:space="preserve">Congo LNG delivering its first cargo. </w:t>
      </w:r>
    </w:p>
    <w:p w:rsidR="00000000" w:rsidDel="00000000" w:rsidP="00000000" w:rsidRDefault="00000000" w:rsidRPr="00000000" w14:paraId="0000006A">
      <w:pPr>
        <w:jc w:val="both"/>
        <w:rPr/>
      </w:pPr>
      <w:r w:rsidDel="00000000" w:rsidR="00000000" w:rsidRPr="00000000">
        <w:rPr>
          <w:rtl w:val="0"/>
        </w:rPr>
        <w:t xml:space="preserve">The outlook for FIDs is expected to moderate in 2026, with competition for customers between pre-FID and post-FID projects increasing and several major projects facing delays from inflated construction costs, supply chain constraints and evolving financing conditions.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b w:val="1"/>
          <w:bCs w:val="1"/>
        </w:rPr>
      </w:pPr>
      <w:r w:rsidDel="00000000" w:rsidR="00000000" w:rsidRPr="00000000">
        <w:rPr>
          <w:b w:val="1"/>
          <w:bCs w:val="1"/>
          <w:rtl w:val="0"/>
        </w:rPr>
        <w:t xml:space="preserve">Conclusion</w:t>
      </w:r>
    </w:p>
    <w:p w:rsidR="00000000" w:rsidDel="00000000" w:rsidP="00000000" w:rsidRDefault="00000000" w:rsidRPr="00000000" w14:paraId="0000006E">
      <w:pPr>
        <w:jc w:val="both"/>
        <w:rPr/>
      </w:pPr>
      <w:r w:rsidDel="00000000" w:rsidR="00000000" w:rsidRPr="00000000">
        <w:rPr>
          <w:rtl w:val="0"/>
        </w:rPr>
        <w:t xml:space="preserve">2025/2026 marks Africa’s gas and LNG coming of age. With disciplined investment, infrastructure buildout, and balanced domestic/export strategies, the continent can leverage its resources for energy security, economic growth, and global supply stability. The sector’s success hinges on turning reserves into reliable, sustainable value positioning Africa as a key player in the energy transition.</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