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entury Gothic" w:cs="Century Gothic" w:eastAsia="Century Gothic" w:hAnsi="Century Gothic"/>
          <w:b w:val="1"/>
          <w:bCs w:val="1"/>
          <w:sz w:val="36"/>
          <w:szCs w:val="36"/>
        </w:rPr>
      </w:pPr>
      <w:r w:rsidDel="00000000" w:rsidR="00000000" w:rsidRPr="00000000">
        <w:rPr>
          <w:rFonts w:ascii="Century Gothic" w:cs="Century Gothic" w:eastAsia="Century Gothic" w:hAnsi="Century Gothic"/>
          <w:b w:val="1"/>
          <w:bCs w:val="1"/>
          <w:sz w:val="36"/>
          <w:szCs w:val="36"/>
          <w:rtl w:val="0"/>
        </w:rPr>
        <w:t xml:space="preserve">Senegal’s Energy-Efficient and Climate-Friendly Cooling Initiative</w:t>
      </w:r>
    </w:p>
    <w:p w:rsidR="00000000" w:rsidDel="00000000" w:rsidP="00000000" w:rsidRDefault="00000000" w:rsidRPr="00000000" w14:paraId="00000002">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3">
      <w:pPr>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Executive Summary</w:t>
      </w:r>
    </w:p>
    <w:p w:rsidR="00000000" w:rsidDel="00000000" w:rsidP="00000000" w:rsidRDefault="00000000" w:rsidRPr="00000000" w14:paraId="00000004">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5">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Energy-Efficient and Climate-Friendly Cooling Solutions project, a strategic initiative to transform the national cooling sector while advancing the country’s climate and energy security goals.The initiative is a response to the surging demand for air conditioning and refrigeration driven by urbanization and rising temperatures. The project aims to transform the national cooling market by enforcing high energy-performance standards, phasing out obsolete equipment, and attracting climate finance to reduce the burden on the national power grid.</w:t>
      </w:r>
    </w:p>
    <w:p w:rsidR="00000000" w:rsidDel="00000000" w:rsidP="00000000" w:rsidRDefault="00000000" w:rsidRPr="00000000" w14:paraId="00000006">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Led by the Agency for Energy Economy and Management (AEME) in partnership with the United Nations Industrial Development Organisation (UNIDO), and involving the Directorate of Climate Change, Ecological Transition and Green Financing (DCCTEFV) and the National Climate Change Committee (COMNACC), the project is backed by a USD 1 million Green Climate Fund (GCF) Readiness grant. The Implementation process spans 36 months.</w:t>
      </w:r>
    </w:p>
    <w:p w:rsidR="00000000" w:rsidDel="00000000" w:rsidP="00000000" w:rsidRDefault="00000000" w:rsidRPr="00000000" w14:paraId="00000007">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Core objectives include; Developing a pipeline of bankable projects to attract climate finance, Updating Senegal’s Nationally Determined Contribution (NDC) to better integrate private-sector engagement in sustainable cooling, and building institutional and market capacity for long-term market transformation.</w:t>
      </w:r>
    </w:p>
    <w:p w:rsidR="00000000" w:rsidDel="00000000" w:rsidP="00000000" w:rsidRDefault="00000000" w:rsidRPr="00000000" w14:paraId="00000008">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9">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A">
      <w:pPr>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Introduction</w:t>
      </w:r>
    </w:p>
    <w:p w:rsidR="00000000" w:rsidDel="00000000" w:rsidP="00000000" w:rsidRDefault="00000000" w:rsidRPr="00000000" w14:paraId="0000000B">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C">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Cooling today accounts for roughly 20% of all electricity consumed globally. It is simultaneously a climate driver and a climate adaptation necessity: as heatwaves intensify, access to cooling becomes a public health imperative, particularly for vulnerable populations in the Global South. The UNEP Cool Coalition estimates that over one billion people currently lack adequate access to cooling, a figure that could triple by 2050 without concerted intervention. Cooling is simultaneously a climate, energy, industrial, and development challenge in Senegal. The project responds by structuring the market around high-performance standards, accelerating MEPS and labelling implementation, and generating investable projects.</w:t>
      </w:r>
    </w:p>
    <w:p w:rsidR="00000000" w:rsidDel="00000000" w:rsidP="00000000" w:rsidRDefault="00000000" w:rsidRPr="00000000" w14:paraId="0000000D">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E">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is not a standalone effort. It complements the ECOWAS Refrigerators and Air Conditioners Initiative (ECOFRIDGES) / Benen ECOFRIDGES, and the ROCA (Ozone and Climate Friendly Cooling in West and Central Africa) project.</w:t>
      </w:r>
    </w:p>
    <w:p w:rsidR="00000000" w:rsidDel="00000000" w:rsidP="00000000" w:rsidRDefault="00000000" w:rsidRPr="00000000" w14:paraId="0000000F">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0">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Senegal has developed one of West Africa's most coherent national energy frameworks. The country's Energy Sector Development Policy Letter (LDPSE) establishes as its core objective the universal access to affordable, sufficient, high-quality, and environmentally responsible energy. This objective explicitly includes efficient and less polluting electricity consumption by end users, providing the legislative foundation for demand-side energy efficiency programs.</w:t>
      </w:r>
    </w:p>
    <w:p w:rsidR="00000000" w:rsidDel="00000000" w:rsidP="00000000" w:rsidRDefault="00000000" w:rsidRPr="00000000" w14:paraId="00000011">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2">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Critically, Senegal's National Cooling Action Plan (NCAP) provides the strategic blueprint from which the new UNIDO-AEME project is drawing its technical architecture. The country also benefits from a relatively advanced utility billing infrastructure through Senelec's Woyofal prepaid metering system.</w:t>
      </w:r>
    </w:p>
    <w:p w:rsidR="00000000" w:rsidDel="00000000" w:rsidP="00000000" w:rsidRDefault="00000000" w:rsidRPr="00000000" w14:paraId="00000013">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4">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5">
      <w:pPr>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Strategic Objectives</w:t>
      </w:r>
    </w:p>
    <w:p w:rsidR="00000000" w:rsidDel="00000000" w:rsidP="00000000" w:rsidRDefault="00000000" w:rsidRPr="00000000" w14:paraId="00000016">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7">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objective of the initiative includes:</w:t>
      </w:r>
    </w:p>
    <w:p w:rsidR="00000000" w:rsidDel="00000000" w:rsidP="00000000" w:rsidRDefault="00000000" w:rsidRPr="00000000" w14:paraId="00000018">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9">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Structuring the market around high energy-performance standards and accelerating the implementation of Minimum Energy Performance Standards (MEPS).</w:t>
      </w:r>
    </w:p>
    <w:p w:rsidR="00000000" w:rsidDel="00000000" w:rsidP="00000000" w:rsidRDefault="00000000" w:rsidRPr="00000000" w14:paraId="0000001A">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Implementing energy labeling for household appliances, following the decree adopted on November 19, 2025.</w:t>
      </w:r>
    </w:p>
    <w:p w:rsidR="00000000" w:rsidDel="00000000" w:rsidP="00000000" w:rsidRDefault="00000000" w:rsidRPr="00000000" w14:paraId="0000001B">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Reducing peak demand on the national grid to delay the need for costly new power plant investments.</w:t>
      </w:r>
    </w:p>
    <w:p w:rsidR="00000000" w:rsidDel="00000000" w:rsidP="00000000" w:rsidRDefault="00000000" w:rsidRPr="00000000" w14:paraId="0000001C">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Cut greenhouse gas emissions</w:t>
      </w:r>
    </w:p>
    <w:p w:rsidR="00000000" w:rsidDel="00000000" w:rsidP="00000000" w:rsidRDefault="00000000" w:rsidRPr="00000000" w14:paraId="0000001D">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Eliminate environmentally harmful refrigerants</w:t>
      </w:r>
    </w:p>
    <w:p w:rsidR="00000000" w:rsidDel="00000000" w:rsidP="00000000" w:rsidRDefault="00000000" w:rsidRPr="00000000" w14:paraId="0000001E">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F">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0">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1">
      <w:pPr>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Overview of the Cooling Project</w:t>
      </w:r>
    </w:p>
    <w:p w:rsidR="00000000" w:rsidDel="00000000" w:rsidP="00000000" w:rsidRDefault="00000000" w:rsidRPr="00000000" w14:paraId="00000022">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3">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project is a multi-stakeholder effort designed to align Senegal’s industrial growth with its Nationally Determined Contributions (NDCs) under the Paris Agreement.</w:t>
      </w:r>
    </w:p>
    <w:p w:rsidR="00000000" w:rsidDel="00000000" w:rsidP="00000000" w:rsidRDefault="00000000" w:rsidRPr="00000000" w14:paraId="00000024">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project launch represents a significant institutional scaling-up relative to earlier pilots. The core implementing architecture involves four primary institutional actors operating in complementary roles:</w:t>
      </w:r>
    </w:p>
    <w:p w:rsidR="00000000" w:rsidDel="00000000" w:rsidP="00000000" w:rsidRDefault="00000000" w:rsidRPr="00000000" w14:paraId="00000025">
      <w:pPr>
        <w:jc w:val="both"/>
        <w:rPr>
          <w:rFonts w:ascii="Century Gothic" w:cs="Century Gothic" w:eastAsia="Century Gothic" w:hAnsi="Century Gothic"/>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Institutions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Role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AEME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Lead national implementing agency. Coordinates all project components, oversees compliance with Senegal's national energy efficiency policy, and serves as the primary interface with the government's climate commitments.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International technical partner. Provides industrial expertise, technology assessment, capacity building for the refrigeration and air conditioning (RAC) sector, and linkage to Montreal Protocol mechanisms.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COMNACC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National Climate Change Committee. Ensures project alignment with Senegal's Nationally Determined Contribution (NDC) under the Paris Agreement and broader climate governance architecture.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GCF</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Provides concessional funding through the Green Climate Fund's readiness mechanism, supporting institutional strengthening and pipeline development for larger future GCF investments.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Directorate of Climate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Oversees greenhouse gas accounting, green financing frameworks, and ensures durable emissions reductions particularly in the industrial, energy, and agricultural sectors.</w:t>
            </w:r>
          </w:p>
        </w:tc>
      </w:tr>
    </w:tbl>
    <w:p w:rsidR="00000000" w:rsidDel="00000000" w:rsidP="00000000" w:rsidRDefault="00000000" w:rsidRPr="00000000" w14:paraId="00000032">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3">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4">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5">
      <w:pPr>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Technology Deep Dive and Innovations</w:t>
      </w:r>
    </w:p>
    <w:p w:rsidR="00000000" w:rsidDel="00000000" w:rsidP="00000000" w:rsidRDefault="00000000" w:rsidRPr="00000000" w14:paraId="00000036">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7">
      <w:pPr>
        <w:numPr>
          <w:ilvl w:val="0"/>
          <w:numId w:val="12"/>
        </w:numPr>
        <w:ind w:left="720" w:hanging="360"/>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Refrigerant Emissions Avoidance</w:t>
      </w:r>
    </w:p>
    <w:p w:rsidR="00000000" w:rsidDel="00000000" w:rsidP="00000000" w:rsidRDefault="00000000" w:rsidRPr="00000000" w14:paraId="00000038">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Beyond electricity savings, the refrigerant transition component of the programme delivers direct Green House Gas emission reductions through two channels: elimination of refrigerant leakage from legacy systems (HCFC and HFC emissions that occur during servicing, accidents, and end-of-life disposal) and the displacement of high-GWP refrigerants from the new equipment installed base.</w:t>
      </w:r>
    </w:p>
    <w:p w:rsidR="00000000" w:rsidDel="00000000" w:rsidP="00000000" w:rsidRDefault="00000000" w:rsidRPr="00000000" w14:paraId="00000039">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A">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ECOFRIDGES includes an integrated collection and recycling mechanism for displaced units, ensuring that removed refrigerants are captured and destroyed rather than vented to the atmosphere.</w:t>
      </w:r>
    </w:p>
    <w:p w:rsidR="00000000" w:rsidDel="00000000" w:rsidP="00000000" w:rsidRDefault="00000000" w:rsidRPr="00000000" w14:paraId="0000003B">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C">
      <w:pPr>
        <w:numPr>
          <w:ilvl w:val="0"/>
          <w:numId w:val="21"/>
        </w:numPr>
        <w:ind w:left="720" w:hanging="360"/>
        <w:jc w:val="both"/>
        <w:rPr>
          <w:rFonts w:ascii="Century Gothic" w:cs="Century Gothic" w:eastAsia="Century Gothic" w:hAnsi="Century Gothic"/>
          <w:b w:val="1"/>
          <w:bCs w:val="1"/>
          <w:u w:val="none"/>
        </w:rPr>
      </w:pPr>
      <w:r w:rsidDel="00000000" w:rsidR="00000000" w:rsidRPr="00000000">
        <w:rPr>
          <w:rFonts w:ascii="Century Gothic" w:cs="Century Gothic" w:eastAsia="Century Gothic" w:hAnsi="Century Gothic"/>
          <w:b w:val="1"/>
          <w:bCs w:val="1"/>
          <w:rtl w:val="0"/>
        </w:rPr>
        <w:t xml:space="preserve">Cold Chain Development and Food System Resilience</w:t>
      </w:r>
    </w:p>
    <w:p w:rsidR="00000000" w:rsidDel="00000000" w:rsidP="00000000" w:rsidRDefault="00000000" w:rsidRPr="00000000" w14:paraId="0000003D">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 important but often underweighted dimension of Senegal's cooling programme is its agricultural cold chain component. An estimated 30-40% of food production in Sub-Saharan Africa is lost post-harvest due to inadequate refrigeration infrastructure. For a country with a significant fishing and horticulture export sector like Senegal, cold chain investment delivers a double dividend direct economic value through reduced waste and enhanced export quality, and reduced emissions from food system losses.</w:t>
      </w:r>
    </w:p>
    <w:p w:rsidR="00000000" w:rsidDel="00000000" w:rsidP="00000000" w:rsidRDefault="00000000" w:rsidRPr="00000000" w14:paraId="0000003E">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F">
      <w:pPr>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Energy-Efficient Cooling Technologies</w:t>
      </w:r>
    </w:p>
    <w:p w:rsidR="00000000" w:rsidDel="00000000" w:rsidP="00000000" w:rsidRDefault="00000000" w:rsidRPr="00000000" w14:paraId="00000040">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1">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project promotes:</w:t>
      </w:r>
    </w:p>
    <w:p w:rsidR="00000000" w:rsidDel="00000000" w:rsidP="00000000" w:rsidRDefault="00000000" w:rsidRPr="00000000" w14:paraId="00000042">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3">
      <w:pPr>
        <w:numPr>
          <w:ilvl w:val="0"/>
          <w:numId w:val="13"/>
        </w:numPr>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High-efficiency compressors</w:t>
      </w:r>
    </w:p>
    <w:p w:rsidR="00000000" w:rsidDel="00000000" w:rsidP="00000000" w:rsidRDefault="00000000" w:rsidRPr="00000000" w14:paraId="00000044">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5">
      <w:pPr>
        <w:numPr>
          <w:ilvl w:val="0"/>
          <w:numId w:val="8"/>
        </w:numPr>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Improved insulation systems</w:t>
      </w:r>
    </w:p>
    <w:p w:rsidR="00000000" w:rsidDel="00000000" w:rsidP="00000000" w:rsidRDefault="00000000" w:rsidRPr="00000000" w14:paraId="00000046">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7">
      <w:pPr>
        <w:numPr>
          <w:ilvl w:val="0"/>
          <w:numId w:val="15"/>
        </w:numPr>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Smart thermostatic controls</w:t>
      </w:r>
    </w:p>
    <w:p w:rsidR="00000000" w:rsidDel="00000000" w:rsidP="00000000" w:rsidRDefault="00000000" w:rsidRPr="00000000" w14:paraId="00000048">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9">
      <w:pPr>
        <w:numPr>
          <w:ilvl w:val="0"/>
          <w:numId w:val="2"/>
        </w:numPr>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Low-global-warming-potential refrigerants</w:t>
      </w:r>
    </w:p>
    <w:p w:rsidR="00000000" w:rsidDel="00000000" w:rsidP="00000000" w:rsidRDefault="00000000" w:rsidRPr="00000000" w14:paraId="0000004A">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B">
      <w:pPr>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Environmental Innovations</w:t>
      </w:r>
    </w:p>
    <w:p w:rsidR="00000000" w:rsidDel="00000000" w:rsidP="00000000" w:rsidRDefault="00000000" w:rsidRPr="00000000" w14:paraId="0000004C">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D">
      <w:pPr>
        <w:numPr>
          <w:ilvl w:val="0"/>
          <w:numId w:val="24"/>
        </w:numPr>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Recycling and safe disposal of old appliances</w:t>
      </w:r>
    </w:p>
    <w:p w:rsidR="00000000" w:rsidDel="00000000" w:rsidP="00000000" w:rsidRDefault="00000000" w:rsidRPr="00000000" w14:paraId="0000004E">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F">
      <w:pPr>
        <w:numPr>
          <w:ilvl w:val="0"/>
          <w:numId w:val="17"/>
        </w:numPr>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Integration with renewable energy systems (future phases)</w:t>
      </w:r>
    </w:p>
    <w:p w:rsidR="00000000" w:rsidDel="00000000" w:rsidP="00000000" w:rsidRDefault="00000000" w:rsidRPr="00000000" w14:paraId="00000050">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1">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2">
      <w:pPr>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Positive Impact</w:t>
      </w:r>
    </w:p>
    <w:p w:rsidR="00000000" w:rsidDel="00000000" w:rsidP="00000000" w:rsidRDefault="00000000" w:rsidRPr="00000000" w14:paraId="00000053">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4">
      <w:pPr>
        <w:numPr>
          <w:ilvl w:val="0"/>
          <w:numId w:val="22"/>
        </w:numPr>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Estimated electricity consumption reduction of approximately 19.8% by 2030 </w:t>
      </w:r>
    </w:p>
    <w:p w:rsidR="00000000" w:rsidDel="00000000" w:rsidP="00000000" w:rsidRDefault="00000000" w:rsidRPr="00000000" w14:paraId="00000055">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6">
      <w:pPr>
        <w:numPr>
          <w:ilvl w:val="0"/>
          <w:numId w:val="20"/>
        </w:numPr>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Reduced need for expensive power generation capacity</w:t>
      </w:r>
    </w:p>
    <w:p w:rsidR="00000000" w:rsidDel="00000000" w:rsidP="00000000" w:rsidRDefault="00000000" w:rsidRPr="00000000" w14:paraId="00000057">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8">
      <w:pPr>
        <w:numPr>
          <w:ilvl w:val="0"/>
          <w:numId w:val="16"/>
        </w:numPr>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Reduced emissions from refrigerants</w:t>
      </w:r>
    </w:p>
    <w:p w:rsidR="00000000" w:rsidDel="00000000" w:rsidP="00000000" w:rsidRDefault="00000000" w:rsidRPr="00000000" w14:paraId="00000059">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A">
      <w:pPr>
        <w:numPr>
          <w:ilvl w:val="0"/>
          <w:numId w:val="9"/>
        </w:numPr>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Reduction of ozone-depleting substances</w:t>
      </w:r>
    </w:p>
    <w:p w:rsidR="00000000" w:rsidDel="00000000" w:rsidP="00000000" w:rsidRDefault="00000000" w:rsidRPr="00000000" w14:paraId="0000005B">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C">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D">
      <w:pPr>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Challenges and Risks</w:t>
      </w:r>
    </w:p>
    <w:p w:rsidR="00000000" w:rsidDel="00000000" w:rsidP="00000000" w:rsidRDefault="00000000" w:rsidRPr="00000000" w14:paraId="0000005E">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F">
      <w:pPr>
        <w:numPr>
          <w:ilvl w:val="0"/>
          <w:numId w:val="14"/>
        </w:numPr>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Maintenance and servicing capacity</w:t>
      </w:r>
    </w:p>
    <w:p w:rsidR="00000000" w:rsidDel="00000000" w:rsidP="00000000" w:rsidRDefault="00000000" w:rsidRPr="00000000" w14:paraId="00000060">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1">
      <w:pPr>
        <w:numPr>
          <w:ilvl w:val="0"/>
          <w:numId w:val="11"/>
        </w:numPr>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Supply chain constraints</w:t>
      </w:r>
    </w:p>
    <w:p w:rsidR="00000000" w:rsidDel="00000000" w:rsidP="00000000" w:rsidRDefault="00000000" w:rsidRPr="00000000" w14:paraId="00000062">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3">
      <w:pPr>
        <w:numPr>
          <w:ilvl w:val="0"/>
          <w:numId w:val="7"/>
        </w:numPr>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Enforcement of efficiency standards</w:t>
      </w:r>
    </w:p>
    <w:p w:rsidR="00000000" w:rsidDel="00000000" w:rsidP="00000000" w:rsidRDefault="00000000" w:rsidRPr="00000000" w14:paraId="00000064">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5">
      <w:pPr>
        <w:numPr>
          <w:ilvl w:val="0"/>
          <w:numId w:val="1"/>
        </w:numPr>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Coordination among institutions</w:t>
      </w:r>
    </w:p>
    <w:p w:rsidR="00000000" w:rsidDel="00000000" w:rsidP="00000000" w:rsidRDefault="00000000" w:rsidRPr="00000000" w14:paraId="00000066">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7">
      <w:pPr>
        <w:numPr>
          <w:ilvl w:val="0"/>
          <w:numId w:val="19"/>
        </w:numPr>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Currency volatility</w:t>
      </w:r>
    </w:p>
    <w:p w:rsidR="00000000" w:rsidDel="00000000" w:rsidP="00000000" w:rsidRDefault="00000000" w:rsidRPr="00000000" w14:paraId="00000068">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9">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A">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B">
      <w:pPr>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Recommendations</w:t>
      </w:r>
    </w:p>
    <w:p w:rsidR="00000000" w:rsidDel="00000000" w:rsidP="00000000" w:rsidRDefault="00000000" w:rsidRPr="00000000" w14:paraId="0000006C">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D">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For Policymakers</w:t>
      </w:r>
    </w:p>
    <w:p w:rsidR="00000000" w:rsidDel="00000000" w:rsidP="00000000" w:rsidRDefault="00000000" w:rsidRPr="00000000" w14:paraId="0000006E">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F">
      <w:pPr>
        <w:numPr>
          <w:ilvl w:val="0"/>
          <w:numId w:val="10"/>
        </w:numPr>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Strengthen enforcement of efficiency standards</w:t>
      </w:r>
    </w:p>
    <w:p w:rsidR="00000000" w:rsidDel="00000000" w:rsidP="00000000" w:rsidRDefault="00000000" w:rsidRPr="00000000" w14:paraId="00000070">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1">
      <w:pPr>
        <w:numPr>
          <w:ilvl w:val="0"/>
          <w:numId w:val="18"/>
        </w:numPr>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Expand financial incentives</w:t>
      </w:r>
    </w:p>
    <w:p w:rsidR="00000000" w:rsidDel="00000000" w:rsidP="00000000" w:rsidRDefault="00000000" w:rsidRPr="00000000" w14:paraId="00000072">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3">
      <w:pPr>
        <w:numPr>
          <w:ilvl w:val="0"/>
          <w:numId w:val="4"/>
        </w:numPr>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Promote consumer awareness</w:t>
      </w:r>
    </w:p>
    <w:p w:rsidR="00000000" w:rsidDel="00000000" w:rsidP="00000000" w:rsidRDefault="00000000" w:rsidRPr="00000000" w14:paraId="00000074">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5">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6">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For Energy Firms</w:t>
      </w:r>
    </w:p>
    <w:p w:rsidR="00000000" w:rsidDel="00000000" w:rsidP="00000000" w:rsidRDefault="00000000" w:rsidRPr="00000000" w14:paraId="00000077">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8">
      <w:pPr>
        <w:numPr>
          <w:ilvl w:val="0"/>
          <w:numId w:val="5"/>
        </w:numPr>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Invest in local distribution networks</w:t>
      </w:r>
    </w:p>
    <w:p w:rsidR="00000000" w:rsidDel="00000000" w:rsidP="00000000" w:rsidRDefault="00000000" w:rsidRPr="00000000" w14:paraId="00000079">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A">
      <w:pPr>
        <w:numPr>
          <w:ilvl w:val="0"/>
          <w:numId w:val="6"/>
        </w:numPr>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Develop financing partnerships</w:t>
      </w:r>
    </w:p>
    <w:p w:rsidR="00000000" w:rsidDel="00000000" w:rsidP="00000000" w:rsidRDefault="00000000" w:rsidRPr="00000000" w14:paraId="0000007B">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C">
      <w:pPr>
        <w:numPr>
          <w:ilvl w:val="0"/>
          <w:numId w:val="23"/>
        </w:numPr>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Explore service-based cooling models</w:t>
      </w:r>
    </w:p>
    <w:p w:rsidR="00000000" w:rsidDel="00000000" w:rsidP="00000000" w:rsidRDefault="00000000" w:rsidRPr="00000000" w14:paraId="0000007D">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E">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F">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For Investors</w:t>
      </w:r>
    </w:p>
    <w:p w:rsidR="00000000" w:rsidDel="00000000" w:rsidP="00000000" w:rsidRDefault="00000000" w:rsidRPr="00000000" w14:paraId="00000080">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1">
      <w:pPr>
        <w:numPr>
          <w:ilvl w:val="0"/>
          <w:numId w:val="3"/>
        </w:numPr>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Focus on long-term infrastructure</w:t>
      </w:r>
    </w:p>
    <w:p w:rsidR="00000000" w:rsidDel="00000000" w:rsidP="00000000" w:rsidRDefault="00000000" w:rsidRPr="00000000" w14:paraId="00000082">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3">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4">
      <w:pPr>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Conclusion</w:t>
      </w:r>
    </w:p>
    <w:p w:rsidR="00000000" w:rsidDel="00000000" w:rsidP="00000000" w:rsidRDefault="00000000" w:rsidRPr="00000000" w14:paraId="00000085">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6">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Senegal’s Energy-Efficient and Climate-Friendly Cooling Solutions project marks a pivotal step toward sustainable development in a climate-vulnerable nation. By addressing inefficiencies in one of the most energy-intensive sectors, the country is reducing emissions, improving affordability, and strengthening energy security. For energy firms, this initiative offers a strategic entry point into Africa’s rapidly growing cooling and energy-efficiency market, with strong long-term growth potential.</w:t>
      </w:r>
    </w:p>
    <w:p w:rsidR="00000000" w:rsidDel="00000000" w:rsidP="00000000" w:rsidRDefault="00000000" w:rsidRPr="00000000" w14:paraId="00000087">
      <w:pPr>
        <w:jc w:val="both"/>
        <w:rPr>
          <w:rFonts w:ascii="Century Gothic" w:cs="Century Gothic" w:eastAsia="Century Gothic" w:hAnsi="Century Gothic"/>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