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b w:val="1"/>
          <w:bCs w:val="1"/>
          <w:sz w:val="40"/>
          <w:szCs w:val="40"/>
        </w:rPr>
      </w:pPr>
      <w:r w:rsidDel="00000000" w:rsidR="00000000" w:rsidRPr="00000000">
        <w:rPr>
          <w:rFonts w:ascii="Century Gothic" w:cs="Century Gothic" w:eastAsia="Century Gothic" w:hAnsi="Century Gothic"/>
          <w:b w:val="1"/>
          <w:bCs w:val="1"/>
          <w:sz w:val="40"/>
          <w:szCs w:val="40"/>
          <w:rtl w:val="0"/>
        </w:rPr>
        <w:t xml:space="preserve">Upstream Block Intelligence Report: PPL 2A51 (Oforola Field) </w:t>
      </w:r>
    </w:p>
    <w:p w:rsidR="00000000" w:rsidDel="00000000" w:rsidP="00000000" w:rsidRDefault="00000000" w:rsidRPr="00000000" w14:paraId="00000002">
      <w:pPr>
        <w:jc w:val="both"/>
        <w:rPr>
          <w:rFonts w:ascii="Century Gothic" w:cs="Century Gothic" w:eastAsia="Century Gothic" w:hAnsi="Century Gothic"/>
          <w:b w:val="1"/>
          <w:bCs w:val="1"/>
          <w:sz w:val="40"/>
          <w:szCs w:val="40"/>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b w:val="1"/>
          <w:bCs w:val="1"/>
          <w:color w:val="000000"/>
          <w:sz w:val="26"/>
          <w:szCs w:val="26"/>
        </w:rPr>
      </w:pPr>
      <w:r w:rsidDel="00000000" w:rsidR="00000000" w:rsidRPr="00000000">
        <w:rPr>
          <w:rFonts w:ascii="Century Gothic" w:cs="Century Gothic" w:eastAsia="Century Gothic" w:hAnsi="Century Gothic"/>
          <w:b w:val="1"/>
          <w:bCs w:val="1"/>
          <w:color w:val="000000"/>
          <w:sz w:val="26"/>
          <w:szCs w:val="26"/>
          <w:rtl w:val="0"/>
        </w:rPr>
        <w:t xml:space="preserve">Executive Summary</w:t>
      </w:r>
    </w:p>
    <w:p w:rsidR="00000000" w:rsidDel="00000000" w:rsidP="00000000" w:rsidRDefault="00000000" w:rsidRPr="00000000" w14:paraId="0000000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Oforola is an existing oil discovery in the Ohaji/Egbema Local Government Area of Imo State, located in the hydrocarbon-prolific Greater Ughelli Depobelt of the onshore Niger Delta the block benefits from proven oil shows in Oforola-1 well (291 ft gross pay across seven sands) and modern 3D seismic coverage. Previously held within OML 20 by Shell Petroleum Development Company (SPDC), the field was not commercially developed and has been relinquished into the 2025 NUPRC licensing pool as PPL 2A51.</w:t>
      </w:r>
      <w:r w:rsidDel="00000000" w:rsidR="00000000" w:rsidRPr="00000000">
        <w:rPr>
          <w:rtl w:val="0"/>
        </w:rPr>
      </w:r>
    </w:p>
    <w:p w:rsidR="00000000" w:rsidDel="00000000" w:rsidP="00000000" w:rsidRDefault="00000000" w:rsidRPr="00000000" w14:paraId="00000005">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field sits within one of Nigeria's most densely productive onshore petroleum environments. Immediately surrounding fields the Egbema, Egbema West, Oguta, Izombe, Jisike, and Ibigwe produce from the same Agbada Formation reservoir targets that Oforola was discovered in, demonstrating confirmed charge, viable reservoir, and operating precedent. The primary source rock (Akata Formation) is proven at charge, the Agbada sandstone reservoir is of high quality in neighbouring blocks, and structural traps associated with Niger Delta growth faults are documented across the acreage.</w:t>
      </w:r>
    </w:p>
    <w:p w:rsidR="00000000" w:rsidDel="00000000" w:rsidP="00000000" w:rsidRDefault="00000000" w:rsidRPr="00000000" w14:paraId="00000006">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9imw0utl3j58" w:id="0"/>
      <w:bookmarkEnd w:id="0"/>
      <w:r w:rsidDel="00000000" w:rsidR="00000000" w:rsidRPr="00000000">
        <w:rPr>
          <w:rFonts w:ascii="Century Gothic" w:cs="Century Gothic" w:eastAsia="Century Gothic" w:hAnsi="Century Gothic"/>
          <w:b w:val="1"/>
          <w:bCs w:val="1"/>
          <w:color w:val="000000"/>
          <w:sz w:val="22"/>
          <w:szCs w:val="22"/>
          <w:rtl w:val="0"/>
        </w:rPr>
        <w:t xml:space="preserve">Block Overview</w:t>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Parameter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Block identifier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PPL2A51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Onshore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Depobelt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Greater Ughelli Depobelt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Nearest producing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Egbema (OML 20), Egbema West, Oguta, Izombe, Ebocha</w:t>
            </w:r>
          </w:p>
        </w:tc>
      </w:tr>
    </w:tbl>
    <w:p w:rsidR="00000000" w:rsidDel="00000000" w:rsidP="00000000" w:rsidRDefault="00000000" w:rsidRPr="00000000" w14:paraId="00000012">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9h28gv8e1ssw" w:id="1"/>
      <w:bookmarkEnd w:id="1"/>
      <w:r w:rsidDel="00000000" w:rsidR="00000000" w:rsidRPr="00000000">
        <w:rPr>
          <w:rtl w:val="0"/>
        </w:rPr>
      </w:r>
    </w:p>
    <w:p w:rsidR="00000000" w:rsidDel="00000000" w:rsidP="00000000" w:rsidRDefault="00000000" w:rsidRPr="00000000" w14:paraId="00000013">
      <w:pPr>
        <w:pStyle w:val="Heading2"/>
        <w:keepNext w:val="0"/>
        <w:keepLines w:val="0"/>
        <w:spacing w:after="80" w:lineRule="auto"/>
        <w:jc w:val="both"/>
        <w:rPr>
          <w:rFonts w:ascii="Century Gothic" w:cs="Century Gothic" w:eastAsia="Century Gothic" w:hAnsi="Century Gothic"/>
          <w:b w:val="1"/>
          <w:bCs w:val="1"/>
          <w:sz w:val="26"/>
          <w:szCs w:val="26"/>
        </w:rPr>
      </w:pPr>
      <w:bookmarkStart w:colFirst="0" w:colLast="0" w:name="_6spzabekecb6" w:id="2"/>
      <w:bookmarkEnd w:id="2"/>
      <w:r w:rsidDel="00000000" w:rsidR="00000000" w:rsidRPr="00000000">
        <w:rPr>
          <w:rFonts w:ascii="Century Gothic" w:cs="Century Gothic" w:eastAsia="Century Gothic" w:hAnsi="Century Gothic"/>
          <w:b w:val="1"/>
          <w:bCs w:val="1"/>
          <w:sz w:val="26"/>
          <w:szCs w:val="26"/>
          <w:rtl w:val="0"/>
        </w:rPr>
        <w:t xml:space="preserve">Geological &amp; Subsurface Characterization</w:t>
      </w:r>
    </w:p>
    <w:p w:rsidR="00000000" w:rsidDel="00000000" w:rsidP="00000000" w:rsidRDefault="00000000" w:rsidRPr="00000000" w14:paraId="00000014">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5u50j6ua29sl" w:id="3"/>
      <w:bookmarkEnd w:id="3"/>
      <w:r w:rsidDel="00000000" w:rsidR="00000000" w:rsidRPr="00000000">
        <w:rPr>
          <w:rFonts w:ascii="Century Gothic" w:cs="Century Gothic" w:eastAsia="Century Gothic" w:hAnsi="Century Gothic"/>
          <w:b w:val="1"/>
          <w:bCs w:val="1"/>
          <w:color w:val="000000"/>
          <w:sz w:val="22"/>
          <w:szCs w:val="22"/>
          <w:rtl w:val="0"/>
        </w:rPr>
        <w:t xml:space="preserve">Basin Setting</w:t>
      </w:r>
    </w:p>
    <w:p w:rsidR="00000000" w:rsidDel="00000000" w:rsidP="00000000" w:rsidRDefault="00000000" w:rsidRPr="00000000" w14:paraId="0000001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Oforola Field lies within the Niger Delta Basin, the twelfth largest petroleum province in the world by known resources and Africa's most productive petroleum basin. The basin's proven petroleum system is the Tertiary Niger Delta (Akata-Agbada) system, within which approximately 34.5 billion barrels of recoverable oil and 93.8 trillion cubic feet of recoverable gas have been discovered to date across more than 250 known fields. The basin is characterized by:</w:t>
      </w:r>
    </w:p>
    <w:p w:rsidR="00000000" w:rsidDel="00000000" w:rsidP="00000000" w:rsidRDefault="00000000" w:rsidRPr="00000000" w14:paraId="00000017">
      <w:pPr>
        <w:numPr>
          <w:ilvl w:val="0"/>
          <w:numId w:val="8"/>
        </w:numPr>
        <w:spacing w:after="200" w:before="240" w:lineRule="auto"/>
        <w:ind w:left="720" w:hanging="360"/>
        <w:jc w:val="both"/>
        <w:rPr/>
      </w:pPr>
      <w:r w:rsidDel="00000000" w:rsidR="00000000" w:rsidRPr="00000000">
        <w:rPr>
          <w:rFonts w:ascii="Century Gothic" w:cs="Century Gothic" w:eastAsia="Century Gothic" w:hAnsi="Century Gothic"/>
          <w:b w:val="1"/>
          <w:bCs w:val="1"/>
          <w:rtl w:val="0"/>
        </w:rPr>
        <w:t xml:space="preserve">Source Rock:</w:t>
      </w:r>
      <w:r w:rsidDel="00000000" w:rsidR="00000000" w:rsidRPr="00000000">
        <w:rPr>
          <w:rFonts w:ascii="Century Gothic" w:cs="Century Gothic" w:eastAsia="Century Gothic" w:hAnsi="Century Gothic"/>
          <w:rtl w:val="0"/>
        </w:rPr>
        <w:t xml:space="preserve"> Upper Akata Formation (marine shale) subsidiary contribution from interbedded marine shales of lowermost Agbada Formation.</w:t>
      </w:r>
    </w:p>
    <w:p w:rsidR="00000000" w:rsidDel="00000000" w:rsidP="00000000" w:rsidRDefault="00000000" w:rsidRPr="00000000" w14:paraId="00000018">
      <w:pPr>
        <w:numPr>
          <w:ilvl w:val="0"/>
          <w:numId w:val="8"/>
        </w:numPr>
        <w:spacing w:after="200" w:before="0" w:lineRule="auto"/>
        <w:ind w:left="720" w:hanging="360"/>
        <w:jc w:val="both"/>
        <w:rPr/>
      </w:pPr>
      <w:r w:rsidDel="00000000" w:rsidR="00000000" w:rsidRPr="00000000">
        <w:rPr>
          <w:rFonts w:ascii="Century Gothic" w:cs="Century Gothic" w:eastAsia="Century Gothic" w:hAnsi="Century Gothic"/>
          <w:b w:val="1"/>
          <w:bCs w:val="1"/>
          <w:rtl w:val="0"/>
        </w:rPr>
        <w:t xml:space="preserve">Reservoirs:</w:t>
      </w:r>
      <w:r w:rsidDel="00000000" w:rsidR="00000000" w:rsidRPr="00000000">
        <w:rPr>
          <w:rFonts w:ascii="Century Gothic" w:cs="Century Gothic" w:eastAsia="Century Gothic" w:hAnsi="Century Gothic"/>
          <w:rtl w:val="0"/>
        </w:rPr>
        <w:t xml:space="preserve"> Agbada Formation, Miocene-age deltaic sandstones (paralic to shallow marine facies); targets typically between 1,500 m and 3,600 m depth.</w:t>
      </w:r>
    </w:p>
    <w:p w:rsidR="00000000" w:rsidDel="00000000" w:rsidP="00000000" w:rsidRDefault="00000000" w:rsidRPr="00000000" w14:paraId="00000019">
      <w:pPr>
        <w:numPr>
          <w:ilvl w:val="0"/>
          <w:numId w:val="8"/>
        </w:numPr>
        <w:spacing w:after="200" w:before="0" w:lineRule="auto"/>
        <w:ind w:left="720" w:hanging="360"/>
        <w:jc w:val="both"/>
        <w:rPr/>
      </w:pPr>
      <w:r w:rsidDel="00000000" w:rsidR="00000000" w:rsidRPr="00000000">
        <w:rPr>
          <w:rFonts w:ascii="Century Gothic" w:cs="Century Gothic" w:eastAsia="Century Gothic" w:hAnsi="Century Gothic"/>
          <w:b w:val="1"/>
          <w:bCs w:val="1"/>
          <w:rtl w:val="0"/>
        </w:rPr>
        <w:t xml:space="preserve">Seal:</w:t>
      </w:r>
      <w:r w:rsidDel="00000000" w:rsidR="00000000" w:rsidRPr="00000000">
        <w:rPr>
          <w:rFonts w:ascii="Century Gothic" w:cs="Century Gothic" w:eastAsia="Century Gothic" w:hAnsi="Century Gothic"/>
          <w:rtl w:val="0"/>
        </w:rPr>
        <w:t xml:space="preserve"> Interbedded shale intervals within lower Agbada Formation; intra-formational clay smears on growth faults; proven seal integrity throughout Ohaji/Egbema producing area.</w:t>
      </w:r>
    </w:p>
    <w:p w:rsidR="00000000" w:rsidDel="00000000" w:rsidP="00000000" w:rsidRDefault="00000000" w:rsidRPr="00000000" w14:paraId="0000001A">
      <w:pPr>
        <w:numPr>
          <w:ilvl w:val="0"/>
          <w:numId w:val="8"/>
        </w:numPr>
        <w:spacing w:after="200" w:before="0" w:lineRule="auto"/>
        <w:ind w:left="720" w:hanging="360"/>
        <w:jc w:val="both"/>
        <w:rPr>
          <w:b w:val="1"/>
          <w:bCs w:val="1"/>
        </w:rPr>
      </w:pPr>
      <w:r w:rsidDel="00000000" w:rsidR="00000000" w:rsidRPr="00000000">
        <w:rPr>
          <w:rFonts w:ascii="Century Gothic" w:cs="Century Gothic" w:eastAsia="Century Gothic" w:hAnsi="Century Gothic"/>
          <w:b w:val="1"/>
          <w:bCs w:val="1"/>
          <w:rtl w:val="0"/>
        </w:rPr>
        <w:t xml:space="preserve">Trap type: </w:t>
      </w:r>
      <w:r w:rsidDel="00000000" w:rsidR="00000000" w:rsidRPr="00000000">
        <w:rPr>
          <w:rFonts w:ascii="Century Gothic" w:cs="Century Gothic" w:eastAsia="Century Gothic" w:hAnsi="Century Gothic"/>
          <w:rtl w:val="0"/>
        </w:rPr>
        <w:t xml:space="preserve">Rollover anticlines and horst structures associated with growth faults.</w:t>
      </w:r>
    </w:p>
    <w:p w:rsidR="00000000" w:rsidDel="00000000" w:rsidP="00000000" w:rsidRDefault="00000000" w:rsidRPr="00000000" w14:paraId="0000001B">
      <w:pPr>
        <w:numPr>
          <w:ilvl w:val="0"/>
          <w:numId w:val="8"/>
        </w:numPr>
        <w:spacing w:after="200" w:before="0" w:lineRule="auto"/>
        <w:ind w:left="720" w:hanging="360"/>
        <w:jc w:val="both"/>
        <w:rPr>
          <w:b w:val="1"/>
          <w:bCs w:val="1"/>
        </w:rPr>
      </w:pPr>
      <w:r w:rsidDel="00000000" w:rsidR="00000000" w:rsidRPr="00000000">
        <w:rPr>
          <w:rFonts w:ascii="Century Gothic" w:cs="Century Gothic" w:eastAsia="Century Gothic" w:hAnsi="Century Gothic"/>
          <w:b w:val="1"/>
          <w:bCs w:val="1"/>
          <w:rtl w:val="0"/>
        </w:rPr>
        <w:t xml:space="preserve">Migration: </w:t>
      </w:r>
      <w:r w:rsidDel="00000000" w:rsidR="00000000" w:rsidRPr="00000000">
        <w:rPr>
          <w:rFonts w:ascii="Century Gothic" w:cs="Century Gothic" w:eastAsia="Century Gothic" w:hAnsi="Century Gothic"/>
          <w:rtl w:val="0"/>
        </w:rPr>
        <w:t xml:space="preserve">Short-range lateral migration from Akata source into Agbada reservoir via growth-fault systems. Well-established migration pathway demonstrated in adjacent Egbema, Oguta, Izombe, and Egbema West fields</w:t>
      </w:r>
      <w:r w:rsidDel="00000000" w:rsidR="00000000" w:rsidRPr="00000000">
        <w:rPr>
          <w:rFonts w:ascii="Century Gothic" w:cs="Century Gothic" w:eastAsia="Century Gothic" w:hAnsi="Century Gothic"/>
          <w:b w:val="1"/>
          <w:bCs w:val="1"/>
          <w:rtl w:val="0"/>
        </w:rPr>
        <w:br w:type="textWrapping"/>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jc w:val="both"/>
        <w:rPr>
          <w:rFonts w:ascii="Century Gothic" w:cs="Century Gothic" w:eastAsia="Century Gothic" w:hAnsi="Century Gothic"/>
          <w:b w:val="1"/>
          <w:bCs w:val="1"/>
          <w:color w:val="000000"/>
          <w:sz w:val="26"/>
          <w:szCs w:val="26"/>
        </w:rPr>
      </w:pPr>
      <w:bookmarkStart w:colFirst="0" w:colLast="0" w:name="_mweobam6rpwk" w:id="4"/>
      <w:bookmarkEnd w:id="4"/>
      <w:r w:rsidDel="00000000" w:rsidR="00000000" w:rsidRPr="00000000">
        <w:rPr>
          <w:rFonts w:ascii="Century Gothic" w:cs="Century Gothic" w:eastAsia="Century Gothic" w:hAnsi="Century Gothic"/>
          <w:b w:val="1"/>
          <w:bCs w:val="1"/>
          <w:color w:val="000000"/>
          <w:sz w:val="26"/>
          <w:szCs w:val="26"/>
          <w:rtl w:val="0"/>
        </w:rPr>
        <w:t xml:space="preserve">Discovery History </w:t>
      </w:r>
    </w:p>
    <w:p w:rsidR="00000000" w:rsidDel="00000000" w:rsidP="00000000" w:rsidRDefault="00000000" w:rsidRPr="00000000" w14:paraId="0000001D">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The Oforola oil discovery was made within OML 20, the SPDC-operated block that covers a substantial portion of the Ohaji/Egbema petroleum province. OML 20's existing production assets include the Egbema field (approximately 3,000 </w:t>
      </w:r>
      <w:r w:rsidDel="00000000" w:rsidR="00000000" w:rsidRPr="00000000">
        <w:rPr>
          <w:rFonts w:ascii="Century Gothic" w:cs="Century Gothic" w:eastAsia="Century Gothic" w:hAnsi="Century Gothic"/>
          <w:rtl w:val="0"/>
        </w:rPr>
        <w:t xml:space="preserve">bopd</w:t>
      </w:r>
      <w:r w:rsidDel="00000000" w:rsidR="00000000" w:rsidRPr="00000000">
        <w:rPr>
          <w:rFonts w:ascii="Century Gothic" w:cs="Century Gothic" w:eastAsia="Century Gothic" w:hAnsi="Century Gothic"/>
          <w:rtl w:val="0"/>
        </w:rPr>
        <w:t xml:space="preserve"> from 3 wells) and associated gas production. Although discovered by SPDC during regional exploration activities near the Egbema trend, Oforola has remained largely appraised at a reconnaissance level. The reversion of Oforola to the NUPRC licensing pool for the 2025 bid round represents the first opportunity for new investors to take over the field since Shell's relinquishment.</w: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jc w:val="both"/>
        <w:rPr>
          <w:rFonts w:ascii="Century Gothic" w:cs="Century Gothic" w:eastAsia="Century Gothic" w:hAnsi="Century Gothic"/>
          <w:b w:val="1"/>
          <w:bCs w:val="1"/>
          <w:color w:val="000000"/>
          <w:sz w:val="26"/>
          <w:szCs w:val="26"/>
        </w:rPr>
      </w:pPr>
      <w:bookmarkStart w:colFirst="0" w:colLast="0" w:name="_ky2v14m85z5n" w:id="5"/>
      <w:bookmarkEnd w:id="5"/>
      <w:r w:rsidDel="00000000" w:rsidR="00000000" w:rsidRPr="00000000">
        <w:rPr>
          <w:rFonts w:ascii="Century Gothic" w:cs="Century Gothic" w:eastAsia="Century Gothic" w:hAnsi="Century Gothic"/>
          <w:b w:val="1"/>
          <w:bCs w:val="1"/>
          <w:color w:val="000000"/>
          <w:sz w:val="26"/>
          <w:szCs w:val="26"/>
          <w:rtl w:val="0"/>
        </w:rPr>
        <w:t xml:space="preserve">Hydrocarbon Potential</w:t>
      </w:r>
    </w:p>
    <w:p w:rsidR="00000000" w:rsidDel="00000000" w:rsidP="00000000" w:rsidRDefault="00000000" w:rsidRPr="00000000" w14:paraId="0000001F">
      <w:pPr>
        <w:numPr>
          <w:ilvl w:val="0"/>
          <w:numId w:val="7"/>
        </w:numPr>
        <w:spacing w:after="200" w:before="20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Confirmed oil-bearing sands</w:t>
        <w:br w:type="textWrapping"/>
      </w:r>
    </w:p>
    <w:p w:rsidR="00000000" w:rsidDel="00000000" w:rsidP="00000000" w:rsidRDefault="00000000" w:rsidRPr="00000000" w14:paraId="00000020">
      <w:pPr>
        <w:numPr>
          <w:ilvl w:val="0"/>
          <w:numId w:val="7"/>
        </w:numPr>
        <w:spacing w:after="200" w:before="20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Typical Niger Delta analogue suggests recoverable resources could fall within small-to-medium field range (10–50 </w:t>
      </w:r>
      <w:r w:rsidDel="00000000" w:rsidR="00000000" w:rsidRPr="00000000">
        <w:rPr>
          <w:rFonts w:ascii="Century Gothic" w:cs="Century Gothic" w:eastAsia="Century Gothic" w:hAnsi="Century Gothic"/>
          <w:rtl w:val="0"/>
        </w:rPr>
        <w:t xml:space="preserve">MMbbl</w:t>
      </w:r>
      <w:r w:rsidDel="00000000" w:rsidR="00000000" w:rsidRPr="00000000">
        <w:rPr>
          <w:rFonts w:ascii="Century Gothic" w:cs="Century Gothic" w:eastAsia="Century Gothic" w:hAnsi="Century Gothic"/>
          <w:rtl w:val="0"/>
        </w:rPr>
        <w:t xml:space="preserve"> baseline, upside higher with appraisal)</w:t>
      </w:r>
      <w:r w:rsidDel="00000000" w:rsidR="00000000" w:rsidRPr="00000000">
        <w:rPr>
          <w:rtl w:val="0"/>
        </w:rPr>
      </w:r>
    </w:p>
    <w:p w:rsidR="00000000" w:rsidDel="00000000" w:rsidP="00000000" w:rsidRDefault="00000000" w:rsidRPr="00000000" w14:paraId="00000021">
      <w:pPr>
        <w:pStyle w:val="Heading2"/>
        <w:keepNext w:val="0"/>
        <w:keepLines w:val="0"/>
        <w:spacing w:after="200" w:before="200" w:lineRule="auto"/>
        <w:jc w:val="both"/>
        <w:rPr>
          <w:rFonts w:ascii="Century Gothic" w:cs="Century Gothic" w:eastAsia="Century Gothic" w:hAnsi="Century Gothic"/>
          <w:b w:val="1"/>
          <w:bCs w:val="1"/>
          <w:sz w:val="26"/>
          <w:szCs w:val="26"/>
        </w:rPr>
      </w:pPr>
      <w:bookmarkStart w:colFirst="0" w:colLast="0" w:name="_x1lwxq9lie6x" w:id="6"/>
      <w:bookmarkEnd w:id="6"/>
      <w:r w:rsidDel="00000000" w:rsidR="00000000" w:rsidRPr="00000000">
        <w:rPr>
          <w:rtl w:val="0"/>
        </w:rPr>
      </w:r>
    </w:p>
    <w:p w:rsidR="00000000" w:rsidDel="00000000" w:rsidP="00000000" w:rsidRDefault="00000000" w:rsidRPr="00000000" w14:paraId="00000022">
      <w:pPr>
        <w:pStyle w:val="Heading2"/>
        <w:keepNext w:val="0"/>
        <w:keepLines w:val="0"/>
        <w:spacing w:after="200" w:before="200" w:lineRule="auto"/>
        <w:jc w:val="both"/>
        <w:rPr>
          <w:rFonts w:ascii="Century Gothic" w:cs="Century Gothic" w:eastAsia="Century Gothic" w:hAnsi="Century Gothic"/>
          <w:b w:val="1"/>
          <w:bCs w:val="1"/>
          <w:sz w:val="26"/>
          <w:szCs w:val="26"/>
        </w:rPr>
      </w:pPr>
      <w:bookmarkStart w:colFirst="0" w:colLast="0" w:name="_ojhfepmlse8g" w:id="7"/>
      <w:bookmarkEnd w:id="7"/>
      <w:r w:rsidDel="00000000" w:rsidR="00000000" w:rsidRPr="00000000">
        <w:rPr>
          <w:rFonts w:ascii="Century Gothic" w:cs="Century Gothic" w:eastAsia="Century Gothic" w:hAnsi="Century Gothic"/>
          <w:b w:val="1"/>
          <w:bCs w:val="1"/>
          <w:sz w:val="26"/>
          <w:szCs w:val="26"/>
          <w:rtl w:val="0"/>
        </w:rPr>
        <w:t xml:space="preserve">Infrastructure</w:t>
      </w:r>
    </w:p>
    <w:p w:rsidR="00000000" w:rsidDel="00000000" w:rsidP="00000000" w:rsidRDefault="00000000" w:rsidRPr="00000000" w14:paraId="00000023">
      <w:pPr>
        <w:pStyle w:val="Heading3"/>
        <w:keepNext w:val="0"/>
        <w:keepLines w:val="0"/>
        <w:spacing w:before="280" w:lineRule="auto"/>
        <w:jc w:val="both"/>
        <w:rPr>
          <w:rFonts w:ascii="Century Gothic" w:cs="Century Gothic" w:eastAsia="Century Gothic" w:hAnsi="Century Gothic"/>
          <w:color w:val="000000"/>
          <w:sz w:val="22"/>
          <w:szCs w:val="22"/>
        </w:rPr>
      </w:pPr>
      <w:bookmarkStart w:colFirst="0" w:colLast="0" w:name="_nc6id81kzb72" w:id="8"/>
      <w:bookmarkEnd w:id="8"/>
      <w:r w:rsidDel="00000000" w:rsidR="00000000" w:rsidRPr="00000000">
        <w:rPr>
          <w:rFonts w:ascii="Century Gothic" w:cs="Century Gothic" w:eastAsia="Century Gothic" w:hAnsi="Century Gothic"/>
          <w:color w:val="000000"/>
          <w:sz w:val="22"/>
          <w:szCs w:val="22"/>
          <w:rtl w:val="0"/>
        </w:rPr>
        <w:t xml:space="preserve">Export routing for Oforola production is most likely through one of two established systems in the Ohaji/Egbema area. Which can increase the chances of early production systems, reduced CAPEX via tie backs , and faster monetization.</w:t>
      </w:r>
    </w:p>
    <w:p w:rsidR="00000000" w:rsidDel="00000000" w:rsidP="00000000" w:rsidRDefault="00000000" w:rsidRPr="00000000" w14:paraId="00000024">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nc6id81kzb72" w:id="8"/>
      <w:bookmarkEnd w:id="8"/>
      <w:r w:rsidDel="00000000" w:rsidR="00000000" w:rsidRPr="00000000">
        <w:rPr>
          <w:rFonts w:ascii="Century Gothic" w:cs="Century Gothic" w:eastAsia="Century Gothic" w:hAnsi="Century Gothic"/>
          <w:b w:val="1"/>
          <w:bCs w:val="1"/>
          <w:color w:val="000000"/>
          <w:sz w:val="22"/>
          <w:szCs w:val="22"/>
          <w:rtl w:val="0"/>
        </w:rPr>
        <w:t xml:space="preserve">Nearby Infrastructure</w:t>
      </w:r>
    </w:p>
    <w:p w:rsidR="00000000" w:rsidDel="00000000" w:rsidP="00000000" w:rsidRDefault="00000000" w:rsidRPr="00000000" w14:paraId="00000025">
      <w:pPr>
        <w:numPr>
          <w:ilvl w:val="0"/>
          <w:numId w:val="5"/>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Proximity to Agu Flowstation</w:t>
      </w:r>
    </w:p>
    <w:p w:rsidR="00000000" w:rsidDel="00000000" w:rsidP="00000000" w:rsidRDefault="00000000" w:rsidRPr="00000000" w14:paraId="00000026">
      <w:pPr>
        <w:numPr>
          <w:ilvl w:val="0"/>
          <w:numId w:val="5"/>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Proximity to Egbema Field facilities</w:t>
        <w:br w:type="textWrapping"/>
        <w:br w:type="textWrapping"/>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jc w:val="both"/>
        <w:rPr>
          <w:rFonts w:ascii="Century Gothic" w:cs="Century Gothic" w:eastAsia="Century Gothic" w:hAnsi="Century Gothic"/>
          <w:b w:val="1"/>
          <w:bCs w:val="1"/>
          <w:color w:val="000000"/>
          <w:sz w:val="26"/>
          <w:szCs w:val="26"/>
        </w:rPr>
      </w:pPr>
      <w:bookmarkStart w:colFirst="0" w:colLast="0" w:name="_st2phz5hthhl" w:id="9"/>
      <w:bookmarkEnd w:id="9"/>
      <w:r w:rsidDel="00000000" w:rsidR="00000000" w:rsidRPr="00000000">
        <w:rPr>
          <w:rFonts w:ascii="Century Gothic" w:cs="Century Gothic" w:eastAsia="Century Gothic" w:hAnsi="Century Gothic"/>
          <w:b w:val="1"/>
          <w:bCs w:val="1"/>
          <w:sz w:val="26"/>
          <w:szCs w:val="26"/>
          <w:rtl w:val="0"/>
        </w:rPr>
        <w:t xml:space="preserve">Risk Assessment</w:t>
      </w:r>
      <w:r w:rsidDel="00000000" w:rsidR="00000000" w:rsidRPr="00000000">
        <w:rPr>
          <w:rtl w:val="0"/>
        </w:rPr>
      </w:r>
    </w:p>
    <w:p w:rsidR="00000000" w:rsidDel="00000000" w:rsidP="00000000" w:rsidRDefault="00000000" w:rsidRPr="00000000" w14:paraId="00000028">
      <w:pPr>
        <w:numPr>
          <w:ilvl w:val="0"/>
          <w:numId w:val="4"/>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Limited well control</w:t>
        <w:br w:type="textWrapping"/>
      </w:r>
    </w:p>
    <w:p w:rsidR="00000000" w:rsidDel="00000000" w:rsidP="00000000" w:rsidRDefault="00000000" w:rsidRPr="00000000" w14:paraId="00000029">
      <w:pPr>
        <w:numPr>
          <w:ilvl w:val="0"/>
          <w:numId w:val="4"/>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Reservoir heterogeneity</w:t>
        <w:br w:type="textWrapping"/>
      </w:r>
    </w:p>
    <w:p w:rsidR="00000000" w:rsidDel="00000000" w:rsidP="00000000" w:rsidRDefault="00000000" w:rsidRPr="00000000" w14:paraId="0000002A">
      <w:pPr>
        <w:numPr>
          <w:ilvl w:val="0"/>
          <w:numId w:val="4"/>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Fluid contacts uncertainty</w:t>
        <w:br w:type="textWrapping"/>
      </w:r>
      <w:r w:rsidDel="00000000" w:rsidR="00000000" w:rsidRPr="00000000">
        <w:rPr>
          <w:rtl w:val="0"/>
        </w:rPr>
      </w:r>
    </w:p>
    <w:p w:rsidR="00000000" w:rsidDel="00000000" w:rsidP="00000000" w:rsidRDefault="00000000" w:rsidRPr="00000000" w14:paraId="0000002B">
      <w:pPr>
        <w:numPr>
          <w:ilvl w:val="0"/>
          <w:numId w:val="2"/>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Onshore Niger Delta challenges (Security, Community relations, and Environmental liabilities)</w:t>
        <w:br w:type="textWrapping"/>
      </w:r>
      <w:r w:rsidDel="00000000" w:rsidR="00000000" w:rsidRPr="00000000">
        <w:rPr>
          <w:rtl w:val="0"/>
        </w:rPr>
      </w:r>
    </w:p>
    <w:p w:rsidR="00000000" w:rsidDel="00000000" w:rsidP="00000000" w:rsidRDefault="00000000" w:rsidRPr="00000000" w14:paraId="0000002C">
      <w:pPr>
        <w:numPr>
          <w:ilvl w:val="0"/>
          <w:numId w:val="6"/>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Small field economics if volumes underperform</w:t>
        <w:br w:type="textWrapping"/>
      </w:r>
    </w:p>
    <w:p w:rsidR="00000000" w:rsidDel="00000000" w:rsidP="00000000" w:rsidRDefault="00000000" w:rsidRPr="00000000" w14:paraId="0000002D">
      <w:pPr>
        <w:numPr>
          <w:ilvl w:val="0"/>
          <w:numId w:val="6"/>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Oil price sensitivity</w: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jc w:val="both"/>
        <w:rPr>
          <w:rFonts w:ascii="Century Gothic" w:cs="Century Gothic" w:eastAsia="Century Gothic" w:hAnsi="Century Gothic"/>
          <w:b w:val="1"/>
          <w:bCs w:val="1"/>
          <w:color w:val="000000"/>
          <w:sz w:val="22"/>
          <w:szCs w:val="22"/>
        </w:rPr>
      </w:pPr>
      <w:bookmarkStart w:colFirst="0" w:colLast="0" w:name="_fer04jd9w6m9" w:id="10"/>
      <w:bookmarkEnd w:id="10"/>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jc w:val="both"/>
        <w:rPr>
          <w:rFonts w:ascii="Century Gothic" w:cs="Century Gothic" w:eastAsia="Century Gothic" w:hAnsi="Century Gothic"/>
          <w:b w:val="1"/>
          <w:bCs w:val="1"/>
          <w:color w:val="000000"/>
          <w:sz w:val="26"/>
          <w:szCs w:val="26"/>
        </w:rPr>
      </w:pPr>
      <w:bookmarkStart w:colFirst="0" w:colLast="0" w:name="_2o5hx88u82rw" w:id="11"/>
      <w:bookmarkEnd w:id="11"/>
      <w:r w:rsidDel="00000000" w:rsidR="00000000" w:rsidRPr="00000000">
        <w:rPr>
          <w:rFonts w:ascii="Century Gothic" w:cs="Century Gothic" w:eastAsia="Century Gothic" w:hAnsi="Century Gothic"/>
          <w:b w:val="1"/>
          <w:bCs w:val="1"/>
          <w:color w:val="000000"/>
          <w:sz w:val="26"/>
          <w:szCs w:val="26"/>
          <w:rtl w:val="0"/>
        </w:rPr>
        <w:t xml:space="preserve">Why This Block is Attractive</w:t>
      </w:r>
    </w:p>
    <w:p w:rsidR="00000000" w:rsidDel="00000000" w:rsidP="00000000" w:rsidRDefault="00000000" w:rsidRPr="00000000" w14:paraId="00000030">
      <w:pPr>
        <w:numPr>
          <w:ilvl w:val="0"/>
          <w:numId w:val="1"/>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Proven hydrocarbons (discovered field)</w:t>
        <w:br w:type="textWrapping"/>
      </w:r>
    </w:p>
    <w:p w:rsidR="00000000" w:rsidDel="00000000" w:rsidP="00000000" w:rsidRDefault="00000000" w:rsidRPr="00000000" w14:paraId="00000031">
      <w:pPr>
        <w:numPr>
          <w:ilvl w:val="0"/>
          <w:numId w:val="1"/>
        </w:numPr>
        <w:spacing w:after="240" w:before="0" w:beforeAutospacing="0" w:lineRule="auto"/>
        <w:ind w:left="720" w:hanging="360"/>
        <w:jc w:val="both"/>
        <w:rPr/>
      </w:pPr>
      <w:r w:rsidDel="00000000" w:rsidR="00000000" w:rsidRPr="00000000">
        <w:rPr>
          <w:rFonts w:ascii="Century Gothic" w:cs="Century Gothic" w:eastAsia="Century Gothic" w:hAnsi="Century Gothic"/>
          <w:rtl w:val="0"/>
        </w:rPr>
        <w:t xml:space="preserve">lower development cost (it is close to infrastructure)</w:t>
        <w:br w:type="textWrapping"/>
      </w:r>
      <w:r w:rsidDel="00000000" w:rsidR="00000000" w:rsidRPr="00000000">
        <w:rPr>
          <w:rFonts w:ascii="Century Gothic" w:cs="Century Gothic" w:eastAsia="Century Gothic" w:hAnsi="Century Gothic"/>
          <w:b w:val="1"/>
          <w:bCs w:val="1"/>
          <w:rtl w:val="0"/>
        </w:rPr>
        <w:br w:type="textWrapping"/>
      </w:r>
    </w:p>
    <w:p w:rsidR="00000000" w:rsidDel="00000000" w:rsidP="00000000" w:rsidRDefault="00000000" w:rsidRPr="00000000" w14:paraId="00000032">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Recommendations</w:t>
      </w:r>
    </w:p>
    <w:p w:rsidR="00000000" w:rsidDel="00000000" w:rsidP="00000000" w:rsidRDefault="00000000" w:rsidRPr="00000000" w14:paraId="00000033">
      <w:pPr>
        <w:numPr>
          <w:ilvl w:val="0"/>
          <w:numId w:val="3"/>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Prioritise data room access immediately. </w:t>
      </w:r>
    </w:p>
    <w:p w:rsidR="00000000" w:rsidDel="00000000" w:rsidP="00000000" w:rsidRDefault="00000000" w:rsidRPr="00000000" w14:paraId="00000034">
      <w:pPr>
        <w:numPr>
          <w:ilvl w:val="0"/>
          <w:numId w:val="3"/>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Secure technical partnership or in-house capability. </w:t>
      </w:r>
    </w:p>
    <w:p w:rsidR="00000000" w:rsidDel="00000000" w:rsidP="00000000" w:rsidRDefault="00000000" w:rsidRPr="00000000" w14:paraId="00000035">
      <w:pPr>
        <w:numPr>
          <w:ilvl w:val="0"/>
          <w:numId w:val="3"/>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Commit to appraisal drilling in the work programme.</w:t>
      </w:r>
    </w:p>
    <w:p w:rsidR="00000000" w:rsidDel="00000000" w:rsidP="00000000" w:rsidRDefault="00000000" w:rsidRPr="00000000" w14:paraId="00000036">
      <w:pPr>
        <w:numPr>
          <w:ilvl w:val="0"/>
          <w:numId w:val="3"/>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 a community development plan in advance. </w:t>
      </w:r>
    </w:p>
    <w:p w:rsidR="00000000" w:rsidDel="00000000" w:rsidP="00000000" w:rsidRDefault="00000000" w:rsidRPr="00000000" w14:paraId="00000037">
      <w:pPr>
        <w:pStyle w:val="Heading2"/>
        <w:keepNext w:val="0"/>
        <w:keepLines w:val="0"/>
        <w:spacing w:after="80" w:lineRule="auto"/>
        <w:jc w:val="both"/>
        <w:rPr>
          <w:rFonts w:ascii="Century Gothic" w:cs="Century Gothic" w:eastAsia="Century Gothic" w:hAnsi="Century Gothic"/>
          <w:b w:val="1"/>
          <w:bCs w:val="1"/>
          <w:sz w:val="22"/>
          <w:szCs w:val="22"/>
        </w:rPr>
      </w:pPr>
      <w:bookmarkStart w:colFirst="0" w:colLast="0" w:name="_ib4z9xolvn6y" w:id="12"/>
      <w:bookmarkEnd w:id="12"/>
      <w:r w:rsidDel="00000000" w:rsidR="00000000" w:rsidRPr="00000000">
        <w:rPr>
          <w:rtl w:val="0"/>
        </w:rPr>
      </w:r>
    </w:p>
    <w:p w:rsidR="00000000" w:rsidDel="00000000" w:rsidP="00000000" w:rsidRDefault="00000000" w:rsidRPr="00000000" w14:paraId="00000038">
      <w:pPr>
        <w:pStyle w:val="Heading2"/>
        <w:keepNext w:val="0"/>
        <w:keepLines w:val="0"/>
        <w:spacing w:after="80" w:lineRule="auto"/>
        <w:jc w:val="both"/>
        <w:rPr>
          <w:rFonts w:ascii="Century Gothic" w:cs="Century Gothic" w:eastAsia="Century Gothic" w:hAnsi="Century Gothic"/>
          <w:b w:val="1"/>
          <w:bCs w:val="1"/>
          <w:sz w:val="26"/>
          <w:szCs w:val="26"/>
        </w:rPr>
      </w:pPr>
      <w:bookmarkStart w:colFirst="0" w:colLast="0" w:name="_er5jxyh4uujb" w:id="13"/>
      <w:bookmarkEnd w:id="13"/>
      <w:r w:rsidDel="00000000" w:rsidR="00000000" w:rsidRPr="00000000">
        <w:rPr>
          <w:rFonts w:ascii="Century Gothic" w:cs="Century Gothic" w:eastAsia="Century Gothic" w:hAnsi="Century Gothic"/>
          <w:b w:val="1"/>
          <w:bCs w:val="1"/>
          <w:sz w:val="26"/>
          <w:szCs w:val="26"/>
          <w:rtl w:val="0"/>
        </w:rPr>
        <w:t xml:space="preserve">Conclusion</w:t>
      </w:r>
    </w:p>
    <w:p w:rsidR="00000000" w:rsidDel="00000000" w:rsidP="00000000" w:rsidRDefault="00000000" w:rsidRPr="00000000" w14:paraId="00000039">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Oforola Field (PPL 2A51) is a compelling near-field redevelopment asset within the Niger Delta, combining proven hydrocarbons, existing data coverage, and infrastructure proximity. While reservoir uncertainty remains due to limited well control, the block offers strong risk-adjusted returns, particularly for indigenous operators and nimble independents seeking early production opportunities.</w:t>
      </w:r>
    </w:p>
    <w:p w:rsidR="00000000" w:rsidDel="00000000" w:rsidP="00000000" w:rsidRDefault="00000000" w:rsidRPr="00000000" w14:paraId="0000003A">
      <w:pPr>
        <w:jc w:val="both"/>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