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Angola Gas Production – Quiluma Field </w:t>
      </w:r>
    </w:p>
    <w:p w:rsidR="00000000" w:rsidDel="00000000" w:rsidP="00000000" w:rsidRDefault="00000000" w:rsidRPr="00000000" w14:paraId="00000002">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3">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Executive Summary </w:t>
      </w:r>
    </w:p>
    <w:p w:rsidR="00000000" w:rsidDel="00000000" w:rsidP="00000000" w:rsidRDefault="00000000" w:rsidRPr="00000000" w14:paraId="00000004">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5">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Quiluma field, part of Angola’s New Gas Consortium (NGC), has commenced gas production.</w:t>
      </w:r>
      <w:r w:rsidDel="00000000" w:rsidR="00000000" w:rsidRPr="00000000">
        <w:rPr>
          <w:rFonts w:ascii="Century Gothic" w:cs="Century Gothic" w:eastAsia="Century Gothic" w:hAnsi="Century Gothic"/>
          <w:rtl w:val="0"/>
        </w:rPr>
        <w:t xml:space="preserve"> This development represents a significant advancement within Angola’s broader gas monetization strategy and reinforces the country’s position as an emerging regional gas supplier. Gas introduction to the onshore plant occurred in November 2025; offshore production start-up confirmed 16-17 March 2026.</w:t>
      </w:r>
    </w:p>
    <w:p w:rsidR="00000000" w:rsidDel="00000000" w:rsidP="00000000" w:rsidRDefault="00000000" w:rsidRPr="00000000" w14:paraId="0000000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Initial output is flowing at approximately 150 million standard cubic feet per day (mmscf/d), with ramp-up targeted at 330 mmscf/d by the end of 2026. At plateau, the field will deliver approximately 2 Mt/yr of LNG equivalent. Gas is processed onshore and fed directly into the Angola LNG plant for export to European and Asian markets. The project directly supports global LNG supply tightness, potentially commanding premium pricing in high-cycle markets. It enhances portfolio diversification into non-associated gas assets with long-term export revenue visibility. Key operator &amp; Partners include Azule Energy (bp/Eni 50:50 JV) holds 37.4% and operates; other partners are Cabinda Gulf Oil Company (31%), Sonangol E&amp;P (19.8%), and TotalEnergies (11.8%). ANPG acts as national concessionaire. Azule Energy, operating alongside CABGOC, Sonangol E&amp;P, and TotalEnergies, confirmed commercial gas delivery from the offshore shallow-water field on 17 March 2026, ahead of the original schedule.</w:t>
      </w:r>
    </w:p>
    <w:p w:rsidR="00000000" w:rsidDel="00000000" w:rsidP="00000000" w:rsidRDefault="00000000" w:rsidRPr="00000000" w14:paraId="0000000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8">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Project Overview</w:t>
      </w:r>
    </w:p>
    <w:p w:rsidR="00000000" w:rsidDel="00000000" w:rsidP="00000000" w:rsidRDefault="00000000" w:rsidRPr="00000000" w14:paraId="00000009">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A">
      <w:pPr>
        <w:jc w:val="both"/>
        <w:rPr>
          <w:rFonts w:ascii="Century Gothic" w:cs="Century Gothic" w:eastAsia="Century Gothic" w:hAnsi="Century Gothic"/>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Parameter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Detail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Operator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Azule Energy (bp/Eni JV, 37.4%)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Co-venturers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CABGOC/Chevron (31.0%), Sonangol E&amp;P (19.8%), TotalEnergies (11.8%)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Field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Offshore shallow water, non-associated gas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Initial production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150 mmscfd (live as of 17 March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Plateau target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330 mmscfd, end-2026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Onshore processing capacity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400 mmscfd gas + 20,000 bbl/d condensates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Offtake route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Angola LNG Plant, Soyo → European and Asian spot/term markets</w:t>
            </w:r>
          </w:p>
        </w:tc>
      </w:tr>
    </w:tbl>
    <w:p w:rsidR="00000000" w:rsidDel="00000000" w:rsidP="00000000" w:rsidRDefault="00000000" w:rsidRPr="00000000" w14:paraId="0000001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Strategic Significance</w:t>
      </w:r>
    </w:p>
    <w:p w:rsidR="00000000" w:rsidDel="00000000" w:rsidP="00000000" w:rsidRDefault="00000000" w:rsidRPr="00000000" w14:paraId="0000001E">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1F">
      <w:pPr>
        <w:numPr>
          <w:ilvl w:val="0"/>
          <w:numId w:val="8"/>
        </w:numPr>
        <w:ind w:left="720" w:hanging="360"/>
        <w:jc w:val="both"/>
        <w:rPr>
          <w:rFonts w:ascii="Century Gothic" w:cs="Century Gothic" w:eastAsia="Century Gothic" w:hAnsi="Century Gothic"/>
          <w:b w:val="1"/>
          <w:bCs w:val="1"/>
          <w:i w:val="1"/>
          <w:iCs w:val="1"/>
        </w:rPr>
      </w:pPr>
      <w:r w:rsidDel="00000000" w:rsidR="00000000" w:rsidRPr="00000000">
        <w:rPr>
          <w:rFonts w:ascii="Century Gothic" w:cs="Century Gothic" w:eastAsia="Century Gothic" w:hAnsi="Century Gothic"/>
          <w:b w:val="1"/>
          <w:bCs w:val="1"/>
          <w:i w:val="1"/>
          <w:iCs w:val="1"/>
          <w:rtl w:val="0"/>
        </w:rPr>
        <w:t xml:space="preserve">First Non-Associated Gas Development</w:t>
      </w:r>
    </w:p>
    <w:p w:rsidR="00000000" w:rsidDel="00000000" w:rsidP="00000000" w:rsidRDefault="00000000" w:rsidRPr="00000000" w14:paraId="00000020">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Quiluma is part of Angola’s inaugural non-associated gas project, signaling a structural shift from oil dependence toward diversified hydrocarbon output.</w:t>
      </w:r>
    </w:p>
    <w:p w:rsidR="00000000" w:rsidDel="00000000" w:rsidP="00000000" w:rsidRDefault="00000000" w:rsidRPr="00000000" w14:paraId="00000021">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i w:val="1"/>
          <w:iCs w:val="1"/>
          <w:rtl w:val="0"/>
        </w:rPr>
        <w:t xml:space="preserve">Feedstock for LNG</w:t>
      </w:r>
      <w:r w:rsidDel="00000000" w:rsidR="00000000" w:rsidRPr="00000000">
        <w:rPr>
          <w:rtl w:val="0"/>
        </w:rPr>
      </w:r>
    </w:p>
    <w:p w:rsidR="00000000" w:rsidDel="00000000" w:rsidP="00000000" w:rsidRDefault="00000000" w:rsidRPr="00000000" w14:paraId="00000023">
      <w:pPr>
        <w:ind w:lef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field is expected to supply gas to the Angola LNG facility, supporting export capacity and improving utilization rates of existing infrastructure.</w:t>
      </w:r>
    </w:p>
    <w:p w:rsidR="00000000" w:rsidDel="00000000" w:rsidP="00000000" w:rsidRDefault="00000000" w:rsidRPr="00000000" w14:paraId="00000024">
      <w:pPr>
        <w:ind w:left="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5">
      <w:pPr>
        <w:numPr>
          <w:ilvl w:val="0"/>
          <w:numId w:val="5"/>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i w:val="1"/>
          <w:iCs w:val="1"/>
          <w:rtl w:val="0"/>
        </w:rPr>
        <w:t xml:space="preserve">Energy Transition Alignment</w:t>
      </w:r>
      <w:r w:rsidDel="00000000" w:rsidR="00000000" w:rsidRPr="00000000">
        <w:rPr>
          <w:rtl w:val="0"/>
        </w:rPr>
      </w:r>
    </w:p>
    <w:p w:rsidR="00000000" w:rsidDel="00000000" w:rsidP="00000000" w:rsidRDefault="00000000" w:rsidRPr="00000000" w14:paraId="00000026">
      <w:pPr>
        <w:ind w:left="0" w:firstLine="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Increased gas production aligns with lower-carbon transition strategies, positioning natural gas as a bridging fuel in global energy markets.</w:t>
      </w:r>
    </w:p>
    <w:p w:rsidR="00000000" w:rsidDel="00000000" w:rsidP="00000000" w:rsidRDefault="00000000" w:rsidRPr="00000000" w14:paraId="00000027">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8">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9">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Positive Impact</w:t>
      </w:r>
    </w:p>
    <w:p w:rsidR="00000000" w:rsidDel="00000000" w:rsidP="00000000" w:rsidRDefault="00000000" w:rsidRPr="00000000" w14:paraId="0000002A">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B">
      <w:pPr>
        <w:numPr>
          <w:ilvl w:val="0"/>
          <w:numId w:val="4"/>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w:t>
      </w:r>
      <w:r w:rsidDel="00000000" w:rsidR="00000000" w:rsidRPr="00000000">
        <w:rPr>
          <w:rFonts w:ascii="Century Gothic" w:cs="Century Gothic" w:eastAsia="Century Gothic" w:hAnsi="Century Gothic"/>
          <w:rtl w:val="0"/>
        </w:rPr>
        <w:t xml:space="preserve">strengthens Angola’s position as a reliable LNG supplier. </w:t>
      </w:r>
    </w:p>
    <w:p w:rsidR="00000000" w:rsidDel="00000000" w:rsidP="00000000" w:rsidRDefault="00000000" w:rsidRPr="00000000" w14:paraId="0000002C">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D">
      <w:pPr>
        <w:numPr>
          <w:ilvl w:val="0"/>
          <w:numId w:val="9"/>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It boosts Angola LNG feedstock stability, reducing reliance on associated gas and associated flaring.</w:t>
      </w:r>
    </w:p>
    <w:p w:rsidR="00000000" w:rsidDel="00000000" w:rsidP="00000000" w:rsidRDefault="00000000" w:rsidRPr="00000000" w14:paraId="0000002E">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2F">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0">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1">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2">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4">
      <w:pPr>
        <w:jc w:val="both"/>
        <w:rPr>
          <w:rFonts w:ascii="Century Gothic" w:cs="Century Gothic" w:eastAsia="Century Gothic" w:hAnsi="Century Gothic"/>
        </w:rPr>
      </w:pPr>
      <w:r w:rsidDel="00000000" w:rsidR="00000000" w:rsidRPr="00000000">
        <w:rPr>
          <w:rFonts w:ascii="Century Gothic" w:cs="Century Gothic" w:eastAsia="Century Gothic" w:hAnsi="Century Gothic"/>
          <w:b w:val="1"/>
          <w:bCs w:val="1"/>
          <w:rtl w:val="0"/>
        </w:rPr>
        <w:t xml:space="preserve">Key Risks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5">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6">
      <w:pPr>
        <w:numPr>
          <w:ilvl w:val="0"/>
          <w:numId w:val="3"/>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Operational performance consistency during ramp-up phase</w:t>
      </w:r>
    </w:p>
    <w:p w:rsidR="00000000" w:rsidDel="00000000" w:rsidP="00000000" w:rsidRDefault="00000000" w:rsidRPr="00000000" w14:paraId="00000037">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numPr>
          <w:ilvl w:val="0"/>
          <w:numId w:val="1"/>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LNG market price volatility impacting export revenues</w:t>
      </w:r>
    </w:p>
    <w:p w:rsidR="00000000" w:rsidDel="00000000" w:rsidP="00000000" w:rsidRDefault="00000000" w:rsidRPr="00000000" w14:paraId="00000039">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numPr>
          <w:ilvl w:val="0"/>
          <w:numId w:val="7"/>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Infrastructure reliability and maintenance requirements</w:t>
      </w:r>
    </w:p>
    <w:p w:rsidR="00000000" w:rsidDel="00000000" w:rsidP="00000000" w:rsidRDefault="00000000" w:rsidRPr="00000000" w14:paraId="0000003B">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C">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Recommendation </w:t>
      </w:r>
    </w:p>
    <w:p w:rsidR="00000000" w:rsidDel="00000000" w:rsidP="00000000" w:rsidRDefault="00000000" w:rsidRPr="00000000" w14:paraId="0000003D">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E">
      <w:pPr>
        <w:numPr>
          <w:ilvl w:val="0"/>
          <w:numId w:val="10"/>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Monitor production ramp-up and plateau timelines</w:t>
      </w:r>
    </w:p>
    <w:p w:rsidR="00000000" w:rsidDel="00000000" w:rsidP="00000000" w:rsidRDefault="00000000" w:rsidRPr="00000000" w14:paraId="0000003F">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0">
      <w:pPr>
        <w:numPr>
          <w:ilvl w:val="0"/>
          <w:numId w:val="6"/>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Track LNG export volumes linked to Quiluma output</w:t>
      </w:r>
    </w:p>
    <w:p w:rsidR="00000000" w:rsidDel="00000000" w:rsidP="00000000" w:rsidRDefault="00000000" w:rsidRPr="00000000" w14:paraId="00000041">
      <w:pPr>
        <w:ind w:left="720" w:firstLine="0"/>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numPr>
          <w:ilvl w:val="0"/>
          <w:numId w:val="11"/>
        </w:numPr>
        <w:ind w:left="720" w:hanging="360"/>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Evaluate potential expansion or adjacent field development opportunities</w:t>
      </w:r>
    </w:p>
    <w:p w:rsidR="00000000" w:rsidDel="00000000" w:rsidP="00000000" w:rsidRDefault="00000000" w:rsidRPr="00000000" w14:paraId="00000043">
      <w:pPr>
        <w:jc w:val="both"/>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4">
      <w:pPr>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Conclusion </w:t>
      </w:r>
    </w:p>
    <w:p w:rsidR="00000000" w:rsidDel="00000000" w:rsidP="00000000" w:rsidRDefault="00000000" w:rsidRPr="00000000" w14:paraId="00000045">
      <w:pPr>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6">
      <w:pPr>
        <w:jc w:val="both"/>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Quiluma field’s transition to operational status represents a critical milestone within the investment pipeline. It enhances both the strategic and financial outlook of Angola’s gas sector while contributing positively to portfolio resilience and long-term energy transition positioning.</w:t>
      </w:r>
    </w:p>
    <w:p w:rsidR="00000000" w:rsidDel="00000000" w:rsidP="00000000" w:rsidRDefault="00000000" w:rsidRPr="00000000" w14:paraId="00000047">
      <w:pPr>
        <w:jc w:val="both"/>
        <w:rPr>
          <w:rFonts w:ascii="Century Gothic" w:cs="Century Gothic" w:eastAsia="Century Gothic" w:hAnsi="Century Gothic"/>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