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Uganda's Lake Albert Basin: Tilenga &amp; Kingfisher Projects – Integrated Onshore-to-Export Oil Development</w:t>
      </w:r>
    </w:p>
    <w:p w:rsidR="00000000" w:rsidDel="00000000" w:rsidP="00000000" w:rsidRDefault="00000000" w:rsidRPr="00000000" w14:paraId="0000000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Executive Summary</w:t>
      </w:r>
    </w:p>
    <w:p w:rsidR="00000000" w:rsidDel="00000000" w:rsidP="00000000" w:rsidRDefault="00000000" w:rsidRPr="00000000" w14:paraId="00000004">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Tilenga and Kingfisher developments represent Uganda’s first large-scale commercial oil production projects in the Lake Albert Rift Basin. Together they form the upstream component of Uganda’s integrated crude export system linked to the East African Crude Oil Pipeline (EACOP), which transports crude from western Uganda to the Tanzanian port of Tanga. These projects collectively mark one of Africa’s largest new onshore oil developments and are designed as a fully integrated “onshore-to-export” value chain, combining Multi-field upstream production, Central processing and gas-to-power systems, Heated feeder pipelines, and Long-distance export pipeline infrastructure. At plateau production, Tilenga and Kingfisher are expected to produce about 230,000 barrels per day (bpd) of crude oil ( Tilenga approximately 190,000–204,000 bpd and Kingfisher approximately 40,000 bpd).</w:t>
      </w:r>
    </w:p>
    <w:p w:rsidR="00000000" w:rsidDel="00000000" w:rsidP="00000000" w:rsidRDefault="00000000" w:rsidRPr="00000000" w14:paraId="00000006">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Technologies Highlighted</w:t>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ind w:lef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1.Onshore Multi-Well Pad Drilling &amp; Cluster Development</w:t>
      </w:r>
    </w:p>
    <w:p w:rsidR="00000000" w:rsidDel="00000000" w:rsidP="00000000" w:rsidRDefault="00000000" w:rsidRPr="00000000" w14:paraId="0000000A">
      <w:pPr>
        <w:numPr>
          <w:ilvl w:val="0"/>
          <w:numId w:val="1"/>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Both projects rely heavily on cluster drilling and directional well design. Key technologies include Highly deviated wells reaching reservoirs beneath Lake Albert, Multi-well pads reducing environmental footprint, Onshore drilling to avoid offshore platforms, and Extended-reach drilling(ERD).</w:t>
      </w:r>
    </w:p>
    <w:p w:rsidR="00000000" w:rsidDel="00000000" w:rsidP="00000000" w:rsidRDefault="00000000" w:rsidRPr="00000000" w14:paraId="0000000B">
      <w:pPr>
        <w:ind w:left="72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Directional/ horizontal drilling from centralized pads minimizes surface footprint in the sensitive Lake Albert ecosystem.</w:t>
      </w:r>
    </w:p>
    <w:p w:rsidR="00000000" w:rsidDel="00000000" w:rsidP="00000000" w:rsidRDefault="00000000" w:rsidRPr="00000000" w14:paraId="0000000C">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Advanced rig tech: High-spec land rigs with automated pipe handling and real-time telemetry for efficient, low-cost drilling in rift-basin geology.</w:t>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2. Central Processing Facility (CPF) &amp; Fluid Treatment</w:t>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numPr>
          <w:ilvl w:val="0"/>
          <w:numId w:val="4"/>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Tilenga CPF at Kasenyi: Processes oil, separates water/gas; reinjects produced water into reservoirs for pressure support and zero-discharge. The Tilenga Central Processing Facility at Kasenyi is designed to process up to approximately 190,000 bpd of crude, with produced water treated and reinjected for reservoir pressure maintenance.</w:t>
      </w:r>
    </w:p>
    <w:p w:rsidR="00000000" w:rsidDel="00000000" w:rsidP="00000000" w:rsidRDefault="00000000" w:rsidRPr="00000000" w14:paraId="00000012">
      <w:pPr>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numPr>
          <w:ilvl w:val="0"/>
          <w:numId w:val="4"/>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Gas utilization: Associated gas powers onsite generation (combined-cycle for efficiency); surplus exported to Ugandan grid, reducing flaring and supporting local power needs. Technologies used include Gas-fired turbines to generate electricity, Gas reinjection and utilization, and Surplus electricity supplied to: Pipeline infrastructure, and Uganda’s national grid.</w:t>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3. Buried Long-Distance Pipeline Infrastructure (EACOP)</w:t>
      </w:r>
    </w:p>
    <w:p w:rsidR="00000000" w:rsidDel="00000000" w:rsidP="00000000" w:rsidRDefault="00000000" w:rsidRPr="00000000" w14:paraId="00000016">
      <w:pPr>
        <w:numPr>
          <w:ilvl w:val="0"/>
          <w:numId w:val="3"/>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Approximately </w:t>
      </w:r>
      <w:r w:rsidDel="00000000" w:rsidR="00000000" w:rsidRPr="00000000">
        <w:rPr>
          <w:rFonts w:ascii="Century Gothic" w:cs="Century Gothic" w:eastAsia="Century Gothic" w:hAnsi="Century Gothic"/>
          <w:rtl w:val="0"/>
        </w:rPr>
        <w:t xml:space="preserve">1,443 km heated, insulated pipeline (world's longest heated crude line) from Hoima (Uganda) to Tanga (Tanzania).</w:t>
      </w:r>
    </w:p>
    <w:p w:rsidR="00000000" w:rsidDel="00000000" w:rsidP="00000000" w:rsidRDefault="00000000" w:rsidRPr="00000000" w14:paraId="00000017">
      <w:pPr>
        <w:numPr>
          <w:ilvl w:val="0"/>
          <w:numId w:val="3"/>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Tech enablers: Leak detection via fiber-optic sensing, SCADA for remote monitoring, and pigging systems for maintenance.</w:t>
      </w:r>
    </w:p>
    <w:p w:rsidR="00000000" w:rsidDel="00000000" w:rsidP="00000000" w:rsidRDefault="00000000" w:rsidRPr="00000000" w14:paraId="00000018">
      <w:pPr>
        <w:numPr>
          <w:ilvl w:val="0"/>
          <w:numId w:val="3"/>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Environmental focus: Buried design reduces visual/land impact; advanced coating/corrosion protection for longevity in varied terrain.</w:t>
      </w:r>
    </w:p>
    <w:p w:rsidR="00000000" w:rsidDel="00000000" w:rsidP="00000000" w:rsidRDefault="00000000" w:rsidRPr="00000000" w14:paraId="0000001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4. Reservoir Management &amp; Enhanced Recovery Prep</w:t>
      </w:r>
    </w:p>
    <w:p w:rsidR="00000000" w:rsidDel="00000000" w:rsidP="00000000" w:rsidRDefault="00000000" w:rsidRPr="00000000" w14:paraId="0000001B">
      <w:pPr>
        <w:numPr>
          <w:ilvl w:val="0"/>
          <w:numId w:val="2"/>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Early water reinjection and potential future CO2/EOR readiness in rift-basin reservoirs.</w:t>
      </w:r>
    </w:p>
    <w:p w:rsidR="00000000" w:rsidDel="00000000" w:rsidP="00000000" w:rsidRDefault="00000000" w:rsidRPr="00000000" w14:paraId="0000001C">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Digital tools: Reservoir simulation models and real-time data analytics for optimizing well placement and production profiles.</w:t>
      </w:r>
    </w:p>
    <w:p w:rsidR="00000000" w:rsidDel="00000000" w:rsidP="00000000" w:rsidRDefault="00000000" w:rsidRPr="00000000" w14:paraId="0000001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5. Supporting Digital &amp; Sustainability Technologies</w:t>
      </w:r>
    </w:p>
    <w:p w:rsidR="00000000" w:rsidDel="00000000" w:rsidP="00000000" w:rsidRDefault="00000000" w:rsidRPr="00000000" w14:paraId="00000020">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1">
      <w:pPr>
        <w:numPr>
          <w:ilvl w:val="0"/>
          <w:numId w:val="6"/>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TotalEnergies' integrated digital platform: Predictive maintenance, remote ops centers, and AI for drilling optimization.</w:t>
      </w:r>
    </w:p>
    <w:p w:rsidR="00000000" w:rsidDel="00000000" w:rsidP="00000000" w:rsidRDefault="00000000" w:rsidRPr="00000000" w14:paraId="00000022">
      <w:pPr>
        <w:numPr>
          <w:ilvl w:val="0"/>
          <w:numId w:val="6"/>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ESG integration: Land acquisition transparency assessments, biodiversity monitoring, and community benefit programs tied to tech deployment.</w:t>
      </w:r>
    </w:p>
    <w:p w:rsidR="00000000" w:rsidDel="00000000" w:rsidP="00000000" w:rsidRDefault="00000000" w:rsidRPr="00000000" w14:paraId="0000002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Risks</w:t>
      </w:r>
      <w:r w:rsidDel="00000000" w:rsidR="00000000" w:rsidRPr="00000000">
        <w:rPr>
          <w:rtl w:val="0"/>
        </w:rPr>
      </w:r>
    </w:p>
    <w:p w:rsidR="00000000" w:rsidDel="00000000" w:rsidP="00000000" w:rsidRDefault="00000000" w:rsidRPr="00000000" w14:paraId="00000025">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Wax deposition in pipelines</w:t>
      </w:r>
    </w:p>
    <w:p w:rsidR="00000000" w:rsidDel="00000000" w:rsidP="00000000" w:rsidRDefault="00000000" w:rsidRPr="00000000" w14:paraId="00000026">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Remote logistics and infrastructure challenges</w:t>
      </w:r>
    </w:p>
    <w:p w:rsidR="00000000" w:rsidDel="00000000" w:rsidP="00000000" w:rsidRDefault="00000000" w:rsidRPr="00000000" w14:paraId="00000027">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Reservoir management complexity</w:t>
      </w:r>
    </w:p>
    <w:p w:rsidR="00000000" w:rsidDel="00000000" w:rsidP="00000000" w:rsidRDefault="00000000" w:rsidRPr="00000000" w14:paraId="00000028">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Biodiversity sensitivity</w:t>
      </w:r>
    </w:p>
    <w:p w:rsidR="00000000" w:rsidDel="00000000" w:rsidP="00000000" w:rsidRDefault="00000000" w:rsidRPr="00000000" w14:paraId="00000029">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Oil price volatility</w:t>
      </w:r>
    </w:p>
    <w:p w:rsidR="00000000" w:rsidDel="00000000" w:rsidP="00000000" w:rsidRDefault="00000000" w:rsidRPr="00000000" w14:paraId="0000002A">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Export pipeline delays</w:t>
      </w:r>
    </w:p>
    <w:p w:rsidR="00000000" w:rsidDel="00000000" w:rsidP="00000000" w:rsidRDefault="00000000" w:rsidRPr="00000000" w14:paraId="0000002B">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Financing pressures</w:t>
      </w:r>
    </w:p>
    <w:p w:rsidR="00000000" w:rsidDel="00000000" w:rsidP="00000000" w:rsidRDefault="00000000" w:rsidRPr="00000000" w14:paraId="0000002C">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D">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 Outlook</w:t>
      </w:r>
    </w:p>
    <w:p w:rsidR="00000000" w:rsidDel="00000000" w:rsidP="00000000" w:rsidRDefault="00000000" w:rsidRPr="00000000" w14:paraId="0000002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Tilenga and Kingfisher developments are expected to transform Uganda into a significant African oil exporter once full production is achieved.</w:t>
      </w:r>
    </w:p>
    <w:p w:rsidR="00000000" w:rsidDel="00000000" w:rsidP="00000000" w:rsidRDefault="00000000" w:rsidRPr="00000000" w14:paraId="0000002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Key milestones ahead include Completion of drilling campaigns</w:t>
      </w:r>
    </w:p>
    <w:p w:rsidR="00000000" w:rsidDel="00000000" w:rsidP="00000000" w:rsidRDefault="00000000" w:rsidRPr="00000000" w14:paraId="0000003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Commissioning of central processing facilities, Completion of the East African Crude Oil Pipeline, and First export cargo through Tanga. At full capacity, the integrated system could sustain approximately 230,000 bpd of crude exports for more than two decades.</w:t>
      </w:r>
      <w:r w:rsidDel="00000000" w:rsidR="00000000" w:rsidRPr="00000000">
        <w:rPr>
          <w:rtl w:val="0"/>
        </w:rPr>
      </w:r>
    </w:p>
    <w:p w:rsidR="00000000" w:rsidDel="00000000" w:rsidP="00000000" w:rsidRDefault="00000000" w:rsidRPr="00000000" w14:paraId="0000003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Conclusion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Tilenga and Kingfisher projects represent a strategic, technology-driven upstream development integrating modern drilling techniques, centralized processing infrastructure, and heated export pipelines creating a new oil export pathway for East Africa.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