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48"/>
          <w:szCs w:val="48"/>
          <w:rtl w:val="0"/>
        </w:rPr>
        <w:t xml:space="preserve">Cairo 3A Off-Grid Hybrid Solar Project</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both"/>
        <w:rPr>
          <w:rFonts w:ascii="Century Gothic" w:cs="Century Gothic" w:eastAsia="Century Gothic" w:hAnsi="Century Gothic"/>
          <w:b w:val="1"/>
          <w:bCs w:val="1"/>
          <w:color w:val="000000"/>
          <w:sz w:val="26"/>
          <w:szCs w:val="26"/>
        </w:rPr>
      </w:pPr>
      <w:bookmarkStart w:colFirst="0" w:colLast="0" w:name="_cgyspukritk9" w:id="0"/>
      <w:bookmarkEnd w:id="0"/>
      <w:r w:rsidDel="00000000" w:rsidR="00000000" w:rsidRPr="00000000">
        <w:rPr>
          <w:rFonts w:ascii="Century Gothic" w:cs="Century Gothic" w:eastAsia="Century Gothic" w:hAnsi="Century Gothic"/>
          <w:b w:val="1"/>
          <w:bCs w:val="1"/>
          <w:color w:val="000000"/>
          <w:sz w:val="26"/>
          <w:szCs w:val="26"/>
          <w:rtl w:val="0"/>
        </w:rPr>
        <w:t xml:space="preserve">Executive Summary</w:t>
      </w:r>
    </w:p>
    <w:p w:rsidR="00000000" w:rsidDel="00000000" w:rsidP="00000000" w:rsidRDefault="00000000" w:rsidRPr="00000000" w14:paraId="00000003">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Cairo 3A project represents a flagship off-grid hybrid energy system in Egypt, designed to deliver reliable, sustainable electricity to a large-scale integrated poultry production facility operated by Cairo 3A Poultry (also known as Cairo3A Group). Developed and operated by Venus (a subsidiary of Karm Holding / KarmSolar) under a Power Purchase Agreement (PPA), the project combines solar photovoltaic (PV) generation, battery energy storage, and diesel backup gensets to address the challenges of remote, grid-unstable agricultural operations</w:t>
      </w:r>
    </w:p>
    <w:p w:rsidR="00000000" w:rsidDel="00000000" w:rsidP="00000000" w:rsidRDefault="00000000" w:rsidRPr="00000000" w14:paraId="00000004">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project combines solar photovoltaic technology with battery energy storage and backup diesel generators. This combination allows the system to provide stable electricity even when solar production is low or when there are fluctuations in energy demand. The solar panels generate clean electricity during the day, while batteries store excess energy for use at night or during cloudy periods. Backup generators are used only when necessary, ensuring an uninterrupted power supply for the poultry facilities.</w:t>
      </w:r>
      <w:r w:rsidDel="00000000" w:rsidR="00000000" w:rsidRPr="00000000">
        <w:rPr>
          <w:rtl w:val="0"/>
        </w:rPr>
      </w:r>
    </w:p>
    <w:p w:rsidR="00000000" w:rsidDel="00000000" w:rsidP="00000000" w:rsidRDefault="00000000" w:rsidRPr="00000000" w14:paraId="00000005">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Launched in 2020, the project is currently undergoing a major expansion funded by Shariah-compliant Islamic financing from Banque Misr. Phase 1 delivered 3 MVA contracted capacity with 2.576 MWp solar PV. Phase 2 (targeted completion in 2026) will scale the system to 5.5 MVA total capacity and 4.5 MWp solar, approximately 83% increase in solar output significantly boosting renewable penetration and operational resilience for energy-intensive poultry farming</w:t>
      </w:r>
    </w:p>
    <w:p w:rsidR="00000000" w:rsidDel="00000000" w:rsidP="00000000" w:rsidRDefault="00000000" w:rsidRPr="00000000" w14:paraId="0000000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Project Fundamentals</w:t>
      </w:r>
    </w:p>
    <w:p w:rsidR="00000000" w:rsidDel="00000000" w:rsidP="00000000" w:rsidRDefault="00000000" w:rsidRPr="00000000" w14:paraId="0000000F">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Parameters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Project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Off-grid hybrid solar microgrid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Egypt (Bahariya Oasis (Al Wahat), Giza Governorate)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Expansion Growth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Approximately 83% increase in capacity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Karm Holding (via Venus subsidiary)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Financing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EGP 154 million total (incl. EGP 70m expansion)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Phase 1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MVA / 2.5 MWp solar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Phase 2 Capacity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5.5 MVA / 4.5 MWp solar</w:t>
            </w:r>
          </w:p>
        </w:tc>
      </w:tr>
    </w:tbl>
    <w:p w:rsidR="00000000" w:rsidDel="00000000" w:rsidP="00000000" w:rsidRDefault="00000000" w:rsidRPr="00000000" w14:paraId="0000002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spacing w:after="240" w:before="24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3">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Development Timeline</w:t>
      </w:r>
    </w:p>
    <w:p w:rsidR="00000000" w:rsidDel="00000000" w:rsidP="00000000" w:rsidRDefault="00000000" w:rsidRPr="00000000" w14:paraId="00000024">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2020 (Phase 1)</w:t>
      </w:r>
      <w:r w:rsidDel="00000000" w:rsidR="00000000" w:rsidRPr="00000000">
        <w:rPr>
          <w:rFonts w:ascii="Century Gothic" w:cs="Century Gothic" w:eastAsia="Century Gothic" w:hAnsi="Century Gothic"/>
          <w:rtl w:val="0"/>
        </w:rPr>
        <w:t xml:space="preserve">: initial hybrid microgrid (PV + diesel) commissioned under PPA. </w:t>
      </w:r>
    </w:p>
    <w:p w:rsidR="00000000" w:rsidDel="00000000" w:rsidP="00000000" w:rsidRDefault="00000000" w:rsidRPr="00000000" w14:paraId="00000025">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2022</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(BESS expansion phase):</w:t>
      </w:r>
      <w:r w:rsidDel="00000000" w:rsidR="00000000" w:rsidRPr="00000000">
        <w:rPr>
          <w:rFonts w:ascii="Century Gothic" w:cs="Century Gothic" w:eastAsia="Century Gothic" w:hAnsi="Century Gothic"/>
          <w:rtl w:val="0"/>
        </w:rPr>
        <w:t xml:space="preserve"> $2 million financing secured from QNB Alahli. KarmSolar is already operating the solar PV plant at the site.</w:t>
      </w:r>
    </w:p>
    <w:p w:rsidR="00000000" w:rsidDel="00000000" w:rsidP="00000000" w:rsidRDefault="00000000" w:rsidRPr="00000000" w14:paraId="00000026">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March 2026:</w:t>
      </w:r>
      <w:r w:rsidDel="00000000" w:rsidR="00000000" w:rsidRPr="00000000">
        <w:rPr>
          <w:rFonts w:ascii="Century Gothic" w:cs="Century Gothic" w:eastAsia="Century Gothic" w:hAnsi="Century Gothic"/>
          <w:rtl w:val="0"/>
        </w:rPr>
        <w:t xml:space="preserve"> Banque Misr announces additional EGP 70 million Shariah-compliant financing for Phase 2 expansion. Total bank commitment reaches EGP 154 million.</w:t>
      </w:r>
    </w:p>
    <w:p w:rsidR="00000000" w:rsidDel="00000000" w:rsidP="00000000" w:rsidRDefault="00000000" w:rsidRPr="00000000" w14:paraId="00000027">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2026 (Phase 2 completion):</w:t>
      </w:r>
      <w:r w:rsidDel="00000000" w:rsidR="00000000" w:rsidRPr="00000000">
        <w:rPr>
          <w:rFonts w:ascii="Century Gothic" w:cs="Century Gothic" w:eastAsia="Century Gothic" w:hAnsi="Century Gothic"/>
          <w:rtl w:val="0"/>
        </w:rPr>
        <w:t xml:space="preserve"> full 5.5 MVA / 4.5 MWp system operational.</w:t>
      </w:r>
    </w:p>
    <w:p w:rsidR="00000000" w:rsidDel="00000000" w:rsidP="00000000" w:rsidRDefault="00000000" w:rsidRPr="00000000" w14:paraId="00000028">
      <w:pPr>
        <w:spacing w:after="240" w:before="24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9">
      <w:pPr>
        <w:spacing w:after="240" w:before="24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A">
      <w:pPr>
        <w:spacing w:after="240" w:before="24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B">
      <w:pPr>
        <w:spacing w:after="240" w:before="24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C">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Technology Components</w:t>
      </w:r>
    </w:p>
    <w:p w:rsidR="00000000" w:rsidDel="00000000" w:rsidP="00000000" w:rsidRDefault="00000000" w:rsidRPr="00000000" w14:paraId="0000002D">
      <w:pPr>
        <w:spacing w:after="240" w:before="240" w:lineRule="auto"/>
        <w:jc w:val="both"/>
        <w:rPr>
          <w:rFonts w:ascii="Century Gothic" w:cs="Century Gothic" w:eastAsia="Century Gothic" w:hAnsi="Century Gothic"/>
          <w:b w:val="1"/>
          <w:bCs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Component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Strategic Purpose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Solar PV (2.5 MWp in phase 1, expanding to 4.5 MWp in Phase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Primary Generation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Provides cost-effective day time power.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Battery Storage (1 MW / 3.957 MWh)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Energy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Enables 24/7 off-grid operations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Diesel Gensets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Backup/Firm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Ensures un-interrupted supply of agri-industrial load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Hybrid Control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Grid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Optimize dispatch across three generation sources</w:t>
            </w:r>
          </w:p>
        </w:tc>
      </w:tr>
    </w:tbl>
    <w:p w:rsidR="00000000" w:rsidDel="00000000" w:rsidP="00000000" w:rsidRDefault="00000000" w:rsidRPr="00000000" w14:paraId="0000003D">
      <w:pPr>
        <w:spacing w:after="240" w:before="24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E">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Equipment Details</w:t>
      </w:r>
    </w:p>
    <w:p w:rsidR="00000000" w:rsidDel="00000000" w:rsidP="00000000" w:rsidRDefault="00000000" w:rsidRPr="00000000" w14:paraId="0000003F">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PV Inverters:</w:t>
      </w:r>
      <w:r w:rsidDel="00000000" w:rsidR="00000000" w:rsidRPr="00000000">
        <w:rPr>
          <w:rFonts w:ascii="Century Gothic" w:cs="Century Gothic" w:eastAsia="Century Gothic" w:hAnsi="Century Gothic"/>
          <w:rtl w:val="0"/>
        </w:rPr>
        <w:t xml:space="preserve"> Sungrow (exact models support 1500 V DC system for higher efficiency and lower BOS costs).</w:t>
      </w:r>
    </w:p>
    <w:p w:rsidR="00000000" w:rsidDel="00000000" w:rsidP="00000000" w:rsidRDefault="00000000" w:rsidRPr="00000000" w14:paraId="00000040">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BESS</w:t>
      </w:r>
      <w:r w:rsidDel="00000000" w:rsidR="00000000" w:rsidRPr="00000000">
        <w:rPr>
          <w:rFonts w:ascii="Century Gothic" w:cs="Century Gothic" w:eastAsia="Century Gothic" w:hAnsi="Century Gothic"/>
          <w:rtl w:val="0"/>
        </w:rPr>
        <w:t xml:space="preserve">: Sungrow containerized solution (ST3956KWH(L)-1375UD platform referenced in project documentation); includes integrated PCS, BMS, and thermal management. Degradation modeling for 20-year life cycle performed.</w:t>
      </w:r>
    </w:p>
    <w:p w:rsidR="00000000" w:rsidDel="00000000" w:rsidP="00000000" w:rsidRDefault="00000000" w:rsidRPr="00000000" w14:paraId="00000041">
      <w:pPr>
        <w:spacing w:after="240" w:befor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Gensets:</w:t>
      </w:r>
      <w:r w:rsidDel="00000000" w:rsidR="00000000" w:rsidRPr="00000000">
        <w:rPr>
          <w:rFonts w:ascii="Century Gothic" w:cs="Century Gothic" w:eastAsia="Century Gothic" w:hAnsi="Century Gothic"/>
          <w:rtl w:val="0"/>
        </w:rPr>
        <w:t xml:space="preserve"> MTU diesel units with advanced synchronization.</w:t>
      </w:r>
    </w:p>
    <w:p w:rsidR="00000000" w:rsidDel="00000000" w:rsidP="00000000" w:rsidRDefault="00000000" w:rsidRPr="00000000" w14:paraId="00000042">
      <w:pPr>
        <w:spacing w:after="240" w:before="240"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Controllers (DEIF):</w:t>
      </w:r>
    </w:p>
    <w:p w:rsidR="00000000" w:rsidDel="00000000" w:rsidP="00000000" w:rsidRDefault="00000000" w:rsidRPr="00000000" w14:paraId="00000043">
      <w:pPr>
        <w:numPr>
          <w:ilvl w:val="0"/>
          <w:numId w:val="1"/>
        </w:numPr>
        <w:spacing w:after="0" w:afterAutospacing="0" w:befor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ASC-4 Solar: Maximizes PV penetration.</w:t>
      </w:r>
    </w:p>
    <w:p w:rsidR="00000000" w:rsidDel="00000000" w:rsidP="00000000" w:rsidRDefault="00000000" w:rsidRPr="00000000" w14:paraId="00000044">
      <w:pPr>
        <w:numPr>
          <w:ilvl w:val="0"/>
          <w:numId w:val="1"/>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ASC-4 Battery: Manages charge/discharge, SOC limits, and priority settings.</w:t>
      </w:r>
    </w:p>
    <w:p w:rsidR="00000000" w:rsidDel="00000000" w:rsidP="00000000" w:rsidRDefault="00000000" w:rsidRPr="00000000" w14:paraId="00000045">
      <w:pPr>
        <w:numPr>
          <w:ilvl w:val="0"/>
          <w:numId w:val="1"/>
        </w:numPr>
        <w:spacing w:after="0" w:afterAutospacing="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AGC-150 Generator: Genset control, protection, and hybrid power management (supports up to 32 devices).</w:t>
      </w:r>
    </w:p>
    <w:p w:rsidR="00000000" w:rsidDel="00000000" w:rsidP="00000000" w:rsidRDefault="00000000" w:rsidRPr="00000000" w14:paraId="00000046">
      <w:pPr>
        <w:numPr>
          <w:ilvl w:val="0"/>
          <w:numId w:val="1"/>
        </w:numPr>
        <w:spacing w:after="240" w:before="0" w:beforeAutospacing="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Communication: CANbus + Modbus; customizable via M-Logic for bespoke logic.</w:t>
      </w:r>
    </w:p>
    <w:p w:rsidR="00000000" w:rsidDel="00000000" w:rsidP="00000000" w:rsidRDefault="00000000" w:rsidRPr="00000000" w14:paraId="00000047">
      <w:pPr>
        <w:spacing w:after="240" w:before="240"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jc w:val="both"/>
        <w:rPr>
          <w:rFonts w:ascii="Century Gothic" w:cs="Century Gothic" w:eastAsia="Century Gothic" w:hAnsi="Century Gothic"/>
          <w:b w:val="1"/>
          <w:bCs w:val="1"/>
          <w:color w:val="000000"/>
          <w:sz w:val="26"/>
          <w:szCs w:val="26"/>
        </w:rPr>
      </w:pPr>
      <w:bookmarkStart w:colFirst="0" w:colLast="0" w:name="_iqjuctgzbseh" w:id="1"/>
      <w:bookmarkEnd w:id="1"/>
      <w:r w:rsidDel="00000000" w:rsidR="00000000" w:rsidRPr="00000000">
        <w:rPr>
          <w:rFonts w:ascii="Century Gothic" w:cs="Century Gothic" w:eastAsia="Century Gothic" w:hAnsi="Century Gothic"/>
          <w:b w:val="1"/>
          <w:bCs w:val="1"/>
          <w:color w:val="000000"/>
          <w:sz w:val="26"/>
          <w:szCs w:val="26"/>
          <w:rtl w:val="0"/>
        </w:rPr>
        <w:t xml:space="preserve">Environmental and Economic Impact</w:t>
      </w:r>
    </w:p>
    <w:p w:rsidR="00000000" w:rsidDel="00000000" w:rsidP="00000000" w:rsidRDefault="00000000" w:rsidRPr="00000000" w14:paraId="00000049">
      <w:pPr>
        <w:numPr>
          <w:ilvl w:val="0"/>
          <w:numId w:val="2"/>
        </w:numPr>
        <w:spacing w:after="0" w:afterAutospacing="0" w:before="240" w:lineRule="auto"/>
        <w:ind w:left="720" w:hanging="360"/>
        <w:jc w:val="both"/>
        <w:rPr/>
      </w:pPr>
      <w:r w:rsidDel="00000000" w:rsidR="00000000" w:rsidRPr="00000000">
        <w:rPr>
          <w:rFonts w:ascii="Century Gothic" w:cs="Century Gothic" w:eastAsia="Century Gothic" w:hAnsi="Century Gothic"/>
          <w:b w:val="1"/>
          <w:bCs w:val="1"/>
          <w:rtl w:val="0"/>
        </w:rPr>
        <w:t xml:space="preserve">Emissions Reduction:</w:t>
      </w:r>
      <w:r w:rsidDel="00000000" w:rsidR="00000000" w:rsidRPr="00000000">
        <w:rPr>
          <w:rFonts w:ascii="Century Gothic" w:cs="Century Gothic" w:eastAsia="Century Gothic" w:hAnsi="Century Gothic"/>
          <w:rtl w:val="0"/>
        </w:rPr>
        <w:t xml:space="preserve"> Significant diesel displacement (40–65% renewable share) lowers CO₂ and particulate emissions.</w:t>
      </w:r>
    </w:p>
    <w:p w:rsidR="00000000" w:rsidDel="00000000" w:rsidP="00000000" w:rsidRDefault="00000000" w:rsidRPr="00000000" w14:paraId="0000004A">
      <w:pPr>
        <w:numPr>
          <w:ilvl w:val="0"/>
          <w:numId w:val="2"/>
        </w:numPr>
        <w:spacing w:after="0" w:afterAutospacing="0" w:before="0" w:beforeAutospacing="0" w:lineRule="auto"/>
        <w:ind w:left="720" w:hanging="360"/>
        <w:jc w:val="both"/>
        <w:rPr/>
      </w:pPr>
      <w:r w:rsidDel="00000000" w:rsidR="00000000" w:rsidRPr="00000000">
        <w:rPr>
          <w:rFonts w:ascii="Century Gothic" w:cs="Century Gothic" w:eastAsia="Century Gothic" w:hAnsi="Century Gothic"/>
          <w:b w:val="1"/>
          <w:bCs w:val="1"/>
          <w:rtl w:val="0"/>
        </w:rPr>
        <w:t xml:space="preserve">Cost Savings:</w:t>
      </w:r>
      <w:r w:rsidDel="00000000" w:rsidR="00000000" w:rsidRPr="00000000">
        <w:rPr>
          <w:rFonts w:ascii="Century Gothic" w:cs="Century Gothic" w:eastAsia="Century Gothic" w:hAnsi="Century Gothic"/>
          <w:rtl w:val="0"/>
        </w:rPr>
        <w:t xml:space="preserve"> Reduced fuel procurement and generator runtime.</w:t>
      </w:r>
    </w:p>
    <w:p w:rsidR="00000000" w:rsidDel="00000000" w:rsidP="00000000" w:rsidRDefault="00000000" w:rsidRPr="00000000" w14:paraId="0000004B">
      <w:pPr>
        <w:numPr>
          <w:ilvl w:val="0"/>
          <w:numId w:val="2"/>
        </w:numPr>
        <w:spacing w:after="240" w:before="0" w:beforeAutospacing="0" w:lineRule="auto"/>
        <w:ind w:left="720" w:hanging="360"/>
        <w:jc w:val="both"/>
        <w:rPr/>
      </w:pPr>
      <w:r w:rsidDel="00000000" w:rsidR="00000000" w:rsidRPr="00000000">
        <w:rPr>
          <w:rFonts w:ascii="Century Gothic" w:cs="Century Gothic" w:eastAsia="Century Gothic" w:hAnsi="Century Gothic"/>
          <w:b w:val="1"/>
          <w:bCs w:val="1"/>
          <w:rtl w:val="0"/>
        </w:rPr>
        <w:t xml:space="preserve">Sustainability:</w:t>
      </w:r>
      <w:r w:rsidDel="00000000" w:rsidR="00000000" w:rsidRPr="00000000">
        <w:rPr>
          <w:rFonts w:ascii="Century Gothic" w:cs="Century Gothic" w:eastAsia="Century Gothic" w:hAnsi="Century Gothic"/>
          <w:rtl w:val="0"/>
        </w:rPr>
        <w:t xml:space="preserve"> Supports Egypt’s agricultural self-sufficiency and national renewable goals in off-grid zones.</w:t>
      </w:r>
    </w:p>
    <w:p w:rsidR="00000000" w:rsidDel="00000000" w:rsidP="00000000" w:rsidRDefault="00000000" w:rsidRPr="00000000" w14:paraId="0000004C">
      <w:pPr>
        <w:spacing w:after="240" w:befor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D">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Conclusion</w:t>
      </w:r>
    </w:p>
    <w:p w:rsidR="00000000" w:rsidDel="00000000" w:rsidP="00000000" w:rsidRDefault="00000000" w:rsidRPr="00000000" w14:paraId="0000004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Cairo 3A project showcases a scalable hybrid energy solution that combines solar, battery storage, and diesel backup to deliver reliable and cost-efficient power for off-grid industrial operations. Its expansion, supported by innovative financing, strengthens renewable energy use, reduces diesel dependence, and improves sustainability. Overall, it serves as a replicable model for decentralized energy systems across Africa, enabling energy security and industrial growth.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