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44A" w:rsidRPr="0018651F" w:rsidRDefault="004E009A" w:rsidP="0018651F">
      <w:pPr>
        <w:jc w:val="both"/>
        <w:rPr>
          <w:rFonts w:ascii="Times New Roman" w:hAnsi="Times New Roman" w:cs="Times New Roman"/>
          <w:sz w:val="48"/>
          <w:szCs w:val="24"/>
        </w:rPr>
      </w:pPr>
      <w:r w:rsidRPr="0018651F">
        <w:rPr>
          <w:rFonts w:ascii="Times New Roman" w:hAnsi="Times New Roman" w:cs="Times New Roman"/>
          <w:b/>
          <w:sz w:val="48"/>
          <w:szCs w:val="24"/>
        </w:rPr>
        <w:t>Nigeria Investment Pipeline Update</w:t>
      </w:r>
    </w:p>
    <w:p w:rsidR="0022644A" w:rsidRPr="0018651F" w:rsidRDefault="004E009A" w:rsidP="0018651F">
      <w:pPr>
        <w:pStyle w:val="Heading1"/>
        <w:jc w:val="both"/>
        <w:rPr>
          <w:rFonts w:ascii="Times New Roman" w:hAnsi="Times New Roman" w:cs="Times New Roman"/>
          <w:color w:val="auto"/>
          <w:sz w:val="24"/>
          <w:szCs w:val="24"/>
        </w:rPr>
      </w:pPr>
      <w:r w:rsidRPr="0018651F">
        <w:rPr>
          <w:rFonts w:ascii="Times New Roman" w:hAnsi="Times New Roman" w:cs="Times New Roman"/>
          <w:color w:val="auto"/>
          <w:sz w:val="24"/>
          <w:szCs w:val="24"/>
        </w:rPr>
        <w:t>1. Introduction</w:t>
      </w:r>
    </w:p>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Nigeria’s investment environment is improving in transaction volume and reform activity, but long-term project execution remains uneven. The macro backdrop is more market-oriented, supported by foreign-excha</w:t>
      </w:r>
      <w:r w:rsidRPr="0018651F">
        <w:rPr>
          <w:rFonts w:ascii="Times New Roman" w:hAnsi="Times New Roman" w:cs="Times New Roman"/>
          <w:sz w:val="24"/>
          <w:szCs w:val="24"/>
        </w:rPr>
        <w:t xml:space="preserve">nge liberalisation, fuel-subsidy removal, a new Investment and Securities Act (2025), and an ongoing banking recapitalisation cycle intended to deepen domestic financing capacity. However, the quality of inflows matters: Reuters reports that total capital </w:t>
      </w:r>
      <w:r w:rsidRPr="0018651F">
        <w:rPr>
          <w:rFonts w:ascii="Times New Roman" w:hAnsi="Times New Roman" w:cs="Times New Roman"/>
          <w:sz w:val="24"/>
          <w:szCs w:val="24"/>
        </w:rPr>
        <w:t>inflows rose to $23.22 billion in 2025, but about 85% was portfolio money, whil</w:t>
      </w:r>
      <w:r w:rsidR="0018651F">
        <w:rPr>
          <w:rFonts w:ascii="Times New Roman" w:hAnsi="Times New Roman" w:cs="Times New Roman"/>
          <w:sz w:val="24"/>
          <w:szCs w:val="24"/>
        </w:rPr>
        <w:t xml:space="preserve">e FDI reached only $923 million </w:t>
      </w:r>
      <w:r w:rsidRPr="0018651F">
        <w:rPr>
          <w:rFonts w:ascii="Times New Roman" w:hAnsi="Times New Roman" w:cs="Times New Roman"/>
          <w:sz w:val="24"/>
          <w:szCs w:val="24"/>
        </w:rPr>
        <w:t>evidence that real-asset commitments remain selective and risk-priced.</w:t>
      </w:r>
    </w:p>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Tracking the investment pipeline is therefore important for distinguishing</w:t>
      </w:r>
      <w:r w:rsidRPr="0018651F">
        <w:rPr>
          <w:rFonts w:ascii="Times New Roman" w:hAnsi="Times New Roman" w:cs="Times New Roman"/>
          <w:sz w:val="24"/>
          <w:szCs w:val="24"/>
        </w:rPr>
        <w:t xml:space="preserve"> headline announcements from bankable, executable projects. In Nigeria, this is particularly relevant because large pr</w:t>
      </w:r>
      <w:r w:rsidR="0018651F">
        <w:rPr>
          <w:rFonts w:ascii="Times New Roman" w:hAnsi="Times New Roman" w:cs="Times New Roman"/>
          <w:sz w:val="24"/>
          <w:szCs w:val="24"/>
        </w:rPr>
        <w:t xml:space="preserve">ojects rely on mixed structures </w:t>
      </w:r>
      <w:r w:rsidRPr="0018651F">
        <w:rPr>
          <w:rFonts w:ascii="Times New Roman" w:hAnsi="Times New Roman" w:cs="Times New Roman"/>
          <w:sz w:val="24"/>
          <w:szCs w:val="24"/>
        </w:rPr>
        <w:t xml:space="preserve">state-led </w:t>
      </w:r>
      <w:proofErr w:type="spellStart"/>
      <w:r w:rsidRPr="0018651F">
        <w:rPr>
          <w:rFonts w:ascii="Times New Roman" w:hAnsi="Times New Roman" w:cs="Times New Roman"/>
          <w:sz w:val="24"/>
          <w:szCs w:val="24"/>
        </w:rPr>
        <w:t>capex</w:t>
      </w:r>
      <w:proofErr w:type="spellEnd"/>
      <w:r w:rsidRPr="0018651F">
        <w:rPr>
          <w:rFonts w:ascii="Times New Roman" w:hAnsi="Times New Roman" w:cs="Times New Roman"/>
          <w:sz w:val="24"/>
          <w:szCs w:val="24"/>
        </w:rPr>
        <w:t>, PPPs, multilateral progra</w:t>
      </w:r>
      <w:r w:rsidR="0018651F">
        <w:rPr>
          <w:rFonts w:ascii="Times New Roman" w:hAnsi="Times New Roman" w:cs="Times New Roman"/>
          <w:sz w:val="24"/>
          <w:szCs w:val="24"/>
        </w:rPr>
        <w:t xml:space="preserve">mmes, and corporate JV spending </w:t>
      </w:r>
      <w:r w:rsidRPr="0018651F">
        <w:rPr>
          <w:rFonts w:ascii="Times New Roman" w:hAnsi="Times New Roman" w:cs="Times New Roman"/>
          <w:sz w:val="24"/>
          <w:szCs w:val="24"/>
        </w:rPr>
        <w:t>each with different delivery ris</w:t>
      </w:r>
      <w:r w:rsidRPr="0018651F">
        <w:rPr>
          <w:rFonts w:ascii="Times New Roman" w:hAnsi="Times New Roman" w:cs="Times New Roman"/>
          <w:sz w:val="24"/>
          <w:szCs w:val="24"/>
        </w:rPr>
        <w:t>ks and timelines.</w:t>
      </w:r>
    </w:p>
    <w:p w:rsidR="0022644A" w:rsidRPr="0018651F" w:rsidRDefault="004E009A" w:rsidP="0018651F">
      <w:pPr>
        <w:pStyle w:val="Heading1"/>
        <w:jc w:val="both"/>
        <w:rPr>
          <w:rFonts w:ascii="Times New Roman" w:hAnsi="Times New Roman" w:cs="Times New Roman"/>
          <w:color w:val="auto"/>
          <w:sz w:val="24"/>
          <w:szCs w:val="24"/>
        </w:rPr>
      </w:pPr>
      <w:r w:rsidRPr="0018651F">
        <w:rPr>
          <w:rFonts w:ascii="Times New Roman" w:hAnsi="Times New Roman" w:cs="Times New Roman"/>
          <w:color w:val="auto"/>
          <w:sz w:val="24"/>
          <w:szCs w:val="24"/>
        </w:rPr>
        <w:t>2. Overview of the Investment Pipeline</w:t>
      </w:r>
    </w:p>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Nigeria’s formal pipeline is broad. The ICRC publishes 77 federal projects eligible for PPP procurement across 16 sectors, while its registry of FEC-approved PPP projects lists 103 projects through 2</w:t>
      </w:r>
      <w:r w:rsidRPr="0018651F">
        <w:rPr>
          <w:rFonts w:ascii="Times New Roman" w:hAnsi="Times New Roman" w:cs="Times New Roman"/>
          <w:sz w:val="24"/>
          <w:szCs w:val="24"/>
        </w:rPr>
        <w:t>023, covering ports, roads, rail, dams, airports, gas infrastructure, ICT and social infrastructure. The current live pipeline is concentrated in five clusters: gas and power, strategic roads and logistics, agro-industrial platforms, digital backbone build</w:t>
      </w:r>
      <w:r w:rsidRPr="0018651F">
        <w:rPr>
          <w:rFonts w:ascii="Times New Roman" w:hAnsi="Times New Roman" w:cs="Times New Roman"/>
          <w:sz w:val="24"/>
          <w:szCs w:val="24"/>
        </w:rPr>
        <w:t>-out, and a smaller but growing set of value-add manufacturing projects such as fertilizer and lithium processing.</w:t>
      </w:r>
    </w:p>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The most visible projects are in energy and transport, but the fastest expansion in project-preparation activity is arguably in blended-finan</w:t>
      </w:r>
      <w:r w:rsidRPr="0018651F">
        <w:rPr>
          <w:rFonts w:ascii="Times New Roman" w:hAnsi="Times New Roman" w:cs="Times New Roman"/>
          <w:sz w:val="24"/>
          <w:szCs w:val="24"/>
        </w:rPr>
        <w:t>ce programmes: off-grid electrification, agro-processing zones, and open-access broadband. These projects are increasingly designed to crowd in private capital rather than rely solely on budget funding.</w:t>
      </w:r>
    </w:p>
    <w:p w:rsidR="0022644A" w:rsidRPr="0018651F" w:rsidRDefault="004E009A" w:rsidP="0018651F">
      <w:pPr>
        <w:pStyle w:val="Heading2"/>
        <w:jc w:val="both"/>
        <w:rPr>
          <w:rFonts w:ascii="Times New Roman" w:hAnsi="Times New Roman" w:cs="Times New Roman"/>
          <w:color w:val="auto"/>
          <w:sz w:val="24"/>
          <w:szCs w:val="24"/>
        </w:rPr>
      </w:pPr>
      <w:r w:rsidRPr="0018651F">
        <w:rPr>
          <w:rFonts w:ascii="Times New Roman" w:hAnsi="Times New Roman" w:cs="Times New Roman"/>
          <w:b w:val="0"/>
          <w:color w:val="auto"/>
          <w:sz w:val="24"/>
          <w:szCs w:val="24"/>
        </w:rPr>
        <w:lastRenderedPageBreak/>
        <w:t>Figure 1. Selected pipeline value by sector</w:t>
      </w:r>
    </w:p>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noProof/>
          <w:sz w:val="24"/>
          <w:szCs w:val="24"/>
        </w:rPr>
        <w:drawing>
          <wp:inline distT="0" distB="0" distL="0" distR="0" wp14:anchorId="4BFD09F7" wp14:editId="457413CF">
            <wp:extent cx="6217920" cy="34787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_sector_values.png"/>
                    <pic:cNvPicPr/>
                  </pic:nvPicPr>
                  <pic:blipFill>
                    <a:blip r:embed="rId8"/>
                    <a:stretch>
                      <a:fillRect/>
                    </a:stretch>
                  </pic:blipFill>
                  <pic:spPr>
                    <a:xfrm>
                      <a:off x="0" y="0"/>
                      <a:ext cx="6217920" cy="3478765"/>
                    </a:xfrm>
                    <a:prstGeom prst="rect">
                      <a:avLst/>
                    </a:prstGeom>
                  </pic:spPr>
                </pic:pic>
              </a:graphicData>
            </a:graphic>
          </wp:inline>
        </w:drawing>
      </w:r>
    </w:p>
    <w:p w:rsidR="0022644A" w:rsidRPr="0018651F" w:rsidRDefault="004E009A" w:rsidP="0018651F">
      <w:pPr>
        <w:pStyle w:val="Heading1"/>
        <w:jc w:val="both"/>
        <w:rPr>
          <w:rFonts w:ascii="Times New Roman" w:hAnsi="Times New Roman" w:cs="Times New Roman"/>
          <w:color w:val="auto"/>
          <w:sz w:val="24"/>
          <w:szCs w:val="24"/>
        </w:rPr>
      </w:pPr>
      <w:r w:rsidRPr="0018651F">
        <w:rPr>
          <w:rFonts w:ascii="Times New Roman" w:hAnsi="Times New Roman" w:cs="Times New Roman"/>
          <w:color w:val="auto"/>
          <w:sz w:val="24"/>
          <w:szCs w:val="24"/>
        </w:rPr>
        <w:t>3. Sectoral Analysis</w:t>
      </w:r>
    </w:p>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Energy. Gas remains the deepest project pool. Train 7 is the clearest near-term milestone: the $10 billion NLNG expansion is reported at roughly 80% complete and t</w:t>
      </w:r>
      <w:r w:rsidRPr="0018651F">
        <w:rPr>
          <w:rFonts w:ascii="Times New Roman" w:hAnsi="Times New Roman" w:cs="Times New Roman"/>
          <w:sz w:val="24"/>
          <w:szCs w:val="24"/>
        </w:rPr>
        <w:t>argets commercial operations by June 2026. Upstream support projects include the Ubeta gas development and local-operator reinvestment by Renaissance and Seplat. The AKK pipeline remains strategically important for domestic gas transmission but still has t</w:t>
      </w:r>
      <w:r w:rsidRPr="0018651F">
        <w:rPr>
          <w:rFonts w:ascii="Times New Roman" w:hAnsi="Times New Roman" w:cs="Times New Roman"/>
          <w:sz w:val="24"/>
          <w:szCs w:val="24"/>
        </w:rPr>
        <w:t>imetable uncertainty. Longer-dated optionality comes from the Nigeria–Morocco gas pipeline, a $25 billion regional project now past FEED and awaiting its intergovernmental phase.</w:t>
      </w:r>
    </w:p>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Power and renewables. Two themes dominate: grid strengthening and distributed</w:t>
      </w:r>
      <w:r w:rsidRPr="0018651F">
        <w:rPr>
          <w:rFonts w:ascii="Times New Roman" w:hAnsi="Times New Roman" w:cs="Times New Roman"/>
          <w:sz w:val="24"/>
          <w:szCs w:val="24"/>
        </w:rPr>
        <w:t xml:space="preserve"> energy. The Siemens-backed Presidential Power Initiative is advancing substations and transmission equipment, while the $750 million DARES programme extends the earlier Nigeria Electrification Project model and aims to mobilise over $1 billion in private </w:t>
      </w:r>
      <w:r w:rsidRPr="0018651F">
        <w:rPr>
          <w:rFonts w:ascii="Times New Roman" w:hAnsi="Times New Roman" w:cs="Times New Roman"/>
          <w:sz w:val="24"/>
          <w:szCs w:val="24"/>
        </w:rPr>
        <w:t>capital for mini-grids and solar systems. In practical terms, Nigeria’s power pipeline is becoming more dual-track: central grid reinforcement plus off-grid scale-up.</w:t>
      </w:r>
    </w:p>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Infrastructure. Transport remains road-heavy but is broadening into ports and regional co</w:t>
      </w:r>
      <w:r w:rsidRPr="0018651F">
        <w:rPr>
          <w:rFonts w:ascii="Times New Roman" w:hAnsi="Times New Roman" w:cs="Times New Roman"/>
          <w:sz w:val="24"/>
          <w:szCs w:val="24"/>
        </w:rPr>
        <w:t xml:space="preserve">rridors. The Lagos-Calabar Coastal Highway now has a landmark $747 million syndicated facility for an initial phase, against an estimated total cost of about $11 billion. Ondo Deep Sea Port illustrates the renewed use of concession structures and external </w:t>
      </w:r>
      <w:r w:rsidRPr="0018651F">
        <w:rPr>
          <w:rFonts w:ascii="Times New Roman" w:hAnsi="Times New Roman" w:cs="Times New Roman"/>
          <w:sz w:val="24"/>
          <w:szCs w:val="24"/>
        </w:rPr>
        <w:t xml:space="preserve">lenders, while the Abidjan-Lagos Corridor </w:t>
      </w:r>
      <w:r w:rsidRPr="0018651F">
        <w:rPr>
          <w:rFonts w:ascii="Times New Roman" w:hAnsi="Times New Roman" w:cs="Times New Roman"/>
          <w:sz w:val="24"/>
          <w:szCs w:val="24"/>
        </w:rPr>
        <w:lastRenderedPageBreak/>
        <w:t>is progressing institutionally through its corridor authority and could become a major regional trade asset if financing closes.</w:t>
      </w:r>
    </w:p>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Manufacturing and industry. Nigeria’s industrial pipeline is still narrower than ener</w:t>
      </w:r>
      <w:r w:rsidRPr="0018651F">
        <w:rPr>
          <w:rFonts w:ascii="Times New Roman" w:hAnsi="Times New Roman" w:cs="Times New Roman"/>
          <w:sz w:val="24"/>
          <w:szCs w:val="24"/>
        </w:rPr>
        <w:t>gy and infrastructure, but it is shifting toward domestic value addition. Two Chinese-backed lithium processing plants worth a combined $800 million are near commissioning, showing a move away from raw mineral exports. Ondo State’s proposed $4 billion fert</w:t>
      </w:r>
      <w:r w:rsidRPr="0018651F">
        <w:rPr>
          <w:rFonts w:ascii="Times New Roman" w:hAnsi="Times New Roman" w:cs="Times New Roman"/>
          <w:sz w:val="24"/>
          <w:szCs w:val="24"/>
        </w:rPr>
        <w:t xml:space="preserve">ilizer project would deepen gas-based manufacturing if it reaches financial close. The recently launched Nigeria Industrial Policy 2025 provides the policy frame for this pivot, emphasising value chains, industrial competitiveness, and alignment of energy </w:t>
      </w:r>
      <w:r w:rsidRPr="0018651F">
        <w:rPr>
          <w:rFonts w:ascii="Times New Roman" w:hAnsi="Times New Roman" w:cs="Times New Roman"/>
          <w:sz w:val="24"/>
          <w:szCs w:val="24"/>
        </w:rPr>
        <w:t>and logistics with production.</w:t>
      </w:r>
    </w:p>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Agro-industry and digital. The $538 million SAPZ Phase I programme is one of the most bankable diversification platforms in the pipeline because it combines state-level location logic, multilateral backing, and private-sector</w:t>
      </w:r>
      <w:r w:rsidRPr="0018651F">
        <w:rPr>
          <w:rFonts w:ascii="Times New Roman" w:hAnsi="Times New Roman" w:cs="Times New Roman"/>
          <w:sz w:val="24"/>
          <w:szCs w:val="24"/>
        </w:rPr>
        <w:t xml:space="preserve"> mobilisation. In parallel, Project BRIDGE / D-VIBE is moving digital infrastructure from policy aspiration to structured project finance, with a $2 billion financing architecture designed around a PPP SPV and nationwide open-access fibre rollout.</w:t>
      </w:r>
    </w:p>
    <w:p w:rsidR="0022644A" w:rsidRPr="0018651F" w:rsidRDefault="004E009A" w:rsidP="0018651F">
      <w:pPr>
        <w:pStyle w:val="Heading2"/>
        <w:jc w:val="both"/>
        <w:rPr>
          <w:rFonts w:ascii="Times New Roman" w:hAnsi="Times New Roman" w:cs="Times New Roman"/>
          <w:color w:val="auto"/>
          <w:sz w:val="24"/>
          <w:szCs w:val="24"/>
        </w:rPr>
      </w:pPr>
      <w:r w:rsidRPr="0018651F">
        <w:rPr>
          <w:rFonts w:ascii="Times New Roman" w:hAnsi="Times New Roman" w:cs="Times New Roman"/>
          <w:b w:val="0"/>
          <w:color w:val="auto"/>
          <w:sz w:val="24"/>
          <w:szCs w:val="24"/>
        </w:rPr>
        <w:t>Figure 2</w:t>
      </w:r>
      <w:r w:rsidRPr="0018651F">
        <w:rPr>
          <w:rFonts w:ascii="Times New Roman" w:hAnsi="Times New Roman" w:cs="Times New Roman"/>
          <w:b w:val="0"/>
          <w:color w:val="auto"/>
          <w:sz w:val="24"/>
          <w:szCs w:val="24"/>
        </w:rPr>
        <w:t>. Distribution of selected projects by stage</w:t>
      </w:r>
    </w:p>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noProof/>
          <w:sz w:val="24"/>
          <w:szCs w:val="24"/>
        </w:rPr>
        <w:drawing>
          <wp:inline distT="0" distB="0" distL="0" distR="0" wp14:anchorId="1128C631" wp14:editId="6447FF0B">
            <wp:extent cx="6035040" cy="33478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_stage_distribution.png"/>
                    <pic:cNvPicPr/>
                  </pic:nvPicPr>
                  <pic:blipFill>
                    <a:blip r:embed="rId9"/>
                    <a:stretch>
                      <a:fillRect/>
                    </a:stretch>
                  </pic:blipFill>
                  <pic:spPr>
                    <a:xfrm>
                      <a:off x="0" y="0"/>
                      <a:ext cx="6035040" cy="3347824"/>
                    </a:xfrm>
                    <a:prstGeom prst="rect">
                      <a:avLst/>
                    </a:prstGeom>
                  </pic:spPr>
                </pic:pic>
              </a:graphicData>
            </a:graphic>
          </wp:inline>
        </w:drawing>
      </w:r>
    </w:p>
    <w:p w:rsidR="0022644A" w:rsidRPr="0018651F" w:rsidRDefault="004E009A" w:rsidP="0018651F">
      <w:pPr>
        <w:pStyle w:val="Heading1"/>
        <w:jc w:val="both"/>
        <w:rPr>
          <w:rFonts w:ascii="Times New Roman" w:hAnsi="Times New Roman" w:cs="Times New Roman"/>
          <w:color w:val="auto"/>
          <w:sz w:val="24"/>
          <w:szCs w:val="24"/>
        </w:rPr>
      </w:pPr>
      <w:r w:rsidRPr="0018651F">
        <w:rPr>
          <w:rFonts w:ascii="Times New Roman" w:hAnsi="Times New Roman" w:cs="Times New Roman"/>
          <w:color w:val="auto"/>
          <w:sz w:val="24"/>
          <w:szCs w:val="24"/>
        </w:rPr>
        <w:t>4. Project Status Classification</w:t>
      </w:r>
    </w:p>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The current pipeline is best describe</w:t>
      </w:r>
      <w:r w:rsidRPr="0018651F">
        <w:rPr>
          <w:rFonts w:ascii="Times New Roman" w:hAnsi="Times New Roman" w:cs="Times New Roman"/>
          <w:sz w:val="24"/>
          <w:szCs w:val="24"/>
        </w:rPr>
        <w:t xml:space="preserve">d as “front-loaded in execution, back-loaded in value.” A relatively high number of projects are already under execution—especially energy expansions, road works, SAPZ launch sites and corporate capex programmes. Yet some of the largest </w:t>
      </w:r>
      <w:r w:rsidRPr="0018651F">
        <w:rPr>
          <w:rFonts w:ascii="Times New Roman" w:hAnsi="Times New Roman" w:cs="Times New Roman"/>
          <w:sz w:val="24"/>
          <w:szCs w:val="24"/>
        </w:rPr>
        <w:lastRenderedPageBreak/>
        <w:t>headline values, no</w:t>
      </w:r>
      <w:r w:rsidRPr="0018651F">
        <w:rPr>
          <w:rFonts w:ascii="Times New Roman" w:hAnsi="Times New Roman" w:cs="Times New Roman"/>
          <w:sz w:val="24"/>
          <w:szCs w:val="24"/>
        </w:rPr>
        <w:t>tably the Nigeria–Morocco pipeline and the Ondo fertilizer proposal, are still at concept or structuring stage. This means the visible pipeline is larger than the near-term delivered pipeline.</w:t>
      </w:r>
    </w:p>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Near-completion assets are concentrated in LNG and mineral proc</w:t>
      </w:r>
      <w:r w:rsidRPr="0018651F">
        <w:rPr>
          <w:rFonts w:ascii="Times New Roman" w:hAnsi="Times New Roman" w:cs="Times New Roman"/>
          <w:sz w:val="24"/>
          <w:szCs w:val="24"/>
        </w:rPr>
        <w:t>essing, where counterparties, offtake logic and export channels are clearer. By contrast, regional infrastructure and complex PPPs remain more dependent on governance milestones, regulatory coordination and multi-source financing closure.</w:t>
      </w:r>
    </w:p>
    <w:p w:rsidR="0022644A" w:rsidRPr="0018651F" w:rsidRDefault="004E009A" w:rsidP="0018651F">
      <w:pPr>
        <w:pStyle w:val="Heading2"/>
        <w:jc w:val="both"/>
        <w:rPr>
          <w:rFonts w:ascii="Times New Roman" w:hAnsi="Times New Roman" w:cs="Times New Roman"/>
          <w:color w:val="auto"/>
          <w:sz w:val="24"/>
          <w:szCs w:val="24"/>
        </w:rPr>
      </w:pPr>
      <w:r w:rsidRPr="0018651F">
        <w:rPr>
          <w:rFonts w:ascii="Times New Roman" w:hAnsi="Times New Roman" w:cs="Times New Roman"/>
          <w:b w:val="0"/>
          <w:color w:val="auto"/>
          <w:sz w:val="24"/>
          <w:szCs w:val="24"/>
        </w:rPr>
        <w:t>Figure 3. Funding</w:t>
      </w:r>
      <w:r w:rsidRPr="0018651F">
        <w:rPr>
          <w:rFonts w:ascii="Times New Roman" w:hAnsi="Times New Roman" w:cs="Times New Roman"/>
          <w:b w:val="0"/>
          <w:color w:val="auto"/>
          <w:sz w:val="24"/>
          <w:szCs w:val="24"/>
        </w:rPr>
        <w:t xml:space="preserve"> structure of selected projects</w:t>
      </w:r>
    </w:p>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noProof/>
          <w:sz w:val="24"/>
          <w:szCs w:val="24"/>
        </w:rPr>
        <w:drawing>
          <wp:inline distT="0" distB="0" distL="0" distR="0" wp14:anchorId="39104082" wp14:editId="3F878A34">
            <wp:extent cx="5303520" cy="437594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_funding_breakdown.png"/>
                    <pic:cNvPicPr/>
                  </pic:nvPicPr>
                  <pic:blipFill>
                    <a:blip r:embed="rId10"/>
                    <a:stretch>
                      <a:fillRect/>
                    </a:stretch>
                  </pic:blipFill>
                  <pic:spPr>
                    <a:xfrm>
                      <a:off x="0" y="0"/>
                      <a:ext cx="5303520" cy="4375941"/>
                    </a:xfrm>
                    <a:prstGeom prst="rect">
                      <a:avLst/>
                    </a:prstGeom>
                  </pic:spPr>
                </pic:pic>
              </a:graphicData>
            </a:graphic>
          </wp:inline>
        </w:drawing>
      </w:r>
    </w:p>
    <w:p w:rsidR="0022644A" w:rsidRPr="00843605" w:rsidRDefault="004E009A" w:rsidP="0018651F">
      <w:pPr>
        <w:pStyle w:val="Heading1"/>
        <w:jc w:val="both"/>
        <w:rPr>
          <w:rFonts w:ascii="Times New Roman" w:hAnsi="Times New Roman" w:cs="Times New Roman"/>
          <w:color w:val="auto"/>
          <w:sz w:val="24"/>
          <w:szCs w:val="24"/>
        </w:rPr>
      </w:pPr>
      <w:r w:rsidRPr="00843605">
        <w:rPr>
          <w:rFonts w:ascii="Times New Roman" w:hAnsi="Times New Roman" w:cs="Times New Roman"/>
          <w:color w:val="auto"/>
          <w:sz w:val="24"/>
          <w:szCs w:val="24"/>
        </w:rPr>
        <w:t>5. Funding Sources and Structures</w:t>
      </w:r>
    </w:p>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 xml:space="preserve">Funding structures are increasingly diversified. Corporate and JV finance still dominates upstream energy and </w:t>
      </w:r>
      <w:r w:rsidRPr="0018651F">
        <w:rPr>
          <w:rFonts w:ascii="Times New Roman" w:hAnsi="Times New Roman" w:cs="Times New Roman"/>
          <w:sz w:val="24"/>
          <w:szCs w:val="24"/>
        </w:rPr>
        <w:t>export-oriented processing. Public and sovereign-backed structures remain central for strategic roads, transmission upgrades and certain gas backbones. PPPs are re-emerging in ports and digital infrastructure, where a concession or SPV model can allocate c</w:t>
      </w:r>
      <w:r w:rsidRPr="0018651F">
        <w:rPr>
          <w:rFonts w:ascii="Times New Roman" w:hAnsi="Times New Roman" w:cs="Times New Roman"/>
          <w:sz w:val="24"/>
          <w:szCs w:val="24"/>
        </w:rPr>
        <w:t>onstruction and operating risks more clearly. Multilateral-backed blended finance is especially prominent in electrification and agro-industrial platforms, where development lenders are helping create investable ecosystems rather than funding a single asse</w:t>
      </w:r>
      <w:r w:rsidRPr="0018651F">
        <w:rPr>
          <w:rFonts w:ascii="Times New Roman" w:hAnsi="Times New Roman" w:cs="Times New Roman"/>
          <w:sz w:val="24"/>
          <w:szCs w:val="24"/>
        </w:rPr>
        <w:t>t in isolation.</w:t>
      </w:r>
    </w:p>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lastRenderedPageBreak/>
        <w:t>A financing bottleneck nevertheless remains. Nigeria’s domestic capital market is deeper than before, but long-duration naira funding is still limited for very large infrastructure. The CBN-directed recapitalisation of commercial banks shou</w:t>
      </w:r>
      <w:r w:rsidRPr="0018651F">
        <w:rPr>
          <w:rFonts w:ascii="Times New Roman" w:hAnsi="Times New Roman" w:cs="Times New Roman"/>
          <w:sz w:val="24"/>
          <w:szCs w:val="24"/>
        </w:rPr>
        <w:t>ld strengthen underwriting capacity over time, yet foreign-currency liquidity, hedging cost and tariff bankability continue to constrain project closure.</w:t>
      </w:r>
    </w:p>
    <w:p w:rsidR="0022644A" w:rsidRPr="005C33C6" w:rsidRDefault="004E009A" w:rsidP="0018651F">
      <w:pPr>
        <w:pStyle w:val="Heading1"/>
        <w:jc w:val="both"/>
        <w:rPr>
          <w:rFonts w:ascii="Times New Roman" w:hAnsi="Times New Roman" w:cs="Times New Roman"/>
          <w:color w:val="auto"/>
          <w:sz w:val="24"/>
          <w:szCs w:val="24"/>
        </w:rPr>
      </w:pPr>
      <w:r w:rsidRPr="005C33C6">
        <w:rPr>
          <w:rFonts w:ascii="Times New Roman" w:hAnsi="Times New Roman" w:cs="Times New Roman"/>
          <w:color w:val="auto"/>
          <w:sz w:val="24"/>
          <w:szCs w:val="24"/>
        </w:rPr>
        <w:t>6. Key Stakeholders</w:t>
      </w:r>
    </w:p>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 xml:space="preserve">The stakeholder map is highly layered. Federal actors include NNPC Ltd, FGN Power </w:t>
      </w:r>
      <w:r w:rsidRPr="0018651F">
        <w:rPr>
          <w:rFonts w:ascii="Times New Roman" w:hAnsi="Times New Roman" w:cs="Times New Roman"/>
          <w:sz w:val="24"/>
          <w:szCs w:val="24"/>
        </w:rPr>
        <w:t>Company, the ICRC, line ministries, and the Ministry of Finance. State governments are increasingly important in ports, industrial zones and S</w:t>
      </w:r>
      <w:r w:rsidR="005C33C6">
        <w:rPr>
          <w:rFonts w:ascii="Times New Roman" w:hAnsi="Times New Roman" w:cs="Times New Roman"/>
          <w:sz w:val="24"/>
          <w:szCs w:val="24"/>
        </w:rPr>
        <w:t xml:space="preserve">APZ sites. Development partners </w:t>
      </w:r>
      <w:r w:rsidRPr="0018651F">
        <w:rPr>
          <w:rFonts w:ascii="Times New Roman" w:hAnsi="Times New Roman" w:cs="Times New Roman"/>
          <w:sz w:val="24"/>
          <w:szCs w:val="24"/>
        </w:rPr>
        <w:t>especially the World Bank, African Develo</w:t>
      </w:r>
      <w:r w:rsidR="005C33C6">
        <w:rPr>
          <w:rFonts w:ascii="Times New Roman" w:hAnsi="Times New Roman" w:cs="Times New Roman"/>
          <w:sz w:val="24"/>
          <w:szCs w:val="24"/>
        </w:rPr>
        <w:t xml:space="preserve">pment Bank, </w:t>
      </w:r>
      <w:proofErr w:type="spellStart"/>
      <w:r w:rsidR="005C33C6">
        <w:rPr>
          <w:rFonts w:ascii="Times New Roman" w:hAnsi="Times New Roman" w:cs="Times New Roman"/>
          <w:sz w:val="24"/>
          <w:szCs w:val="24"/>
        </w:rPr>
        <w:t>IsDB</w:t>
      </w:r>
      <w:proofErr w:type="spellEnd"/>
      <w:r w:rsidR="005C33C6">
        <w:rPr>
          <w:rFonts w:ascii="Times New Roman" w:hAnsi="Times New Roman" w:cs="Times New Roman"/>
          <w:sz w:val="24"/>
          <w:szCs w:val="24"/>
        </w:rPr>
        <w:t xml:space="preserve">, IFAD and JICA </w:t>
      </w:r>
      <w:r w:rsidRPr="0018651F">
        <w:rPr>
          <w:rFonts w:ascii="Times New Roman" w:hAnsi="Times New Roman" w:cs="Times New Roman"/>
          <w:sz w:val="24"/>
          <w:szCs w:val="24"/>
        </w:rPr>
        <w:t>play a ca</w:t>
      </w:r>
      <w:r w:rsidRPr="0018651F">
        <w:rPr>
          <w:rFonts w:ascii="Times New Roman" w:hAnsi="Times New Roman" w:cs="Times New Roman"/>
          <w:sz w:val="24"/>
          <w:szCs w:val="24"/>
        </w:rPr>
        <w:t xml:space="preserve">talytic role in early-stage structuring and de-risking. International corporates such as Siemens Energy, TotalEnergies, Shell and Chinese processing investors remain central in sectors where technical complexity or export channels matter. Domestic private </w:t>
      </w:r>
      <w:r w:rsidRPr="0018651F">
        <w:rPr>
          <w:rFonts w:ascii="Times New Roman" w:hAnsi="Times New Roman" w:cs="Times New Roman"/>
          <w:sz w:val="24"/>
          <w:szCs w:val="24"/>
        </w:rPr>
        <w:t>firms are becoming more prominent, particularly in onshore oil and gas redevelopment and local industrial partnerships.</w:t>
      </w:r>
    </w:p>
    <w:p w:rsidR="0022644A" w:rsidRPr="005C33C6" w:rsidRDefault="004E009A" w:rsidP="0018651F">
      <w:pPr>
        <w:pStyle w:val="Heading1"/>
        <w:jc w:val="both"/>
        <w:rPr>
          <w:rFonts w:ascii="Times New Roman" w:hAnsi="Times New Roman" w:cs="Times New Roman"/>
          <w:color w:val="auto"/>
          <w:sz w:val="24"/>
          <w:szCs w:val="24"/>
        </w:rPr>
      </w:pPr>
      <w:r w:rsidRPr="005C33C6">
        <w:rPr>
          <w:rFonts w:ascii="Times New Roman" w:hAnsi="Times New Roman" w:cs="Times New Roman"/>
          <w:color w:val="auto"/>
          <w:sz w:val="24"/>
          <w:szCs w:val="24"/>
        </w:rPr>
        <w:t>7. Key Challenges and Risks</w:t>
      </w:r>
    </w:p>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 xml:space="preserve">Five recurring risks cut across the pipeline. First, financing risk: several projects have announced values </w:t>
      </w:r>
      <w:r w:rsidRPr="0018651F">
        <w:rPr>
          <w:rFonts w:ascii="Times New Roman" w:hAnsi="Times New Roman" w:cs="Times New Roman"/>
          <w:sz w:val="24"/>
          <w:szCs w:val="24"/>
        </w:rPr>
        <w:t>but incomplete debt or equity closure. Second, macro risk: inflation, exchange-rate volatility and high local interest rates can undermine project economics. Third, execution risk: right-of-way, land acquisition, procurement discipline, and contractor perf</w:t>
      </w:r>
      <w:r w:rsidRPr="0018651F">
        <w:rPr>
          <w:rFonts w:ascii="Times New Roman" w:hAnsi="Times New Roman" w:cs="Times New Roman"/>
          <w:sz w:val="24"/>
          <w:szCs w:val="24"/>
        </w:rPr>
        <w:t xml:space="preserve">ormance remain variable. Fourth, operating risk: power shortages, oil theft, vandalism and broader security threats raise lifecycle cost. Fifth, regulatory risk: investors still cite policy inconsistency, customs inefficiency and cumbersome administrative </w:t>
      </w:r>
      <w:r w:rsidRPr="0018651F">
        <w:rPr>
          <w:rFonts w:ascii="Times New Roman" w:hAnsi="Times New Roman" w:cs="Times New Roman"/>
          <w:sz w:val="24"/>
          <w:szCs w:val="24"/>
        </w:rPr>
        <w:t>processes as constraints to long-term commitments.</w:t>
      </w:r>
    </w:p>
    <w:p w:rsidR="0022644A" w:rsidRPr="005C33C6" w:rsidRDefault="004E009A" w:rsidP="0018651F">
      <w:pPr>
        <w:pStyle w:val="Heading1"/>
        <w:jc w:val="both"/>
        <w:rPr>
          <w:rFonts w:ascii="Times New Roman" w:hAnsi="Times New Roman" w:cs="Times New Roman"/>
          <w:color w:val="auto"/>
          <w:sz w:val="24"/>
          <w:szCs w:val="24"/>
        </w:rPr>
      </w:pPr>
      <w:r w:rsidRPr="005C33C6">
        <w:rPr>
          <w:rFonts w:ascii="Times New Roman" w:hAnsi="Times New Roman" w:cs="Times New Roman"/>
          <w:color w:val="auto"/>
          <w:sz w:val="24"/>
          <w:szCs w:val="24"/>
        </w:rPr>
        <w:t>8. Recent Developments</w:t>
      </w:r>
    </w:p>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Recent developments are broadly supportive. The first phase of the National Single Window went live in March 2026, improving trade facilitation and port efficiency. Nigeria Industria</w:t>
      </w:r>
      <w:r w:rsidRPr="0018651F">
        <w:rPr>
          <w:rFonts w:ascii="Times New Roman" w:hAnsi="Times New Roman" w:cs="Times New Roman"/>
          <w:sz w:val="24"/>
          <w:szCs w:val="24"/>
        </w:rPr>
        <w:t>l Policy 2025 was formally launched in February 2026, providing a stronger framework for value-add manufacturing and coordinated industrial execution. The Nigeria–Morocco gas pipeline moved into an intergovernmental agreement phase, while Ondo Deep Sea Por</w:t>
      </w:r>
      <w:r w:rsidRPr="0018651F">
        <w:rPr>
          <w:rFonts w:ascii="Times New Roman" w:hAnsi="Times New Roman" w:cs="Times New Roman"/>
          <w:sz w:val="24"/>
          <w:szCs w:val="24"/>
        </w:rPr>
        <w:t>t reported FEC revalidation and Afreximbank-backed financing commitments. In programme finance, AfDB approved a further $200 million first tranche for SAPZ Phase II, indicating scale-up momentum beyond the pioneering states.</w:t>
      </w:r>
    </w:p>
    <w:p w:rsidR="0022644A" w:rsidRPr="005C33C6" w:rsidRDefault="004E009A" w:rsidP="0018651F">
      <w:pPr>
        <w:pStyle w:val="Heading1"/>
        <w:jc w:val="both"/>
        <w:rPr>
          <w:rFonts w:ascii="Times New Roman" w:hAnsi="Times New Roman" w:cs="Times New Roman"/>
          <w:color w:val="auto"/>
          <w:sz w:val="24"/>
          <w:szCs w:val="24"/>
        </w:rPr>
      </w:pPr>
      <w:r w:rsidRPr="005C33C6">
        <w:rPr>
          <w:rFonts w:ascii="Times New Roman" w:hAnsi="Times New Roman" w:cs="Times New Roman"/>
          <w:color w:val="auto"/>
          <w:sz w:val="24"/>
          <w:szCs w:val="24"/>
        </w:rPr>
        <w:t>9. Conclusion</w:t>
      </w:r>
    </w:p>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Nigeria’s investm</w:t>
      </w:r>
      <w:r w:rsidRPr="0018651F">
        <w:rPr>
          <w:rFonts w:ascii="Times New Roman" w:hAnsi="Times New Roman" w:cs="Times New Roman"/>
          <w:sz w:val="24"/>
          <w:szCs w:val="24"/>
        </w:rPr>
        <w:t xml:space="preserve">ent pipeline is real, diverse and expanding, but it is not uniform in quality. Energy still anchors the value pool; transport and logistics dominate strategic public works; and </w:t>
      </w:r>
      <w:r w:rsidRPr="0018651F">
        <w:rPr>
          <w:rFonts w:ascii="Times New Roman" w:hAnsi="Times New Roman" w:cs="Times New Roman"/>
          <w:sz w:val="24"/>
          <w:szCs w:val="24"/>
        </w:rPr>
        <w:lastRenderedPageBreak/>
        <w:t>the strongest diversification stories now sit in agro-industry, distributed ren</w:t>
      </w:r>
      <w:r w:rsidRPr="0018651F">
        <w:rPr>
          <w:rFonts w:ascii="Times New Roman" w:hAnsi="Times New Roman" w:cs="Times New Roman"/>
          <w:sz w:val="24"/>
          <w:szCs w:val="24"/>
        </w:rPr>
        <w:t>ewables, broadband and minerals processing. The critical distinction is not between “announced” and “not announced” projects, but between projects that are financed, governed and execution-ready, and those that remain politically important but commercially</w:t>
      </w:r>
      <w:r w:rsidRPr="0018651F">
        <w:rPr>
          <w:rFonts w:ascii="Times New Roman" w:hAnsi="Times New Roman" w:cs="Times New Roman"/>
          <w:sz w:val="24"/>
          <w:szCs w:val="24"/>
        </w:rPr>
        <w:t xml:space="preserve"> immature.</w:t>
      </w:r>
    </w:p>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Overall, the outlook is constructive. The pipeline is becoming more structured, more blended in its financing, and more focused on domestic value addition. If Nigeria can sustain reform credibility, improve execution discipline, and convert more</w:t>
      </w:r>
      <w:r w:rsidRPr="0018651F">
        <w:rPr>
          <w:rFonts w:ascii="Times New Roman" w:hAnsi="Times New Roman" w:cs="Times New Roman"/>
          <w:sz w:val="24"/>
          <w:szCs w:val="24"/>
        </w:rPr>
        <w:t xml:space="preserve"> portfolio confidence into long-horizon project capital, the current pipeline could translate into a stronger multi-sector investment cycle over the next three to five years.</w:t>
      </w:r>
    </w:p>
    <w:p w:rsidR="0022644A" w:rsidRPr="0018651F" w:rsidRDefault="0022644A" w:rsidP="0018651F">
      <w:pPr>
        <w:jc w:val="both"/>
        <w:rPr>
          <w:rFonts w:ascii="Times New Roman" w:hAnsi="Times New Roman" w:cs="Times New Roman"/>
          <w:sz w:val="24"/>
          <w:szCs w:val="24"/>
        </w:rPr>
        <w:sectPr w:rsidR="0022644A" w:rsidRPr="0018651F" w:rsidSect="0018651F">
          <w:headerReference w:type="default" r:id="rId11"/>
          <w:footerReference w:type="default" r:id="rId12"/>
          <w:type w:val="continuous"/>
          <w:pgSz w:w="12240" w:h="15840"/>
          <w:pgMar w:top="1440" w:right="1440" w:bottom="1440" w:left="1440" w:header="720" w:footer="720" w:gutter="0"/>
          <w:cols w:space="720"/>
          <w:docGrid w:linePitch="360"/>
        </w:sectPr>
      </w:pPr>
    </w:p>
    <w:p w:rsidR="0022644A" w:rsidRPr="005C33C6" w:rsidRDefault="004E009A" w:rsidP="0018651F">
      <w:pPr>
        <w:pStyle w:val="Heading1"/>
        <w:jc w:val="both"/>
        <w:rPr>
          <w:rFonts w:ascii="Times New Roman" w:hAnsi="Times New Roman" w:cs="Times New Roman"/>
          <w:color w:val="auto"/>
          <w:sz w:val="24"/>
          <w:szCs w:val="24"/>
        </w:rPr>
      </w:pPr>
      <w:r w:rsidRPr="005C33C6">
        <w:rPr>
          <w:rFonts w:ascii="Times New Roman" w:hAnsi="Times New Roman" w:cs="Times New Roman"/>
          <w:color w:val="auto"/>
          <w:sz w:val="24"/>
          <w:szCs w:val="24"/>
        </w:rPr>
        <w:lastRenderedPageBreak/>
        <w:t>Appendix A. Selected project pipeline tracker</w:t>
      </w:r>
    </w:p>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All values in USD billions where publicly disclosed. “n/d” = no public value identified in reviewed sources.</w:t>
      </w:r>
    </w:p>
    <w:tbl>
      <w:tblPr>
        <w:tblStyle w:val="TableGrid"/>
        <w:tblW w:w="0" w:type="auto"/>
        <w:jc w:val="center"/>
        <w:tblLook w:val="04A0" w:firstRow="1" w:lastRow="0" w:firstColumn="1" w:lastColumn="0" w:noHBand="0" w:noVBand="1"/>
      </w:tblPr>
      <w:tblGrid>
        <w:gridCol w:w="1643"/>
        <w:gridCol w:w="2124"/>
        <w:gridCol w:w="1936"/>
        <w:gridCol w:w="1131"/>
        <w:gridCol w:w="2066"/>
        <w:gridCol w:w="4276"/>
      </w:tblGrid>
      <w:tr w:rsidR="0018651F" w:rsidRPr="0018651F">
        <w:trPr>
          <w:jc w:val="center"/>
        </w:trPr>
        <w:tc>
          <w:tcPr>
            <w:tcW w:w="1440"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b/>
                <w:sz w:val="24"/>
                <w:szCs w:val="24"/>
              </w:rPr>
              <w:t>Sector</w:t>
            </w:r>
          </w:p>
        </w:tc>
        <w:tc>
          <w:tcPr>
            <w:tcW w:w="3024"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b/>
                <w:sz w:val="24"/>
                <w:szCs w:val="24"/>
              </w:rPr>
              <w:t>Project</w:t>
            </w:r>
          </w:p>
        </w:tc>
        <w:tc>
          <w:tcPr>
            <w:tcW w:w="1584"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b/>
                <w:sz w:val="24"/>
                <w:szCs w:val="24"/>
              </w:rPr>
              <w:t>Stage</w:t>
            </w:r>
          </w:p>
        </w:tc>
        <w:tc>
          <w:tcPr>
            <w:tcW w:w="1152"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b/>
                <w:sz w:val="24"/>
                <w:szCs w:val="24"/>
              </w:rPr>
              <w:t>Value</w:t>
            </w:r>
          </w:p>
        </w:tc>
        <w:tc>
          <w:tcPr>
            <w:tcW w:w="2880"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b/>
                <w:sz w:val="24"/>
                <w:szCs w:val="24"/>
              </w:rPr>
              <w:t>Funding model</w:t>
            </w:r>
          </w:p>
        </w:tc>
        <w:tc>
          <w:tcPr>
            <w:tcW w:w="7776"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b/>
                <w:sz w:val="24"/>
                <w:szCs w:val="24"/>
              </w:rPr>
              <w:t>Lead stakeholders / latest update</w:t>
            </w:r>
          </w:p>
        </w:tc>
      </w:tr>
      <w:tr w:rsidR="0018651F" w:rsidRPr="0018651F">
        <w:trPr>
          <w:jc w:val="center"/>
        </w:trPr>
        <w:tc>
          <w:tcPr>
            <w:tcW w:w="1440"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Energy</w:t>
            </w:r>
          </w:p>
        </w:tc>
        <w:tc>
          <w:tcPr>
            <w:tcW w:w="3024"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AKK Gas Pipeline</w:t>
            </w:r>
          </w:p>
        </w:tc>
        <w:tc>
          <w:tcPr>
            <w:tcW w:w="1584"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Execution</w:t>
            </w:r>
          </w:p>
        </w:tc>
        <w:tc>
          <w:tcPr>
            <w:tcW w:w="1152"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n/d</w:t>
            </w:r>
          </w:p>
        </w:tc>
        <w:tc>
          <w:tcPr>
            <w:tcW w:w="2880"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Public / state-led energy infrastructure</w:t>
            </w:r>
          </w:p>
        </w:tc>
        <w:tc>
          <w:tcPr>
            <w:tcW w:w="7776"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NNPC Ltd; ICRC; federal authorities. Under construction; EIA says completion date remains unclear.</w:t>
            </w:r>
          </w:p>
        </w:tc>
      </w:tr>
      <w:tr w:rsidR="0018651F" w:rsidRPr="0018651F">
        <w:trPr>
          <w:jc w:val="center"/>
        </w:trPr>
        <w:tc>
          <w:tcPr>
            <w:tcW w:w="1440"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Energy</w:t>
            </w:r>
          </w:p>
        </w:tc>
        <w:tc>
          <w:tcPr>
            <w:tcW w:w="3024"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NLNG Train 7</w:t>
            </w:r>
          </w:p>
        </w:tc>
        <w:tc>
          <w:tcPr>
            <w:tcW w:w="1584"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Near com</w:t>
            </w:r>
            <w:r w:rsidRPr="0018651F">
              <w:rPr>
                <w:rFonts w:ascii="Times New Roman" w:hAnsi="Times New Roman" w:cs="Times New Roman"/>
                <w:sz w:val="24"/>
                <w:szCs w:val="24"/>
              </w:rPr>
              <w:t>pletion</w:t>
            </w:r>
          </w:p>
        </w:tc>
        <w:tc>
          <w:tcPr>
            <w:tcW w:w="1152"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$10bn</w:t>
            </w:r>
          </w:p>
        </w:tc>
        <w:tc>
          <w:tcPr>
            <w:tcW w:w="2880"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Corporate JV / project finance</w:t>
            </w:r>
          </w:p>
        </w:tc>
        <w:tc>
          <w:tcPr>
            <w:tcW w:w="7776"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NLNG; NNPC Ltd; Shell; TotalEnergies; Eni. Reported at 80%+ complete; commercial operations targeted by June 2026.</w:t>
            </w:r>
          </w:p>
        </w:tc>
      </w:tr>
      <w:tr w:rsidR="0018651F" w:rsidRPr="0018651F">
        <w:trPr>
          <w:jc w:val="center"/>
        </w:trPr>
        <w:tc>
          <w:tcPr>
            <w:tcW w:w="1440"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Energy</w:t>
            </w:r>
          </w:p>
        </w:tc>
        <w:tc>
          <w:tcPr>
            <w:tcW w:w="3024"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Ubeta Gas Development</w:t>
            </w:r>
          </w:p>
        </w:tc>
        <w:tc>
          <w:tcPr>
            <w:tcW w:w="1584"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Execution</w:t>
            </w:r>
          </w:p>
        </w:tc>
        <w:tc>
          <w:tcPr>
            <w:tcW w:w="1152"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n/d</w:t>
            </w:r>
          </w:p>
        </w:tc>
        <w:tc>
          <w:tcPr>
            <w:tcW w:w="2880"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Corporate JV</w:t>
            </w:r>
          </w:p>
        </w:tc>
        <w:tc>
          <w:tcPr>
            <w:tcW w:w="7776"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 xml:space="preserve">TotalEnergies; NNPC Ltd. FID taken in </w:t>
            </w:r>
            <w:r w:rsidRPr="0018651F">
              <w:rPr>
                <w:rFonts w:ascii="Times New Roman" w:hAnsi="Times New Roman" w:cs="Times New Roman"/>
                <w:sz w:val="24"/>
                <w:szCs w:val="24"/>
              </w:rPr>
              <w:t>2024; 6-well cluster tied back to Obite facilities; start-up expected 2027.</w:t>
            </w:r>
          </w:p>
        </w:tc>
      </w:tr>
      <w:tr w:rsidR="0018651F" w:rsidRPr="0018651F">
        <w:trPr>
          <w:jc w:val="center"/>
        </w:trPr>
        <w:tc>
          <w:tcPr>
            <w:tcW w:w="1440"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Energy</w:t>
            </w:r>
          </w:p>
        </w:tc>
        <w:tc>
          <w:tcPr>
            <w:tcW w:w="3024"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Nigeria-Morocco Gas Pipeline</w:t>
            </w:r>
          </w:p>
        </w:tc>
        <w:tc>
          <w:tcPr>
            <w:tcW w:w="1584"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Planning/Concept</w:t>
            </w:r>
          </w:p>
        </w:tc>
        <w:tc>
          <w:tcPr>
            <w:tcW w:w="1152"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$25bn</w:t>
            </w:r>
          </w:p>
        </w:tc>
        <w:tc>
          <w:tcPr>
            <w:tcW w:w="2880"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Phased equity + debt (to be raised)</w:t>
            </w:r>
          </w:p>
        </w:tc>
        <w:tc>
          <w:tcPr>
            <w:tcW w:w="7776"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NNPC; ONHYM; ECOWAS; 13 participating countries. IGA expected in 2026; FEED complete</w:t>
            </w:r>
            <w:r w:rsidRPr="0018651F">
              <w:rPr>
                <w:rFonts w:ascii="Times New Roman" w:hAnsi="Times New Roman" w:cs="Times New Roman"/>
                <w:sz w:val="24"/>
                <w:szCs w:val="24"/>
              </w:rPr>
              <w:t>d; first gas for initial phases targeted for 2031.</w:t>
            </w:r>
          </w:p>
        </w:tc>
      </w:tr>
      <w:tr w:rsidR="0018651F" w:rsidRPr="0018651F">
        <w:trPr>
          <w:jc w:val="center"/>
        </w:trPr>
        <w:tc>
          <w:tcPr>
            <w:tcW w:w="1440"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Energy</w:t>
            </w:r>
          </w:p>
        </w:tc>
        <w:tc>
          <w:tcPr>
            <w:tcW w:w="3024"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DARES Distributed Renewable Energy Programme</w:t>
            </w:r>
          </w:p>
        </w:tc>
        <w:tc>
          <w:tcPr>
            <w:tcW w:w="1584"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Financing</w:t>
            </w:r>
          </w:p>
        </w:tc>
        <w:tc>
          <w:tcPr>
            <w:tcW w:w="1152"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$0.75bn</w:t>
            </w:r>
          </w:p>
        </w:tc>
        <w:tc>
          <w:tcPr>
            <w:tcW w:w="2880"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Multilateral + private leverage</w:t>
            </w:r>
          </w:p>
        </w:tc>
        <w:tc>
          <w:tcPr>
            <w:tcW w:w="7776"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World Bank; Federal Government; REA; private mini-grid / solar firms. $750m IDA credit approved; expec</w:t>
            </w:r>
            <w:r w:rsidRPr="0018651F">
              <w:rPr>
                <w:rFonts w:ascii="Times New Roman" w:hAnsi="Times New Roman" w:cs="Times New Roman"/>
                <w:sz w:val="24"/>
                <w:szCs w:val="24"/>
              </w:rPr>
              <w:t>ted to leverage $1bn+ private capital and parallel financing.</w:t>
            </w:r>
          </w:p>
        </w:tc>
      </w:tr>
      <w:tr w:rsidR="0018651F" w:rsidRPr="0018651F">
        <w:trPr>
          <w:jc w:val="center"/>
        </w:trPr>
        <w:tc>
          <w:tcPr>
            <w:tcW w:w="1440"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Energy</w:t>
            </w:r>
          </w:p>
        </w:tc>
        <w:tc>
          <w:tcPr>
            <w:tcW w:w="3024"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Presidential Power Initiative (Siemens)</w:t>
            </w:r>
          </w:p>
        </w:tc>
        <w:tc>
          <w:tcPr>
            <w:tcW w:w="1584"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Execution</w:t>
            </w:r>
          </w:p>
        </w:tc>
        <w:tc>
          <w:tcPr>
            <w:tcW w:w="1152"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n/d</w:t>
            </w:r>
          </w:p>
        </w:tc>
        <w:tc>
          <w:tcPr>
            <w:tcW w:w="2880"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Government-to-government / vendor-supported</w:t>
            </w:r>
          </w:p>
        </w:tc>
        <w:tc>
          <w:tcPr>
            <w:tcW w:w="7776"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FGN Power Company; Siemens Energy; TCN; Governments of Nigeria and Germany. Acceleration</w:t>
            </w:r>
            <w:r w:rsidRPr="0018651F">
              <w:rPr>
                <w:rFonts w:ascii="Times New Roman" w:hAnsi="Times New Roman" w:cs="Times New Roman"/>
                <w:sz w:val="24"/>
                <w:szCs w:val="24"/>
              </w:rPr>
              <w:t xml:space="preserve"> agreement targets grid modernization and expansion over 18–24 months.</w:t>
            </w:r>
          </w:p>
        </w:tc>
      </w:tr>
      <w:tr w:rsidR="0018651F" w:rsidRPr="0018651F">
        <w:trPr>
          <w:jc w:val="center"/>
        </w:trPr>
        <w:tc>
          <w:tcPr>
            <w:tcW w:w="1440"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Infrastructure</w:t>
            </w:r>
          </w:p>
        </w:tc>
        <w:tc>
          <w:tcPr>
            <w:tcW w:w="3024"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Lagos-Calabar Coastal Highway</w:t>
            </w:r>
          </w:p>
        </w:tc>
        <w:tc>
          <w:tcPr>
            <w:tcW w:w="1584"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Execution</w:t>
            </w:r>
          </w:p>
        </w:tc>
        <w:tc>
          <w:tcPr>
            <w:tcW w:w="1152"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$11bn</w:t>
            </w:r>
          </w:p>
        </w:tc>
        <w:tc>
          <w:tcPr>
            <w:tcW w:w="2880"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Sovereign-backed syndicated debt + public works budget</w:t>
            </w:r>
          </w:p>
        </w:tc>
        <w:tc>
          <w:tcPr>
            <w:tcW w:w="7776"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Federal Government; Deutsche Bank-led syndicate; Afreximbank; FAB; E</w:t>
            </w:r>
            <w:r w:rsidRPr="0018651F">
              <w:rPr>
                <w:rFonts w:ascii="Times New Roman" w:hAnsi="Times New Roman" w:cs="Times New Roman"/>
                <w:sz w:val="24"/>
                <w:szCs w:val="24"/>
              </w:rPr>
              <w:t xml:space="preserve">BID; Zenith Bank. $747m syndicated loan secured for first phase; total project cost </w:t>
            </w:r>
            <w:r w:rsidRPr="0018651F">
              <w:rPr>
                <w:rFonts w:ascii="Times New Roman" w:hAnsi="Times New Roman" w:cs="Times New Roman"/>
                <w:sz w:val="24"/>
                <w:szCs w:val="24"/>
              </w:rPr>
              <w:lastRenderedPageBreak/>
              <w:t>estimated around $11bn.</w:t>
            </w:r>
          </w:p>
        </w:tc>
      </w:tr>
      <w:tr w:rsidR="0018651F" w:rsidRPr="0018651F">
        <w:trPr>
          <w:jc w:val="center"/>
        </w:trPr>
        <w:tc>
          <w:tcPr>
            <w:tcW w:w="1440"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lastRenderedPageBreak/>
              <w:t>Infrastructure</w:t>
            </w:r>
          </w:p>
        </w:tc>
        <w:tc>
          <w:tcPr>
            <w:tcW w:w="3024"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Abidjan-Lagos Corridor Highway</w:t>
            </w:r>
          </w:p>
        </w:tc>
        <w:tc>
          <w:tcPr>
            <w:tcW w:w="1584"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Planning/Concept</w:t>
            </w:r>
          </w:p>
        </w:tc>
        <w:tc>
          <w:tcPr>
            <w:tcW w:w="1152"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n/d</w:t>
            </w:r>
          </w:p>
        </w:tc>
        <w:tc>
          <w:tcPr>
            <w:tcW w:w="2880"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Regional public + multilateral mobilization</w:t>
            </w:r>
          </w:p>
        </w:tc>
        <w:tc>
          <w:tcPr>
            <w:tcW w:w="7776"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 xml:space="preserve">ECOWAS; AfDB; ALCoMA; five corridor </w:t>
            </w:r>
            <w:r w:rsidRPr="0018651F">
              <w:rPr>
                <w:rFonts w:ascii="Times New Roman" w:hAnsi="Times New Roman" w:cs="Times New Roman"/>
                <w:sz w:val="24"/>
                <w:szCs w:val="24"/>
              </w:rPr>
              <w:t>countries incl. Nigeria. Management authority operationalized; feasibility and structuring near completion.</w:t>
            </w:r>
          </w:p>
        </w:tc>
      </w:tr>
      <w:tr w:rsidR="0018651F" w:rsidRPr="0018651F">
        <w:trPr>
          <w:jc w:val="center"/>
        </w:trPr>
        <w:tc>
          <w:tcPr>
            <w:tcW w:w="1440"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Infrastructure</w:t>
            </w:r>
          </w:p>
        </w:tc>
        <w:tc>
          <w:tcPr>
            <w:tcW w:w="3024"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Ondo Deep Sea Port</w:t>
            </w:r>
          </w:p>
        </w:tc>
        <w:tc>
          <w:tcPr>
            <w:tcW w:w="1584"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Financing</w:t>
            </w:r>
          </w:p>
        </w:tc>
        <w:tc>
          <w:tcPr>
            <w:tcW w:w="1152"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$1.4bn</w:t>
            </w:r>
          </w:p>
        </w:tc>
        <w:tc>
          <w:tcPr>
            <w:tcW w:w="2880"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PPP / private capital</w:t>
            </w:r>
          </w:p>
        </w:tc>
        <w:tc>
          <w:tcPr>
            <w:tcW w:w="7776"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 xml:space="preserve">Ondo State; ONDIPA; MITARK; NPA; Afreximbank; ICRC. Phase 1 capex of </w:t>
            </w:r>
            <w:r w:rsidRPr="0018651F">
              <w:rPr>
                <w:rFonts w:ascii="Times New Roman" w:hAnsi="Times New Roman" w:cs="Times New Roman"/>
                <w:sz w:val="24"/>
                <w:szCs w:val="24"/>
              </w:rPr>
              <w:t>$1.4bn to be fully privately financed; FEC revalidation reported for Dec. 2025.</w:t>
            </w:r>
          </w:p>
        </w:tc>
      </w:tr>
      <w:tr w:rsidR="0018651F" w:rsidRPr="0018651F">
        <w:trPr>
          <w:jc w:val="center"/>
        </w:trPr>
        <w:tc>
          <w:tcPr>
            <w:tcW w:w="1440"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Digital</w:t>
            </w:r>
          </w:p>
        </w:tc>
        <w:tc>
          <w:tcPr>
            <w:tcW w:w="3024"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Project BRIDGE / D-VIBE Fibre Backbone</w:t>
            </w:r>
          </w:p>
        </w:tc>
        <w:tc>
          <w:tcPr>
            <w:tcW w:w="1584"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Financing</w:t>
            </w:r>
          </w:p>
        </w:tc>
        <w:tc>
          <w:tcPr>
            <w:tcW w:w="1152"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$2bn</w:t>
            </w:r>
          </w:p>
        </w:tc>
        <w:tc>
          <w:tcPr>
            <w:tcW w:w="2880"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PPP + sovereign + multilaterals + private investors</w:t>
            </w:r>
          </w:p>
        </w:tc>
        <w:tc>
          <w:tcPr>
            <w:tcW w:w="7776"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Federal Government; AfDB; World Bank; EBRD; private SPV inves</w:t>
            </w:r>
            <w:r w:rsidRPr="0018651F">
              <w:rPr>
                <w:rFonts w:ascii="Times New Roman" w:hAnsi="Times New Roman" w:cs="Times New Roman"/>
                <w:sz w:val="24"/>
                <w:szCs w:val="24"/>
              </w:rPr>
              <w:t>tors. AfDB approved $200m as part of a $2bn plan to expand fibre to 120,000 km and all 774 LGAs.</w:t>
            </w:r>
          </w:p>
        </w:tc>
      </w:tr>
      <w:tr w:rsidR="0018651F" w:rsidRPr="0018651F">
        <w:trPr>
          <w:jc w:val="center"/>
        </w:trPr>
        <w:tc>
          <w:tcPr>
            <w:tcW w:w="1440"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Agro-industry</w:t>
            </w:r>
          </w:p>
        </w:tc>
        <w:tc>
          <w:tcPr>
            <w:tcW w:w="3024"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SAPZ Phase I</w:t>
            </w:r>
          </w:p>
        </w:tc>
        <w:tc>
          <w:tcPr>
            <w:tcW w:w="1584"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Execution</w:t>
            </w:r>
          </w:p>
        </w:tc>
        <w:tc>
          <w:tcPr>
            <w:tcW w:w="1152"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$0.538bn</w:t>
            </w:r>
          </w:p>
        </w:tc>
        <w:tc>
          <w:tcPr>
            <w:tcW w:w="2880"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Blended public + multilateral + private-sector-led</w:t>
            </w:r>
          </w:p>
        </w:tc>
        <w:tc>
          <w:tcPr>
            <w:tcW w:w="7776"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Federal Government; AfDB; IsDB; IFAD; participating states; A</w:t>
            </w:r>
            <w:r w:rsidRPr="0018651F">
              <w:rPr>
                <w:rFonts w:ascii="Times New Roman" w:hAnsi="Times New Roman" w:cs="Times New Roman"/>
                <w:sz w:val="24"/>
                <w:szCs w:val="24"/>
              </w:rPr>
              <w:t>RISE IIP. Groundbreakings began in 2025; Phase I covers Kaduna, Kano, Kwara, Cross River, Imo, Ogun, Oyo and FCT.</w:t>
            </w:r>
          </w:p>
        </w:tc>
      </w:tr>
      <w:tr w:rsidR="0018651F" w:rsidRPr="0018651F">
        <w:trPr>
          <w:jc w:val="center"/>
        </w:trPr>
        <w:tc>
          <w:tcPr>
            <w:tcW w:w="1440"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Manufacturing</w:t>
            </w:r>
          </w:p>
        </w:tc>
        <w:tc>
          <w:tcPr>
            <w:tcW w:w="3024"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Ondo Integrated Fertilizer Plant</w:t>
            </w:r>
          </w:p>
        </w:tc>
        <w:tc>
          <w:tcPr>
            <w:tcW w:w="1584"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Planning/Concept</w:t>
            </w:r>
          </w:p>
        </w:tc>
        <w:tc>
          <w:tcPr>
            <w:tcW w:w="1152"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$4bn</w:t>
            </w:r>
          </w:p>
        </w:tc>
        <w:tc>
          <w:tcPr>
            <w:tcW w:w="2880"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Private industrial investment</w:t>
            </w:r>
          </w:p>
        </w:tc>
        <w:tc>
          <w:tcPr>
            <w:tcW w:w="7776"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 xml:space="preserve">Ondo State; ONDIPA; Resident Fertilizer </w:t>
            </w:r>
            <w:r w:rsidRPr="0018651F">
              <w:rPr>
                <w:rFonts w:ascii="Times New Roman" w:hAnsi="Times New Roman" w:cs="Times New Roman"/>
                <w:sz w:val="24"/>
                <w:szCs w:val="24"/>
              </w:rPr>
              <w:t>and Petrochemical Plc. Proposed 2MMTPA urea complex with captive power, gas pipeline and export jetty.</w:t>
            </w:r>
          </w:p>
        </w:tc>
      </w:tr>
      <w:tr w:rsidR="0018651F" w:rsidRPr="0018651F">
        <w:trPr>
          <w:jc w:val="center"/>
        </w:trPr>
        <w:tc>
          <w:tcPr>
            <w:tcW w:w="1440"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Manufacturing</w:t>
            </w:r>
          </w:p>
        </w:tc>
        <w:tc>
          <w:tcPr>
            <w:tcW w:w="3024"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Chinese-backed Lithium Processing Plants</w:t>
            </w:r>
          </w:p>
        </w:tc>
        <w:tc>
          <w:tcPr>
            <w:tcW w:w="1584"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Near completion</w:t>
            </w:r>
          </w:p>
        </w:tc>
        <w:tc>
          <w:tcPr>
            <w:tcW w:w="1152"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$0.8bn</w:t>
            </w:r>
          </w:p>
        </w:tc>
        <w:tc>
          <w:tcPr>
            <w:tcW w:w="2880"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Foreign private investment + local equity</w:t>
            </w:r>
          </w:p>
        </w:tc>
        <w:tc>
          <w:tcPr>
            <w:tcW w:w="7776"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 xml:space="preserve">Chinese </w:t>
            </w:r>
            <w:proofErr w:type="gramStart"/>
            <w:r w:rsidRPr="0018651F">
              <w:rPr>
                <w:rFonts w:ascii="Times New Roman" w:hAnsi="Times New Roman" w:cs="Times New Roman"/>
                <w:sz w:val="24"/>
                <w:szCs w:val="24"/>
              </w:rPr>
              <w:t>investors</w:t>
            </w:r>
            <w:proofErr w:type="gramEnd"/>
            <w:r w:rsidRPr="0018651F">
              <w:rPr>
                <w:rFonts w:ascii="Times New Roman" w:hAnsi="Times New Roman" w:cs="Times New Roman"/>
                <w:sz w:val="24"/>
                <w:szCs w:val="24"/>
              </w:rPr>
              <w:t xml:space="preserve"> incl. Jiuling </w:t>
            </w:r>
            <w:r w:rsidRPr="0018651F">
              <w:rPr>
                <w:rFonts w:ascii="Times New Roman" w:hAnsi="Times New Roman" w:cs="Times New Roman"/>
                <w:sz w:val="24"/>
                <w:szCs w:val="24"/>
              </w:rPr>
              <w:t>Lithium Mining and Canmax; Three Crown Mines; state governments. A $600m plant near Kaduna-Niger border and a $200m refinery near Abuja were due for commissioning in 2025.</w:t>
            </w:r>
          </w:p>
        </w:tc>
      </w:tr>
      <w:tr w:rsidR="0018651F" w:rsidRPr="0018651F">
        <w:trPr>
          <w:jc w:val="center"/>
        </w:trPr>
        <w:tc>
          <w:tcPr>
            <w:tcW w:w="1440"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Energy</w:t>
            </w:r>
          </w:p>
        </w:tc>
        <w:tc>
          <w:tcPr>
            <w:tcW w:w="3024"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Renaissance Africa Energy upstream program</w:t>
            </w:r>
          </w:p>
        </w:tc>
        <w:tc>
          <w:tcPr>
            <w:tcW w:w="1584"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Execution</w:t>
            </w:r>
          </w:p>
        </w:tc>
        <w:tc>
          <w:tcPr>
            <w:tcW w:w="1152"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$15bn</w:t>
            </w:r>
          </w:p>
        </w:tc>
        <w:tc>
          <w:tcPr>
            <w:tcW w:w="2880"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 xml:space="preserve">Local private / </w:t>
            </w:r>
            <w:r w:rsidRPr="0018651F">
              <w:rPr>
                <w:rFonts w:ascii="Times New Roman" w:hAnsi="Times New Roman" w:cs="Times New Roman"/>
                <w:sz w:val="24"/>
                <w:szCs w:val="24"/>
              </w:rPr>
              <w:t>corporate investment</w:t>
            </w:r>
          </w:p>
        </w:tc>
        <w:tc>
          <w:tcPr>
            <w:tcW w:w="7776"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Renaissance Africa Energy. Company plans to invest $15bn over five years to raise oil and gas output.</w:t>
            </w:r>
          </w:p>
        </w:tc>
      </w:tr>
      <w:tr w:rsidR="0018651F" w:rsidRPr="0018651F">
        <w:trPr>
          <w:jc w:val="center"/>
        </w:trPr>
        <w:tc>
          <w:tcPr>
            <w:tcW w:w="1440"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lastRenderedPageBreak/>
              <w:t>Energy</w:t>
            </w:r>
          </w:p>
        </w:tc>
        <w:tc>
          <w:tcPr>
            <w:tcW w:w="3024"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Seplat Energy 2025 capex &amp; ANOH completion</w:t>
            </w:r>
          </w:p>
        </w:tc>
        <w:tc>
          <w:tcPr>
            <w:tcW w:w="1584"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Execution</w:t>
            </w:r>
          </w:p>
        </w:tc>
        <w:tc>
          <w:tcPr>
            <w:tcW w:w="1152"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$0.32bn</w:t>
            </w:r>
          </w:p>
        </w:tc>
        <w:tc>
          <w:tcPr>
            <w:tcW w:w="2880"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Corporate balance sheet / capex</w:t>
            </w:r>
          </w:p>
        </w:tc>
        <w:tc>
          <w:tcPr>
            <w:tcW w:w="7776" w:type="dxa"/>
          </w:tcPr>
          <w:p w:rsidR="0022644A" w:rsidRPr="0018651F" w:rsidRDefault="004E009A" w:rsidP="0018651F">
            <w:pPr>
              <w:jc w:val="both"/>
              <w:rPr>
                <w:rFonts w:ascii="Times New Roman" w:hAnsi="Times New Roman" w:cs="Times New Roman"/>
                <w:sz w:val="24"/>
                <w:szCs w:val="24"/>
              </w:rPr>
            </w:pPr>
            <w:r w:rsidRPr="0018651F">
              <w:rPr>
                <w:rFonts w:ascii="Times New Roman" w:hAnsi="Times New Roman" w:cs="Times New Roman"/>
                <w:sz w:val="24"/>
                <w:szCs w:val="24"/>
              </w:rPr>
              <w:t xml:space="preserve">Seplat Energy. 2025 spending </w:t>
            </w:r>
            <w:r w:rsidRPr="0018651F">
              <w:rPr>
                <w:rFonts w:ascii="Times New Roman" w:hAnsi="Times New Roman" w:cs="Times New Roman"/>
                <w:sz w:val="24"/>
                <w:szCs w:val="24"/>
              </w:rPr>
              <w:t>plan of up to $320m covers new wells, infrastructure and completion of ANOH gas plant.</w:t>
            </w:r>
          </w:p>
        </w:tc>
      </w:tr>
    </w:tbl>
    <w:p w:rsidR="0022644A" w:rsidRPr="0018651F" w:rsidRDefault="0022644A" w:rsidP="0018651F">
      <w:pPr>
        <w:jc w:val="both"/>
        <w:rPr>
          <w:rFonts w:ascii="Times New Roman" w:hAnsi="Times New Roman" w:cs="Times New Roman"/>
          <w:sz w:val="24"/>
          <w:szCs w:val="24"/>
        </w:rPr>
        <w:sectPr w:rsidR="0022644A" w:rsidRPr="0018651F" w:rsidSect="0018651F">
          <w:type w:val="continuous"/>
          <w:pgSz w:w="15840" w:h="12240" w:orient="landscape"/>
          <w:pgMar w:top="1440" w:right="1440" w:bottom="1440" w:left="1440" w:header="720" w:footer="720" w:gutter="0"/>
          <w:cols w:space="720"/>
          <w:docGrid w:linePitch="360"/>
        </w:sectPr>
      </w:pPr>
    </w:p>
    <w:p w:rsidR="005C33C6" w:rsidRPr="005C33C6" w:rsidRDefault="005C33C6" w:rsidP="005C33C6">
      <w:pPr>
        <w:pStyle w:val="ListBullet"/>
        <w:numPr>
          <w:ilvl w:val="0"/>
          <w:numId w:val="0"/>
        </w:numPr>
        <w:ind w:left="709" w:hanging="709"/>
        <w:jc w:val="both"/>
        <w:rPr>
          <w:rFonts w:ascii="Times New Roman" w:hAnsi="Times New Roman" w:cs="Times New Roman"/>
          <w:b/>
          <w:sz w:val="24"/>
          <w:szCs w:val="24"/>
        </w:rPr>
      </w:pPr>
      <w:r w:rsidRPr="005C33C6">
        <w:rPr>
          <w:rFonts w:ascii="Times New Roman" w:hAnsi="Times New Roman" w:cs="Times New Roman"/>
          <w:b/>
          <w:sz w:val="24"/>
          <w:szCs w:val="24"/>
        </w:rPr>
        <w:lastRenderedPageBreak/>
        <w:t xml:space="preserve">Reference </w:t>
      </w:r>
      <w:bookmarkStart w:id="0" w:name="_GoBack"/>
      <w:bookmarkEnd w:id="0"/>
    </w:p>
    <w:p w:rsidR="0022644A" w:rsidRPr="0018651F" w:rsidRDefault="004E009A" w:rsidP="005C33C6">
      <w:pPr>
        <w:pStyle w:val="ListBullet"/>
        <w:numPr>
          <w:ilvl w:val="0"/>
          <w:numId w:val="0"/>
        </w:numPr>
        <w:ind w:left="709" w:hanging="709"/>
        <w:jc w:val="both"/>
        <w:rPr>
          <w:rFonts w:ascii="Times New Roman" w:hAnsi="Times New Roman" w:cs="Times New Roman"/>
          <w:sz w:val="24"/>
          <w:szCs w:val="24"/>
        </w:rPr>
      </w:pPr>
      <w:r w:rsidRPr="0018651F">
        <w:rPr>
          <w:rFonts w:ascii="Times New Roman" w:hAnsi="Times New Roman" w:cs="Times New Roman"/>
          <w:sz w:val="24"/>
          <w:szCs w:val="24"/>
        </w:rPr>
        <w:t>ICRC published PPP pipeline (77 projects across 16 sectors): https://www.icrc.gov.ng/projects/published-ppp-projects-pipeline/</w:t>
      </w:r>
    </w:p>
    <w:p w:rsidR="0022644A" w:rsidRPr="0018651F" w:rsidRDefault="004E009A" w:rsidP="005C33C6">
      <w:pPr>
        <w:pStyle w:val="ListBullet"/>
        <w:numPr>
          <w:ilvl w:val="0"/>
          <w:numId w:val="0"/>
        </w:numPr>
        <w:ind w:left="709" w:hanging="709"/>
        <w:jc w:val="both"/>
        <w:rPr>
          <w:rFonts w:ascii="Times New Roman" w:hAnsi="Times New Roman" w:cs="Times New Roman"/>
          <w:sz w:val="24"/>
          <w:szCs w:val="24"/>
        </w:rPr>
      </w:pPr>
      <w:r w:rsidRPr="0018651F">
        <w:rPr>
          <w:rFonts w:ascii="Times New Roman" w:hAnsi="Times New Roman" w:cs="Times New Roman"/>
          <w:sz w:val="24"/>
          <w:szCs w:val="24"/>
        </w:rPr>
        <w:t>ICRC FEC-approved PPP registry (103 projects through 2023): https://www.icrc.gov.ng/projects/fec-approved-ppp-projects/</w:t>
      </w:r>
    </w:p>
    <w:p w:rsidR="0022644A" w:rsidRPr="0018651F" w:rsidRDefault="004E009A" w:rsidP="005C33C6">
      <w:pPr>
        <w:pStyle w:val="ListBullet"/>
        <w:numPr>
          <w:ilvl w:val="0"/>
          <w:numId w:val="0"/>
        </w:numPr>
        <w:ind w:left="709" w:hanging="709"/>
        <w:jc w:val="both"/>
        <w:rPr>
          <w:rFonts w:ascii="Times New Roman" w:hAnsi="Times New Roman" w:cs="Times New Roman"/>
          <w:sz w:val="24"/>
          <w:szCs w:val="24"/>
        </w:rPr>
      </w:pPr>
      <w:r w:rsidRPr="0018651F">
        <w:rPr>
          <w:rFonts w:ascii="Times New Roman" w:hAnsi="Times New Roman" w:cs="Times New Roman"/>
          <w:sz w:val="24"/>
          <w:szCs w:val="24"/>
        </w:rPr>
        <w:t>U.S. State Department investment climate statement: https://www.state.gov/reports/2025-investment-climate-statements/nigeria</w:t>
      </w:r>
    </w:p>
    <w:p w:rsidR="0022644A" w:rsidRPr="0018651F" w:rsidRDefault="004E009A" w:rsidP="005C33C6">
      <w:pPr>
        <w:pStyle w:val="ListBullet"/>
        <w:numPr>
          <w:ilvl w:val="0"/>
          <w:numId w:val="0"/>
        </w:numPr>
        <w:ind w:left="709" w:hanging="709"/>
        <w:jc w:val="both"/>
        <w:rPr>
          <w:rFonts w:ascii="Times New Roman" w:hAnsi="Times New Roman" w:cs="Times New Roman"/>
          <w:sz w:val="24"/>
          <w:szCs w:val="24"/>
        </w:rPr>
      </w:pPr>
      <w:r w:rsidRPr="0018651F">
        <w:rPr>
          <w:rFonts w:ascii="Times New Roman" w:hAnsi="Times New Roman" w:cs="Times New Roman"/>
          <w:sz w:val="24"/>
          <w:szCs w:val="24"/>
        </w:rPr>
        <w:t>Reuters: c</w:t>
      </w:r>
      <w:r w:rsidRPr="0018651F">
        <w:rPr>
          <w:rFonts w:ascii="Times New Roman" w:hAnsi="Times New Roman" w:cs="Times New Roman"/>
          <w:sz w:val="24"/>
          <w:szCs w:val="24"/>
        </w:rPr>
        <w:t>apital inflows in 2025: https://www.reuters.com/world/africa/nigerias-capital-inflows-jump-90-2025-foreign-investors-chase-high-returns-2026-03-26/</w:t>
      </w:r>
    </w:p>
    <w:p w:rsidR="0022644A" w:rsidRPr="0018651F" w:rsidRDefault="004E009A" w:rsidP="005C33C6">
      <w:pPr>
        <w:pStyle w:val="ListBullet"/>
        <w:numPr>
          <w:ilvl w:val="0"/>
          <w:numId w:val="0"/>
        </w:numPr>
        <w:ind w:left="709" w:hanging="709"/>
        <w:jc w:val="both"/>
        <w:rPr>
          <w:rFonts w:ascii="Times New Roman" w:hAnsi="Times New Roman" w:cs="Times New Roman"/>
          <w:sz w:val="24"/>
          <w:szCs w:val="24"/>
        </w:rPr>
      </w:pPr>
      <w:r w:rsidRPr="0018651F">
        <w:rPr>
          <w:rFonts w:ascii="Times New Roman" w:hAnsi="Times New Roman" w:cs="Times New Roman"/>
          <w:sz w:val="24"/>
          <w:szCs w:val="24"/>
        </w:rPr>
        <w:t>Reuters: bank recapitalisation plans: https://www.reuters.com/world/africa/nigerian-lenders-submitting-recap</w:t>
      </w:r>
      <w:r w:rsidRPr="0018651F">
        <w:rPr>
          <w:rFonts w:ascii="Times New Roman" w:hAnsi="Times New Roman" w:cs="Times New Roman"/>
          <w:sz w:val="24"/>
          <w:szCs w:val="24"/>
        </w:rPr>
        <w:t>italisation-plans-central-bank-says-2024-06-04/</w:t>
      </w:r>
    </w:p>
    <w:p w:rsidR="0022644A" w:rsidRPr="0018651F" w:rsidRDefault="004E009A" w:rsidP="005C33C6">
      <w:pPr>
        <w:pStyle w:val="ListBullet"/>
        <w:numPr>
          <w:ilvl w:val="0"/>
          <w:numId w:val="0"/>
        </w:numPr>
        <w:ind w:left="709" w:hanging="709"/>
        <w:jc w:val="both"/>
        <w:rPr>
          <w:rFonts w:ascii="Times New Roman" w:hAnsi="Times New Roman" w:cs="Times New Roman"/>
          <w:sz w:val="24"/>
          <w:szCs w:val="24"/>
        </w:rPr>
      </w:pPr>
      <w:r w:rsidRPr="0018651F">
        <w:rPr>
          <w:rFonts w:ascii="Times New Roman" w:hAnsi="Times New Roman" w:cs="Times New Roman"/>
          <w:sz w:val="24"/>
          <w:szCs w:val="24"/>
        </w:rPr>
        <w:t>World Bank: DARES project: https://www.worldbank.org/en/news/press-release/2023/12/15/nigeria-to-expand-access-to-clean-energy-for-17-5-million-people</w:t>
      </w:r>
    </w:p>
    <w:p w:rsidR="0022644A" w:rsidRPr="0018651F" w:rsidRDefault="004E009A" w:rsidP="005C33C6">
      <w:pPr>
        <w:pStyle w:val="ListBullet"/>
        <w:numPr>
          <w:ilvl w:val="0"/>
          <w:numId w:val="0"/>
        </w:numPr>
        <w:ind w:left="709" w:hanging="709"/>
        <w:jc w:val="both"/>
        <w:rPr>
          <w:rFonts w:ascii="Times New Roman" w:hAnsi="Times New Roman" w:cs="Times New Roman"/>
          <w:sz w:val="24"/>
          <w:szCs w:val="24"/>
        </w:rPr>
      </w:pPr>
      <w:r w:rsidRPr="0018651F">
        <w:rPr>
          <w:rFonts w:ascii="Times New Roman" w:hAnsi="Times New Roman" w:cs="Times New Roman"/>
          <w:sz w:val="24"/>
          <w:szCs w:val="24"/>
        </w:rPr>
        <w:t>World Bank: mini-grid market expansion: https://www.world</w:t>
      </w:r>
      <w:r w:rsidRPr="0018651F">
        <w:rPr>
          <w:rFonts w:ascii="Times New Roman" w:hAnsi="Times New Roman" w:cs="Times New Roman"/>
          <w:sz w:val="24"/>
          <w:szCs w:val="24"/>
        </w:rPr>
        <w:t>bank.org/en/news/feature/2025/03/07/expanding-nigeria-s-mini-grid-market</w:t>
      </w:r>
    </w:p>
    <w:p w:rsidR="0022644A" w:rsidRPr="0018651F" w:rsidRDefault="004E009A" w:rsidP="005C33C6">
      <w:pPr>
        <w:pStyle w:val="ListBullet"/>
        <w:numPr>
          <w:ilvl w:val="0"/>
          <w:numId w:val="0"/>
        </w:numPr>
        <w:ind w:left="709" w:hanging="709"/>
        <w:jc w:val="both"/>
        <w:rPr>
          <w:rFonts w:ascii="Times New Roman" w:hAnsi="Times New Roman" w:cs="Times New Roman"/>
          <w:sz w:val="24"/>
          <w:szCs w:val="24"/>
        </w:rPr>
      </w:pPr>
      <w:r w:rsidRPr="0018651F">
        <w:rPr>
          <w:rFonts w:ascii="Times New Roman" w:hAnsi="Times New Roman" w:cs="Times New Roman"/>
          <w:sz w:val="24"/>
          <w:szCs w:val="24"/>
        </w:rPr>
        <w:t>TotalEnergies: Ubeta gas development: https://totalenergies.com/news/press-releases/nigeria-totalenergies-launches-ubeta-gas-development-supply-nigeria-lng</w:t>
      </w:r>
    </w:p>
    <w:p w:rsidR="0022644A" w:rsidRPr="0018651F" w:rsidRDefault="004E009A" w:rsidP="005C33C6">
      <w:pPr>
        <w:pStyle w:val="ListBullet"/>
        <w:numPr>
          <w:ilvl w:val="0"/>
          <w:numId w:val="0"/>
        </w:numPr>
        <w:ind w:left="709" w:hanging="709"/>
        <w:jc w:val="both"/>
        <w:rPr>
          <w:rFonts w:ascii="Times New Roman" w:hAnsi="Times New Roman" w:cs="Times New Roman"/>
          <w:sz w:val="24"/>
          <w:szCs w:val="24"/>
        </w:rPr>
      </w:pPr>
      <w:r w:rsidRPr="0018651F">
        <w:rPr>
          <w:rFonts w:ascii="Times New Roman" w:hAnsi="Times New Roman" w:cs="Times New Roman"/>
          <w:sz w:val="24"/>
          <w:szCs w:val="24"/>
        </w:rPr>
        <w:t xml:space="preserve">NLNG Train 7 project page: </w:t>
      </w:r>
      <w:r w:rsidRPr="0018651F">
        <w:rPr>
          <w:rFonts w:ascii="Times New Roman" w:hAnsi="Times New Roman" w:cs="Times New Roman"/>
          <w:sz w:val="24"/>
          <w:szCs w:val="24"/>
        </w:rPr>
        <w:t>https://www.nlng.com/operations/train-7</w:t>
      </w:r>
    </w:p>
    <w:p w:rsidR="0022644A" w:rsidRPr="0018651F" w:rsidRDefault="004E009A" w:rsidP="005C33C6">
      <w:pPr>
        <w:pStyle w:val="ListBullet"/>
        <w:numPr>
          <w:ilvl w:val="0"/>
          <w:numId w:val="0"/>
        </w:numPr>
        <w:ind w:left="709" w:hanging="709"/>
        <w:jc w:val="both"/>
        <w:rPr>
          <w:rFonts w:ascii="Times New Roman" w:hAnsi="Times New Roman" w:cs="Times New Roman"/>
          <w:sz w:val="24"/>
          <w:szCs w:val="24"/>
        </w:rPr>
      </w:pPr>
      <w:r w:rsidRPr="0018651F">
        <w:rPr>
          <w:rFonts w:ascii="Times New Roman" w:hAnsi="Times New Roman" w:cs="Times New Roman"/>
          <w:sz w:val="24"/>
          <w:szCs w:val="24"/>
        </w:rPr>
        <w:t>EIA country analysis: Nigeria: https://www.eia.gov/international/content/analysis/countries_long/Nigeria/Nigeria-2025.pdf</w:t>
      </w:r>
    </w:p>
    <w:p w:rsidR="0022644A" w:rsidRPr="0018651F" w:rsidRDefault="004E009A" w:rsidP="005C33C6">
      <w:pPr>
        <w:pStyle w:val="ListBullet"/>
        <w:numPr>
          <w:ilvl w:val="0"/>
          <w:numId w:val="0"/>
        </w:numPr>
        <w:ind w:left="709" w:hanging="709"/>
        <w:jc w:val="both"/>
        <w:rPr>
          <w:rFonts w:ascii="Times New Roman" w:hAnsi="Times New Roman" w:cs="Times New Roman"/>
          <w:sz w:val="24"/>
          <w:szCs w:val="24"/>
        </w:rPr>
      </w:pPr>
      <w:r w:rsidRPr="0018651F">
        <w:rPr>
          <w:rFonts w:ascii="Times New Roman" w:hAnsi="Times New Roman" w:cs="Times New Roman"/>
          <w:sz w:val="24"/>
          <w:szCs w:val="24"/>
        </w:rPr>
        <w:t>AfDB: Project BRIDGE / D-VIBE: https://www.afdb.org/en/news-and-events/press-releases/african-</w:t>
      </w:r>
      <w:r w:rsidRPr="0018651F">
        <w:rPr>
          <w:rFonts w:ascii="Times New Roman" w:hAnsi="Times New Roman" w:cs="Times New Roman"/>
          <w:sz w:val="24"/>
          <w:szCs w:val="24"/>
        </w:rPr>
        <w:t>development-bank-group-approves-200-million-nigerias-digital-value-chain-infrastructure-project-bridge-expand-fibre-backbone-92278</w:t>
      </w:r>
    </w:p>
    <w:p w:rsidR="0022644A" w:rsidRPr="0018651F" w:rsidRDefault="004E009A" w:rsidP="005C33C6">
      <w:pPr>
        <w:pStyle w:val="ListBullet"/>
        <w:numPr>
          <w:ilvl w:val="0"/>
          <w:numId w:val="0"/>
        </w:numPr>
        <w:ind w:left="709" w:hanging="709"/>
        <w:jc w:val="both"/>
        <w:rPr>
          <w:rFonts w:ascii="Times New Roman" w:hAnsi="Times New Roman" w:cs="Times New Roman"/>
          <w:sz w:val="24"/>
          <w:szCs w:val="24"/>
        </w:rPr>
      </w:pPr>
      <w:r w:rsidRPr="0018651F">
        <w:rPr>
          <w:rFonts w:ascii="Times New Roman" w:hAnsi="Times New Roman" w:cs="Times New Roman"/>
          <w:sz w:val="24"/>
          <w:szCs w:val="24"/>
        </w:rPr>
        <w:t>AfDB: SAPZ groundbreaking: https://www.afdb.org/en/news-and-events/press-releases/nigerias-agro-revolution-construction-speci</w:t>
      </w:r>
      <w:r w:rsidRPr="0018651F">
        <w:rPr>
          <w:rFonts w:ascii="Times New Roman" w:hAnsi="Times New Roman" w:cs="Times New Roman"/>
          <w:sz w:val="24"/>
          <w:szCs w:val="24"/>
        </w:rPr>
        <w:t>al-agro-industrial-processing-zones-sapz-begins-82556</w:t>
      </w:r>
    </w:p>
    <w:p w:rsidR="0022644A" w:rsidRPr="0018651F" w:rsidRDefault="004E009A" w:rsidP="005C33C6">
      <w:pPr>
        <w:pStyle w:val="ListBullet"/>
        <w:numPr>
          <w:ilvl w:val="0"/>
          <w:numId w:val="0"/>
        </w:numPr>
        <w:ind w:left="709" w:hanging="709"/>
        <w:jc w:val="both"/>
        <w:rPr>
          <w:rFonts w:ascii="Times New Roman" w:hAnsi="Times New Roman" w:cs="Times New Roman"/>
          <w:sz w:val="24"/>
          <w:szCs w:val="24"/>
        </w:rPr>
      </w:pPr>
      <w:r w:rsidRPr="0018651F">
        <w:rPr>
          <w:rFonts w:ascii="Times New Roman" w:hAnsi="Times New Roman" w:cs="Times New Roman"/>
          <w:sz w:val="24"/>
          <w:szCs w:val="24"/>
        </w:rPr>
        <w:t>AfDB: SAPZ programme financing: https://www.afdb.org/en/sapz-nigeria/programme</w:t>
      </w:r>
    </w:p>
    <w:p w:rsidR="0022644A" w:rsidRPr="0018651F" w:rsidRDefault="004E009A" w:rsidP="005C33C6">
      <w:pPr>
        <w:pStyle w:val="ListBullet"/>
        <w:numPr>
          <w:ilvl w:val="0"/>
          <w:numId w:val="0"/>
        </w:numPr>
        <w:ind w:left="709" w:hanging="709"/>
        <w:jc w:val="both"/>
        <w:rPr>
          <w:rFonts w:ascii="Times New Roman" w:hAnsi="Times New Roman" w:cs="Times New Roman"/>
          <w:sz w:val="24"/>
          <w:szCs w:val="24"/>
        </w:rPr>
      </w:pPr>
      <w:r w:rsidRPr="0018651F">
        <w:rPr>
          <w:rFonts w:ascii="Times New Roman" w:hAnsi="Times New Roman" w:cs="Times New Roman"/>
          <w:sz w:val="24"/>
          <w:szCs w:val="24"/>
        </w:rPr>
        <w:t>AfDB: Abidjan-Lagos corridor update: https://www.afdb.org/en/news-and-events/press-releases/mega-abidjan-lagos-corridor-pro</w:t>
      </w:r>
      <w:r w:rsidRPr="0018651F">
        <w:rPr>
          <w:rFonts w:ascii="Times New Roman" w:hAnsi="Times New Roman" w:cs="Times New Roman"/>
          <w:sz w:val="24"/>
          <w:szCs w:val="24"/>
        </w:rPr>
        <w:t>ject-enters-operational-phase-launch-governing-board-91138</w:t>
      </w:r>
    </w:p>
    <w:p w:rsidR="0022644A" w:rsidRPr="0018651F" w:rsidRDefault="004E009A" w:rsidP="005C33C6">
      <w:pPr>
        <w:pStyle w:val="ListBullet"/>
        <w:numPr>
          <w:ilvl w:val="0"/>
          <w:numId w:val="0"/>
        </w:numPr>
        <w:ind w:left="709" w:hanging="709"/>
        <w:jc w:val="both"/>
        <w:rPr>
          <w:rFonts w:ascii="Times New Roman" w:hAnsi="Times New Roman" w:cs="Times New Roman"/>
          <w:sz w:val="24"/>
          <w:szCs w:val="24"/>
        </w:rPr>
      </w:pPr>
      <w:r w:rsidRPr="0018651F">
        <w:rPr>
          <w:rFonts w:ascii="Times New Roman" w:hAnsi="Times New Roman" w:cs="Times New Roman"/>
          <w:sz w:val="24"/>
          <w:szCs w:val="24"/>
        </w:rPr>
        <w:t>Reuters: Lagos-Calabar financing: https://www.reuters.com/world/africa/nigeria-secures-747-million-deutsche-bank-led-syndicated-loan-coastal-highway-2025-07-10/</w:t>
      </w:r>
    </w:p>
    <w:p w:rsidR="0022644A" w:rsidRPr="0018651F" w:rsidRDefault="004E009A" w:rsidP="005C33C6">
      <w:pPr>
        <w:pStyle w:val="ListBullet"/>
        <w:numPr>
          <w:ilvl w:val="0"/>
          <w:numId w:val="0"/>
        </w:numPr>
        <w:ind w:left="709" w:hanging="709"/>
        <w:jc w:val="both"/>
        <w:rPr>
          <w:rFonts w:ascii="Times New Roman" w:hAnsi="Times New Roman" w:cs="Times New Roman"/>
          <w:sz w:val="24"/>
          <w:szCs w:val="24"/>
        </w:rPr>
      </w:pPr>
      <w:r w:rsidRPr="0018651F">
        <w:rPr>
          <w:rFonts w:ascii="Times New Roman" w:hAnsi="Times New Roman" w:cs="Times New Roman"/>
          <w:sz w:val="24"/>
          <w:szCs w:val="24"/>
        </w:rPr>
        <w:t>FMINO: Ondo port and fertilizer proj</w:t>
      </w:r>
      <w:r w:rsidRPr="0018651F">
        <w:rPr>
          <w:rFonts w:ascii="Times New Roman" w:hAnsi="Times New Roman" w:cs="Times New Roman"/>
          <w:sz w:val="24"/>
          <w:szCs w:val="24"/>
        </w:rPr>
        <w:t>ects: https://fmino.gov.ng/government-clarifies-structure-and-financing-of-1-4-billion-deep-sea-port-and-4-billion-fertilizer-plant-projects/</w:t>
      </w:r>
    </w:p>
    <w:p w:rsidR="0022644A" w:rsidRPr="0018651F" w:rsidRDefault="004E009A" w:rsidP="005C33C6">
      <w:pPr>
        <w:pStyle w:val="ListBullet"/>
        <w:numPr>
          <w:ilvl w:val="0"/>
          <w:numId w:val="0"/>
        </w:numPr>
        <w:ind w:left="709" w:hanging="709"/>
        <w:jc w:val="both"/>
        <w:rPr>
          <w:rFonts w:ascii="Times New Roman" w:hAnsi="Times New Roman" w:cs="Times New Roman"/>
          <w:sz w:val="24"/>
          <w:szCs w:val="24"/>
        </w:rPr>
      </w:pPr>
      <w:r w:rsidRPr="0018651F">
        <w:rPr>
          <w:rFonts w:ascii="Times New Roman" w:hAnsi="Times New Roman" w:cs="Times New Roman"/>
          <w:sz w:val="24"/>
          <w:szCs w:val="24"/>
        </w:rPr>
        <w:t xml:space="preserve">Reuters: lithium processing plants: </w:t>
      </w:r>
      <w:r w:rsidRPr="0018651F">
        <w:rPr>
          <w:rFonts w:ascii="Times New Roman" w:hAnsi="Times New Roman" w:cs="Times New Roman"/>
          <w:sz w:val="24"/>
          <w:szCs w:val="24"/>
        </w:rPr>
        <w:t>https://www.reuters.com/business/energy/nigeria-open-two-chinese-backed-lithium-processing-plants-this-year-2025-05-26/</w:t>
      </w:r>
    </w:p>
    <w:p w:rsidR="0022644A" w:rsidRPr="0018651F" w:rsidRDefault="004E009A" w:rsidP="005C33C6">
      <w:pPr>
        <w:pStyle w:val="ListBullet"/>
        <w:numPr>
          <w:ilvl w:val="0"/>
          <w:numId w:val="0"/>
        </w:numPr>
        <w:ind w:left="709" w:hanging="709"/>
        <w:jc w:val="both"/>
        <w:rPr>
          <w:rFonts w:ascii="Times New Roman" w:hAnsi="Times New Roman" w:cs="Times New Roman"/>
          <w:sz w:val="24"/>
          <w:szCs w:val="24"/>
        </w:rPr>
      </w:pPr>
      <w:r w:rsidRPr="0018651F">
        <w:rPr>
          <w:rFonts w:ascii="Times New Roman" w:hAnsi="Times New Roman" w:cs="Times New Roman"/>
          <w:sz w:val="24"/>
          <w:szCs w:val="24"/>
        </w:rPr>
        <w:t>Reuters: Renaissance and local energy investments: https://www.reuters.com/business/energy/local-firms-drive-new-growth-phase-nigerias-o</w:t>
      </w:r>
      <w:r w:rsidRPr="0018651F">
        <w:rPr>
          <w:rFonts w:ascii="Times New Roman" w:hAnsi="Times New Roman" w:cs="Times New Roman"/>
          <w:sz w:val="24"/>
          <w:szCs w:val="24"/>
        </w:rPr>
        <w:t>il-sector-2025-06-03/</w:t>
      </w:r>
    </w:p>
    <w:p w:rsidR="0022644A" w:rsidRPr="0018651F" w:rsidRDefault="004E009A" w:rsidP="005C33C6">
      <w:pPr>
        <w:pStyle w:val="ListBullet"/>
        <w:numPr>
          <w:ilvl w:val="0"/>
          <w:numId w:val="0"/>
        </w:numPr>
        <w:ind w:left="709" w:hanging="709"/>
        <w:jc w:val="both"/>
        <w:rPr>
          <w:rFonts w:ascii="Times New Roman" w:hAnsi="Times New Roman" w:cs="Times New Roman"/>
          <w:sz w:val="24"/>
          <w:szCs w:val="24"/>
        </w:rPr>
      </w:pPr>
      <w:r w:rsidRPr="0018651F">
        <w:rPr>
          <w:rFonts w:ascii="Times New Roman" w:hAnsi="Times New Roman" w:cs="Times New Roman"/>
          <w:sz w:val="24"/>
          <w:szCs w:val="24"/>
        </w:rPr>
        <w:lastRenderedPageBreak/>
        <w:t>Reuters: Seplat 2025 capex: https://www.reuters.com/business/energy/nigerias-seplat-plans-up-320-million-spending-new-assets-drive-production-2025-03-04/</w:t>
      </w:r>
    </w:p>
    <w:p w:rsidR="0022644A" w:rsidRPr="0018651F" w:rsidRDefault="004E009A" w:rsidP="005C33C6">
      <w:pPr>
        <w:pStyle w:val="ListBullet"/>
        <w:numPr>
          <w:ilvl w:val="0"/>
          <w:numId w:val="0"/>
        </w:numPr>
        <w:ind w:left="709" w:hanging="709"/>
        <w:jc w:val="both"/>
        <w:rPr>
          <w:rFonts w:ascii="Times New Roman" w:hAnsi="Times New Roman" w:cs="Times New Roman"/>
          <w:sz w:val="24"/>
          <w:szCs w:val="24"/>
        </w:rPr>
      </w:pPr>
      <w:r w:rsidRPr="0018651F">
        <w:rPr>
          <w:rFonts w:ascii="Times New Roman" w:hAnsi="Times New Roman" w:cs="Times New Roman"/>
          <w:sz w:val="24"/>
          <w:szCs w:val="24"/>
        </w:rPr>
        <w:t>State House: Siemens PPI acceleration: https://statehouse.gov.ng/nigeria-and-ger</w:t>
      </w:r>
      <w:r w:rsidRPr="0018651F">
        <w:rPr>
          <w:rFonts w:ascii="Times New Roman" w:hAnsi="Times New Roman" w:cs="Times New Roman"/>
          <w:sz w:val="24"/>
          <w:szCs w:val="24"/>
        </w:rPr>
        <w:t>many-sign-agreement-to-accelerate-siemens-power-project-implementation/</w:t>
      </w:r>
    </w:p>
    <w:p w:rsidR="0022644A" w:rsidRPr="0018651F" w:rsidRDefault="004E009A" w:rsidP="005C33C6">
      <w:pPr>
        <w:pStyle w:val="ListBullet"/>
        <w:numPr>
          <w:ilvl w:val="0"/>
          <w:numId w:val="0"/>
        </w:numPr>
        <w:ind w:left="709" w:hanging="709"/>
        <w:jc w:val="both"/>
        <w:rPr>
          <w:rFonts w:ascii="Times New Roman" w:hAnsi="Times New Roman" w:cs="Times New Roman"/>
          <w:sz w:val="24"/>
          <w:szCs w:val="24"/>
        </w:rPr>
      </w:pPr>
      <w:r w:rsidRPr="0018651F">
        <w:rPr>
          <w:rFonts w:ascii="Times New Roman" w:hAnsi="Times New Roman" w:cs="Times New Roman"/>
          <w:sz w:val="24"/>
          <w:szCs w:val="24"/>
        </w:rPr>
        <w:t>State House: Nigeria Industrial Policy 2025 launch: https://statehouse.gov.ng/president-tinubu-unveils-nigeria-industrial-policy-2025-demands-speedy-implementation/</w:t>
      </w:r>
    </w:p>
    <w:p w:rsidR="0022644A" w:rsidRPr="0018651F" w:rsidRDefault="004E009A" w:rsidP="005C33C6">
      <w:pPr>
        <w:pStyle w:val="ListBullet"/>
        <w:numPr>
          <w:ilvl w:val="0"/>
          <w:numId w:val="0"/>
        </w:numPr>
        <w:ind w:left="709" w:hanging="709"/>
        <w:jc w:val="both"/>
        <w:rPr>
          <w:rFonts w:ascii="Times New Roman" w:hAnsi="Times New Roman" w:cs="Times New Roman"/>
          <w:sz w:val="24"/>
          <w:szCs w:val="24"/>
        </w:rPr>
      </w:pPr>
      <w:r w:rsidRPr="0018651F">
        <w:rPr>
          <w:rFonts w:ascii="Times New Roman" w:hAnsi="Times New Roman" w:cs="Times New Roman"/>
          <w:sz w:val="24"/>
          <w:szCs w:val="24"/>
        </w:rPr>
        <w:t>Reuters: National S</w:t>
      </w:r>
      <w:r w:rsidRPr="0018651F">
        <w:rPr>
          <w:rFonts w:ascii="Times New Roman" w:hAnsi="Times New Roman" w:cs="Times New Roman"/>
          <w:sz w:val="24"/>
          <w:szCs w:val="24"/>
        </w:rPr>
        <w:t>ingle Window launch: https://www.reuters.com/world/africa/nigeria-launch-trade-platform-ports-part-reform-push-2026-03-25/</w:t>
      </w:r>
    </w:p>
    <w:p w:rsidR="0022644A" w:rsidRPr="0018651F" w:rsidRDefault="004E009A" w:rsidP="005C33C6">
      <w:pPr>
        <w:pStyle w:val="ListBullet"/>
        <w:numPr>
          <w:ilvl w:val="0"/>
          <w:numId w:val="0"/>
        </w:numPr>
        <w:ind w:left="709" w:hanging="709"/>
        <w:jc w:val="both"/>
        <w:rPr>
          <w:rFonts w:ascii="Times New Roman" w:hAnsi="Times New Roman" w:cs="Times New Roman"/>
          <w:sz w:val="24"/>
          <w:szCs w:val="24"/>
        </w:rPr>
      </w:pPr>
      <w:r w:rsidRPr="0018651F">
        <w:rPr>
          <w:rFonts w:ascii="Times New Roman" w:hAnsi="Times New Roman" w:cs="Times New Roman"/>
          <w:sz w:val="24"/>
          <w:szCs w:val="24"/>
        </w:rPr>
        <w:t>Reuters: Nigeria-Morocco pipeline: https://www.reuters.com/sustainability/boards-policy-regulation/intergovernmental-deal-25-billion-</w:t>
      </w:r>
      <w:r w:rsidRPr="0018651F">
        <w:rPr>
          <w:rFonts w:ascii="Times New Roman" w:hAnsi="Times New Roman" w:cs="Times New Roman"/>
          <w:sz w:val="24"/>
          <w:szCs w:val="24"/>
        </w:rPr>
        <w:t>nigeria-morocco-gas-pipeline-due-this-year-2026-04-13/</w:t>
      </w:r>
    </w:p>
    <w:sectPr w:rsidR="0022644A" w:rsidRPr="0018651F" w:rsidSect="0018651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009A" w:rsidRDefault="004E009A">
      <w:pPr>
        <w:spacing w:after="0" w:line="240" w:lineRule="auto"/>
      </w:pPr>
      <w:r>
        <w:separator/>
      </w:r>
    </w:p>
  </w:endnote>
  <w:endnote w:type="continuationSeparator" w:id="0">
    <w:p w:rsidR="004E009A" w:rsidRDefault="004E0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4A" w:rsidRDefault="0022644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009A" w:rsidRDefault="004E009A">
      <w:pPr>
        <w:spacing w:after="0" w:line="240" w:lineRule="auto"/>
      </w:pPr>
      <w:r>
        <w:separator/>
      </w:r>
    </w:p>
  </w:footnote>
  <w:footnote w:type="continuationSeparator" w:id="0">
    <w:p w:rsidR="004E009A" w:rsidRDefault="004E00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4A" w:rsidRDefault="0022644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8651F"/>
    <w:rsid w:val="0022644A"/>
    <w:rsid w:val="0029639D"/>
    <w:rsid w:val="00326F90"/>
    <w:rsid w:val="004E009A"/>
    <w:rsid w:val="005C33C6"/>
    <w:rsid w:val="00843605"/>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98AE1BB7-9B97-4E17-8851-0C233A0D5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Arial" w:hAnsi="Arial"/>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3"/>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66102-7085-47C2-A45A-81DEF6CE6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2559</Words>
  <Characters>14592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17117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Microsoft account</cp:lastModifiedBy>
  <cp:revision>4</cp:revision>
  <dcterms:created xsi:type="dcterms:W3CDTF">2013-12-23T23:15:00Z</dcterms:created>
  <dcterms:modified xsi:type="dcterms:W3CDTF">2026-04-16T07:07:00Z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cbb8abdd-2474-44d7-ab15-448423b3024f</vt:lpwstr>
  </property>
</Properties>
</file>