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entury Gothic" w:cs="Century Gothic" w:eastAsia="Century Gothic" w:hAnsi="Century Gothic"/>
          <w:b w:val="1"/>
          <w:bCs w:val="1"/>
          <w:color w:val="000000"/>
          <w:sz w:val="48"/>
          <w:szCs w:val="48"/>
        </w:rPr>
      </w:pPr>
      <w:bookmarkStart w:colFirst="0" w:colLast="0" w:name="_jyfr1hhdk9s7" w:id="0"/>
      <w:bookmarkEnd w:id="0"/>
      <w:r w:rsidDel="00000000" w:rsidR="00000000" w:rsidRPr="00000000">
        <w:rPr>
          <w:rFonts w:ascii="Century Gothic" w:cs="Century Gothic" w:eastAsia="Century Gothic" w:hAnsi="Century Gothic"/>
          <w:b w:val="1"/>
          <w:bCs w:val="1"/>
          <w:color w:val="000000"/>
          <w:sz w:val="48"/>
          <w:szCs w:val="48"/>
          <w:rtl w:val="0"/>
        </w:rPr>
        <w:t xml:space="preserve">South Africa Petroleum Sector Briefing</w:t>
      </w:r>
    </w:p>
    <w:p w:rsidR="00000000" w:rsidDel="00000000" w:rsidP="00000000" w:rsidRDefault="00000000" w:rsidRPr="00000000" w14:paraId="00000002">
      <w:pPr>
        <w:pStyle w:val="Heading3"/>
        <w:keepNext w:val="0"/>
        <w:keepLines w:val="0"/>
        <w:spacing w:before="280" w:lineRule="auto"/>
        <w:rPr>
          <w:rFonts w:ascii="Century Gothic" w:cs="Century Gothic" w:eastAsia="Century Gothic" w:hAnsi="Century Gothic"/>
          <w:b w:val="1"/>
          <w:bCs w:val="1"/>
          <w:color w:val="000000"/>
          <w:sz w:val="26"/>
          <w:szCs w:val="26"/>
        </w:rPr>
      </w:pPr>
      <w:bookmarkStart w:colFirst="0" w:colLast="0" w:name="_sy499xuye43a" w:id="1"/>
      <w:bookmarkEnd w:id="1"/>
      <w:r w:rsidDel="00000000" w:rsidR="00000000" w:rsidRPr="00000000">
        <w:rPr>
          <w:rFonts w:ascii="Century Gothic" w:cs="Century Gothic" w:eastAsia="Century Gothic" w:hAnsi="Century Gothic"/>
          <w:b w:val="1"/>
          <w:bCs w:val="1"/>
          <w:color w:val="000000"/>
          <w:sz w:val="26"/>
          <w:szCs w:val="26"/>
          <w:rtl w:val="0"/>
        </w:rPr>
        <w:t xml:space="preserve">Executive Summary</w:t>
      </w:r>
    </w:p>
    <w:p w:rsidR="00000000" w:rsidDel="00000000" w:rsidP="00000000" w:rsidRDefault="00000000" w:rsidRPr="00000000" w14:paraId="00000003">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South Africa remains a minor hydrocarbon producer but a significant regional consumer and importer of oil and refined products. The country is transitioning from a net-importer reliant on ageing infrastructure to an emergent upstream frontier, spurred by deepwater discoveries, landmark legislative reform, and rising IOC interest. The commissioning of the South African National Petroleum Company (SANPC) in April 2025, the lifting of the 13-year shale gas moratorium, and the enactment of the Upstream Petroleum Resources Development Act (UPRDA) collectively represent the most significant policy reset. </w:t>
      </w:r>
    </w:p>
    <w:p w:rsidR="00000000" w:rsidDel="00000000" w:rsidP="00000000" w:rsidRDefault="00000000" w:rsidRPr="00000000" w14:paraId="00000004">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Offshore prospective resources are substantial, PASA estimates approximately 27 billion barrels of oil and 60 Tcf of gas concentrated in the Orange and Outeniqua Basins. Key discoveries (Brulpadda/Luiperd) have yet to reach FID due to regulatory, environmental, and market hurdles. The Upstream Petroleum Resources Development Act (UPRDA 2024) and South African National Petroleum Company (SANPC) provide a modernised framework, while LNG import projects (Matola FSRU, Richards Bay) and the Gas IPP Procurement Programme aim to bridge the impending gas cliff from declining Mozambican supplies.</w:t>
      </w:r>
    </w:p>
    <w:p w:rsidR="00000000" w:rsidDel="00000000" w:rsidP="00000000" w:rsidRDefault="00000000" w:rsidRPr="00000000" w14:paraId="00000005">
      <w:pPr>
        <w:spacing w:after="240" w:before="240" w:lineRule="auto"/>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Upstream Activities &amp; Key Projects</w:t>
      </w:r>
    </w:p>
    <w:p w:rsidR="00000000" w:rsidDel="00000000" w:rsidP="00000000" w:rsidRDefault="00000000" w:rsidRPr="00000000" w14:paraId="00000006">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i w:val="1"/>
          <w:iCs w:val="1"/>
          <w:rtl w:val="0"/>
        </w:rPr>
        <w:t xml:space="preserve">Offshore</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07">
      <w:pPr>
        <w:numPr>
          <w:ilvl w:val="0"/>
          <w:numId w:val="5"/>
        </w:numPr>
        <w:spacing w:after="24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Orange Basin</w:t>
      </w:r>
    </w:p>
    <w:p w:rsidR="00000000" w:rsidDel="00000000" w:rsidP="00000000" w:rsidRDefault="00000000" w:rsidRPr="00000000" w14:paraId="00000008">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Orange Basin, Sitting on the South Africa-Namibia maritime border, has emerged as the most commercially significant frontier in southern Africa. Exploration activity has been energised by Namibia's TotalEnergies Venus discovery (estimated 3+ billion barrels of oil equivalent), and operators on the South African side are pursuing analogous plays.</w:t>
      </w:r>
    </w:p>
    <w:p w:rsidR="00000000" w:rsidDel="00000000" w:rsidP="00000000" w:rsidRDefault="00000000" w:rsidRPr="00000000" w14:paraId="00000009">
      <w:pPr>
        <w:spacing w:after="240" w:befor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spacing w:after="240" w:befor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numPr>
          <w:ilvl w:val="0"/>
          <w:numId w:val="1"/>
        </w:numPr>
        <w:spacing w:after="24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Outeniqua Basin (Block 11B/12B)</w:t>
      </w:r>
    </w:p>
    <w:p w:rsidR="00000000" w:rsidDel="00000000" w:rsidP="00000000" w:rsidRDefault="00000000" w:rsidRPr="00000000" w14:paraId="0000000C">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Block 11B/12B (previously operated by TotalEnergies) contains the Brulpadda (estimated 275 million barrels of oil equivalent) and Luiperd (estimated 340 million barrels of oil equivalent) discoveries, each approximately 70% gas. TotalEnergies announced its exit from the block, citing commercial challenges. Africa Energy Corp., through its subsidiary Main Street, subsequently became operator and is finalising its Environmental and Social Impact Report (ESIR) for submission. </w:t>
      </w:r>
    </w:p>
    <w:p w:rsidR="00000000" w:rsidDel="00000000" w:rsidP="00000000" w:rsidRDefault="00000000" w:rsidRPr="00000000" w14:paraId="0000000D">
      <w:pPr>
        <w:spacing w:after="240" w:befor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i w:val="1"/>
          <w:iCs w:val="1"/>
          <w:rtl w:val="0"/>
        </w:rPr>
        <w:t xml:space="preserve">Onshore</w:t>
      </w:r>
      <w:r w:rsidDel="00000000" w:rsidR="00000000" w:rsidRPr="00000000">
        <w:rPr>
          <w:rtl w:val="0"/>
        </w:rPr>
      </w:r>
    </w:p>
    <w:p w:rsidR="00000000" w:rsidDel="00000000" w:rsidP="00000000" w:rsidRDefault="00000000" w:rsidRPr="00000000" w14:paraId="0000000F">
      <w:pPr>
        <w:numPr>
          <w:ilvl w:val="0"/>
          <w:numId w:val="6"/>
        </w:numPr>
        <w:spacing w:after="24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Karoo Shale Gas &amp; Coal Bed Methane</w:t>
      </w:r>
    </w:p>
    <w:p w:rsidR="00000000" w:rsidDel="00000000" w:rsidP="00000000" w:rsidRDefault="00000000" w:rsidRPr="00000000" w14:paraId="00000010">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South Africa holds an estimated technically recoverable resources of approximately 209 Tcf in the Karoo Basin (PASA, 2025 revised estimate), ranking it among the world's largest shale gas provinces. Exploration stalled due to environmental opposition and regulatory constraints. With the moratorium now lifted, exploration activity is expected to accelerate particularly from companies seeking to supply the forthcoming gas-to-power market.</w:t>
      </w:r>
    </w:p>
    <w:p w:rsidR="00000000" w:rsidDel="00000000" w:rsidP="00000000" w:rsidRDefault="00000000" w:rsidRPr="00000000" w14:paraId="00000011">
      <w:pPr>
        <w:spacing w:after="240" w:befor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spacing w:after="240" w:before="240" w:lineRule="auto"/>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bCs w:val="1"/>
          <w:sz w:val="26"/>
          <w:szCs w:val="26"/>
          <w:rtl w:val="0"/>
        </w:rPr>
        <w:t xml:space="preserve">Midstream and Downstream: Refining &amp; Supply Chain</w:t>
      </w:r>
      <w:r w:rsidDel="00000000" w:rsidR="00000000" w:rsidRPr="00000000">
        <w:rPr>
          <w:rtl w:val="0"/>
        </w:rPr>
      </w:r>
    </w:p>
    <w:p w:rsidR="00000000" w:rsidDel="00000000" w:rsidP="00000000" w:rsidRDefault="00000000" w:rsidRPr="00000000" w14:paraId="00000013">
      <w:pPr>
        <w:numPr>
          <w:ilvl w:val="0"/>
          <w:numId w:val="10"/>
        </w:numPr>
        <w:spacing w:after="240" w:befor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Currently operational refining/processing assets:</w:t>
      </w:r>
    </w:p>
    <w:p w:rsidR="00000000" w:rsidDel="00000000" w:rsidP="00000000" w:rsidRDefault="00000000" w:rsidRPr="00000000" w14:paraId="00000014">
      <w:pPr>
        <w:spacing w:after="240" w:before="240"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 </w:t>
      </w:r>
      <w:r w:rsidDel="00000000" w:rsidR="00000000" w:rsidRPr="00000000">
        <w:rPr>
          <w:rFonts w:ascii="Century Gothic" w:cs="Century Gothic" w:eastAsia="Century Gothic" w:hAnsi="Century Gothic"/>
          <w:rtl w:val="0"/>
        </w:rPr>
        <w:t xml:space="preserve">Natref refinery, Sasolburg (majority-owned by Sasol; minority stake sold to Prax Group by TotalEnergies in late 2023).</w:t>
      </w:r>
    </w:p>
    <w:p w:rsidR="00000000" w:rsidDel="00000000" w:rsidP="00000000" w:rsidRDefault="00000000" w:rsidRPr="00000000" w14:paraId="00000015">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 Astron Energy refinery, Cape Town (operational since May 2023 restart post-2020 explosion).</w:t>
      </w:r>
    </w:p>
    <w:p w:rsidR="00000000" w:rsidDel="00000000" w:rsidP="00000000" w:rsidRDefault="00000000" w:rsidRPr="00000000" w14:paraId="00000016">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Sasol Secunda CTL (coal-to-liquids) plant, the world's largest CTL facility</w:t>
      </w:r>
    </w:p>
    <w:p w:rsidR="00000000" w:rsidDel="00000000" w:rsidP="00000000" w:rsidRDefault="00000000" w:rsidRPr="00000000" w14:paraId="00000017">
      <w:pPr>
        <w:spacing w:after="240" w:before="240"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numPr>
          <w:ilvl w:val="0"/>
          <w:numId w:val="9"/>
        </w:numPr>
        <w:spacing w:after="240" w:before="240" w:lineRule="auto"/>
        <w:ind w:left="720" w:hanging="360"/>
        <w:rPr>
          <w:rFonts w:ascii="Century Gothic" w:cs="Century Gothic" w:eastAsia="Century Gothic" w:hAnsi="Century Gothic"/>
          <w:b w:val="1"/>
          <w:bCs w:val="1"/>
          <w:u w:val="none"/>
        </w:rPr>
      </w:pPr>
      <w:r w:rsidDel="00000000" w:rsidR="00000000" w:rsidRPr="00000000">
        <w:rPr>
          <w:rFonts w:ascii="Century Gothic" w:cs="Century Gothic" w:eastAsia="Century Gothic" w:hAnsi="Century Gothic"/>
          <w:b w:val="1"/>
          <w:bCs w:val="1"/>
          <w:rtl w:val="0"/>
        </w:rPr>
        <w:t xml:space="preserve">LNG Infrastructure</w:t>
      </w:r>
    </w:p>
    <w:p w:rsidR="00000000" w:rsidDel="00000000" w:rsidP="00000000" w:rsidRDefault="00000000" w:rsidRPr="00000000" w14:paraId="00000019">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Key developments include:</w:t>
      </w:r>
    </w:p>
    <w:p w:rsidR="00000000" w:rsidDel="00000000" w:rsidP="00000000" w:rsidRDefault="00000000" w:rsidRPr="00000000" w14:paraId="0000001A">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1.Transnet National Ports Authority has issued a Request for Proposals for an Environmental Impact Assessment for an LNG terminal at the Port of Ngqura (Eastern Cape).</w:t>
      </w:r>
    </w:p>
    <w:p w:rsidR="00000000" w:rsidDel="00000000" w:rsidP="00000000" w:rsidRDefault="00000000" w:rsidRPr="00000000" w14:paraId="0000001B">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 Sasol and Eskom have signed an agreement to explore gas supply aggregation and accelerated LNG uptake nationally.</w:t>
      </w:r>
    </w:p>
    <w:p w:rsidR="00000000" w:rsidDel="00000000" w:rsidP="00000000" w:rsidRDefault="00000000" w:rsidRPr="00000000" w14:paraId="0000001C">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The PIC-approved R100 billion gas investment strategy includes funding for LNG import terminals and conversion of Eskom's Ankerlig and Gourikwa peaker plants to gas, as well as a proposed 3,000 MW gas-to-power project at Richards Bay.</w:t>
      </w:r>
    </w:p>
    <w:p w:rsidR="00000000" w:rsidDel="00000000" w:rsidP="00000000" w:rsidRDefault="00000000" w:rsidRPr="00000000" w14:paraId="0000001D">
      <w:pPr>
        <w:spacing w:after="240" w:befor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spacing w:after="240" w:before="240" w:lineRule="auto"/>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Regulatory &amp; Policy Framework</w:t>
      </w:r>
    </w:p>
    <w:p w:rsidR="00000000" w:rsidDel="00000000" w:rsidP="00000000" w:rsidRDefault="00000000" w:rsidRPr="00000000" w14:paraId="0000001F">
      <w:pPr>
        <w:numPr>
          <w:ilvl w:val="0"/>
          <w:numId w:val="4"/>
        </w:numPr>
        <w:spacing w:after="240" w:befor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Upstream Petroleum Resources Development Act (UPRDA), 2024</w:t>
      </w:r>
    </w:p>
    <w:p w:rsidR="00000000" w:rsidDel="00000000" w:rsidP="00000000" w:rsidRDefault="00000000" w:rsidRPr="00000000" w14:paraId="00000020">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UPRDA represents the most comprehensive overhaul of South Africa's upstream legal framework in decades. Key provisions include:</w:t>
      </w:r>
    </w:p>
    <w:p w:rsidR="00000000" w:rsidDel="00000000" w:rsidP="00000000" w:rsidRDefault="00000000" w:rsidRPr="00000000" w14:paraId="00000021">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tab/>
        <w:t xml:space="preserve">A mandatory 20% carried interest for the state in all new petroleum rights, vested through the SANPC.</w:t>
      </w:r>
    </w:p>
    <w:p w:rsidR="00000000" w:rsidDel="00000000" w:rsidP="00000000" w:rsidRDefault="00000000" w:rsidRPr="00000000" w14:paraId="00000022">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tab/>
        <w:t xml:space="preserve">A minimum 10% Black (Historically Disadvantaged Person) participation requirement formalising Broad-Based Black Economic Empowerment (B-BBEE) compliance in the sector.</w:t>
      </w:r>
    </w:p>
    <w:p w:rsidR="00000000" w:rsidDel="00000000" w:rsidP="00000000" w:rsidRDefault="00000000" w:rsidRPr="00000000" w14:paraId="00000023">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tab/>
        <w:t xml:space="preserve">Use-it-or-lose-it principles for upstream infrastructure, aimed at preventing infrastructure hoarding and improving third-party access.</w:t>
      </w:r>
    </w:p>
    <w:p w:rsidR="00000000" w:rsidDel="00000000" w:rsidP="00000000" w:rsidRDefault="00000000" w:rsidRPr="00000000" w14:paraId="00000024">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t>
        <w:tab/>
        <w:t xml:space="preserve">Streamlined licensing and Environmental and Social Impact Assessment (ESIA) frameworks.</w:t>
      </w:r>
    </w:p>
    <w:p w:rsidR="00000000" w:rsidDel="00000000" w:rsidP="00000000" w:rsidRDefault="00000000" w:rsidRPr="00000000" w14:paraId="00000025">
      <w:pPr>
        <w:spacing w:after="240" w:befor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6">
      <w:pPr>
        <w:spacing w:after="240" w:befor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numPr>
          <w:ilvl w:val="0"/>
          <w:numId w:val="8"/>
        </w:numPr>
        <w:spacing w:after="240" w:befor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South African National Petroleum Company (SANPC)</w:t>
      </w:r>
    </w:p>
    <w:p w:rsidR="00000000" w:rsidDel="00000000" w:rsidP="00000000" w:rsidRDefault="00000000" w:rsidRPr="00000000" w14:paraId="00000028">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SANPC strengthened the strategic oil and gas interests of the state by merging the Strategic Fuel Fund, iGas, and the viable operational assets of PetroSA. The entity is intended to function as an active commercial participant, holding equity stakes, managing strategic petroleum reserves, and overseeing import logistics. The SANPC has already taken over management of strategic oil imports previously handled by PetroSA and the Strategic Fuel Fund separately.</w:t>
      </w:r>
    </w:p>
    <w:p w:rsidR="00000000" w:rsidDel="00000000" w:rsidP="00000000" w:rsidRDefault="00000000" w:rsidRPr="00000000" w14:paraId="00000029">
      <w:pPr>
        <w:numPr>
          <w:ilvl w:val="0"/>
          <w:numId w:val="7"/>
        </w:numPr>
        <w:spacing w:after="240" w:before="240" w:lineRule="auto"/>
        <w:ind w:left="72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Petroleum Products Bill (2024) &amp; IRP 2025</w:t>
      </w:r>
    </w:p>
    <w:p w:rsidR="00000000" w:rsidDel="00000000" w:rsidP="00000000" w:rsidRDefault="00000000" w:rsidRPr="00000000" w14:paraId="0000002A">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draft Petroleum Products Bill, published for public comment in October 2024, seeks to streamline licensing and compliance across the downstream sector. Simultaneously, the Integrated Resource Plan (IRP 2025) formally incorporates natural gas, with a target of 6 GW of gas-to-power capacity by 2030. This creates a clear policy signal to LNG importers, pipeline developers, and gas-to-power investors. </w:t>
      </w:r>
    </w:p>
    <w:p w:rsidR="00000000" w:rsidDel="00000000" w:rsidP="00000000" w:rsidRDefault="00000000" w:rsidRPr="00000000" w14:paraId="0000002B">
      <w:pPr>
        <w:pStyle w:val="Heading3"/>
        <w:keepNext w:val="0"/>
        <w:keepLines w:val="0"/>
        <w:spacing w:before="280" w:lineRule="auto"/>
        <w:rPr>
          <w:rFonts w:ascii="Century Gothic" w:cs="Century Gothic" w:eastAsia="Century Gothic" w:hAnsi="Century Gothic"/>
          <w:b w:val="1"/>
          <w:bCs w:val="1"/>
          <w:color w:val="000000"/>
          <w:sz w:val="26"/>
          <w:szCs w:val="26"/>
        </w:rPr>
      </w:pPr>
      <w:bookmarkStart w:colFirst="0" w:colLast="0" w:name="_chjgpyh2c3k7" w:id="2"/>
      <w:bookmarkEnd w:id="2"/>
      <w:r w:rsidDel="00000000" w:rsidR="00000000" w:rsidRPr="00000000">
        <w:rPr>
          <w:rFonts w:ascii="Century Gothic" w:cs="Century Gothic" w:eastAsia="Century Gothic" w:hAnsi="Century Gothic"/>
          <w:b w:val="1"/>
          <w:bCs w:val="1"/>
          <w:color w:val="000000"/>
          <w:sz w:val="26"/>
          <w:szCs w:val="26"/>
          <w:rtl w:val="0"/>
        </w:rPr>
        <w:t xml:space="preserve">Challenges &amp; Risks</w:t>
      </w:r>
    </w:p>
    <w:p w:rsidR="00000000" w:rsidDel="00000000" w:rsidP="00000000" w:rsidRDefault="00000000" w:rsidRPr="00000000" w14:paraId="0000002C">
      <w:pPr>
        <w:numPr>
          <w:ilvl w:val="0"/>
          <w:numId w:val="2"/>
        </w:numPr>
        <w:spacing w:after="20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Regulatory &amp; Legal Delays.</w:t>
      </w:r>
    </w:p>
    <w:p w:rsidR="00000000" w:rsidDel="00000000" w:rsidP="00000000" w:rsidRDefault="00000000" w:rsidRPr="00000000" w14:paraId="0000002D">
      <w:pPr>
        <w:numPr>
          <w:ilvl w:val="0"/>
          <w:numId w:val="2"/>
        </w:numPr>
        <w:spacing w:after="200" w:before="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Fiscal/Commercial Terms</w:t>
      </w:r>
    </w:p>
    <w:p w:rsidR="00000000" w:rsidDel="00000000" w:rsidP="00000000" w:rsidRDefault="00000000" w:rsidRPr="00000000" w14:paraId="0000002E">
      <w:pPr>
        <w:numPr>
          <w:ilvl w:val="0"/>
          <w:numId w:val="2"/>
        </w:numPr>
        <w:spacing w:after="200" w:before="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Refining Infrastructure Gaps</w:t>
      </w:r>
    </w:p>
    <w:p w:rsidR="00000000" w:rsidDel="00000000" w:rsidP="00000000" w:rsidRDefault="00000000" w:rsidRPr="00000000" w14:paraId="0000002F">
      <w:pPr>
        <w:numPr>
          <w:ilvl w:val="0"/>
          <w:numId w:val="2"/>
        </w:numPr>
        <w:spacing w:after="200" w:before="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Environmental &amp; Social Opposition</w:t>
      </w:r>
    </w:p>
    <w:p w:rsidR="00000000" w:rsidDel="00000000" w:rsidP="00000000" w:rsidRDefault="00000000" w:rsidRPr="00000000" w14:paraId="00000030">
      <w:pPr>
        <w:numPr>
          <w:ilvl w:val="0"/>
          <w:numId w:val="2"/>
        </w:numPr>
        <w:spacing w:after="20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Global Price Volatility</w:t>
      </w:r>
    </w:p>
    <w:p w:rsidR="00000000" w:rsidDel="00000000" w:rsidP="00000000" w:rsidRDefault="00000000" w:rsidRPr="00000000" w14:paraId="00000031">
      <w:pPr>
        <w:spacing w:after="200" w:before="24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rFonts w:ascii="Century Gothic" w:cs="Century Gothic" w:eastAsia="Century Gothic" w:hAnsi="Century Gothic"/>
          <w:b w:val="1"/>
          <w:bCs w:val="1"/>
          <w:color w:val="000000"/>
          <w:sz w:val="26"/>
          <w:szCs w:val="26"/>
        </w:rPr>
      </w:pPr>
      <w:bookmarkStart w:colFirst="0" w:colLast="0" w:name="_p98opzhoi654" w:id="3"/>
      <w:bookmarkEnd w:id="3"/>
      <w:r w:rsidDel="00000000" w:rsidR="00000000" w:rsidRPr="00000000">
        <w:rPr>
          <w:rFonts w:ascii="Century Gothic" w:cs="Century Gothic" w:eastAsia="Century Gothic" w:hAnsi="Century Gothic"/>
          <w:b w:val="1"/>
          <w:bCs w:val="1"/>
          <w:color w:val="000000"/>
          <w:sz w:val="26"/>
          <w:szCs w:val="26"/>
          <w:rtl w:val="0"/>
        </w:rPr>
        <w:t xml:space="preserve">Opportunities &amp; Investment Outlook</w:t>
      </w:r>
    </w:p>
    <w:p w:rsidR="00000000" w:rsidDel="00000000" w:rsidP="00000000" w:rsidRDefault="00000000" w:rsidRPr="00000000" w14:paraId="00000033">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Despite the risk factors outlined above, South Africa presents a compelling medium-to-long-term investment opportunity across the hydrocarbon value chain, underpinned by the following factors:</w:t>
      </w:r>
    </w:p>
    <w:p w:rsidR="00000000" w:rsidDel="00000000" w:rsidP="00000000" w:rsidRDefault="00000000" w:rsidRPr="00000000" w14:paraId="00000034">
      <w:pPr>
        <w:numPr>
          <w:ilvl w:val="0"/>
          <w:numId w:val="3"/>
        </w:numPr>
        <w:spacing w:after="0" w:afterAutospacing="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Orange Basin offers analogous geological structures to Namibia's prolific Venus discovery. </w:t>
      </w:r>
    </w:p>
    <w:p w:rsidR="00000000" w:rsidDel="00000000" w:rsidP="00000000" w:rsidRDefault="00000000" w:rsidRPr="00000000" w14:paraId="00000035">
      <w:pPr>
        <w:numPr>
          <w:ilvl w:val="0"/>
          <w:numId w:val="3"/>
        </w:numPr>
        <w:spacing w:after="0" w:afterAutospacing="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Karoo Basin represents a multi-decade supply option, With the moratorium lifted and 209 tcf of estimated recoverable reserves. First commercial production remains at least 5-8 years away, but early movers in exploration will gain strategic advantage.</w:t>
      </w:r>
    </w:p>
    <w:p w:rsidR="00000000" w:rsidDel="00000000" w:rsidP="00000000" w:rsidRDefault="00000000" w:rsidRPr="00000000" w14:paraId="00000036">
      <w:pPr>
        <w:numPr>
          <w:ilvl w:val="0"/>
          <w:numId w:val="3"/>
        </w:numPr>
        <w:spacing w:after="24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IRP 2025 target of 6 GW of gas-to-power by 2030, combined with structural electricity shortfalls, creates clear revenue visibility for gas supply and infrastructure projects.</w:t>
      </w:r>
    </w:p>
    <w:p w:rsidR="00000000" w:rsidDel="00000000" w:rsidP="00000000" w:rsidRDefault="00000000" w:rsidRPr="00000000" w14:paraId="00000037">
      <w:pPr>
        <w:spacing w:after="240" w:befor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spacing w:after="240" w:before="240" w:lineRule="auto"/>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Conclusion</w:t>
      </w:r>
    </w:p>
    <w:p w:rsidR="00000000" w:rsidDel="00000000" w:rsidP="00000000" w:rsidRDefault="00000000" w:rsidRPr="00000000" w14:paraId="00000039">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South Africa’s oil and gas sector is evolving from an underdeveloped base into a gas-focused growth market with long-term exploration upside. Key offshore discoveries in the Outeniqua Basin could support domestic gas supply, power generation, and infrastructure like the Mossel Bay GTL Refinery, while the Orange Basin offers high-risk oil potential.However, progress depends on regulatory clarity, investment conditions, and infrastructure development, under the oversight of the Petroleum Agency South Africa. Overall, South Africa is best viewed as a long-term, gas-led investment play with upside tied to frontier exploration success.</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