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18" w:rsidRDefault="00526218" w:rsidP="00526218">
      <w:pPr>
        <w:pStyle w:val="BodyText"/>
        <w:spacing w:line="276" w:lineRule="auto"/>
        <w:ind w:left="0"/>
        <w:jc w:val="both"/>
        <w:rPr>
          <w:b/>
        </w:rPr>
      </w:pPr>
      <w:r>
        <w:rPr>
          <w:b/>
        </w:rPr>
        <w:t xml:space="preserve">Critical Evaluation of Bidding and Pricing Strategies in Oil and Gas </w:t>
      </w:r>
      <w:r w:rsidR="00757F9E">
        <w:rPr>
          <w:b/>
        </w:rPr>
        <w:t>Lease Auctions</w:t>
      </w:r>
    </w:p>
    <w:p w:rsidR="00526218" w:rsidRDefault="00526218" w:rsidP="00526218">
      <w:pPr>
        <w:pStyle w:val="BodyText"/>
        <w:spacing w:line="276" w:lineRule="auto"/>
        <w:ind w:left="0"/>
        <w:jc w:val="center"/>
        <w:rPr>
          <w:b/>
        </w:rPr>
      </w:pPr>
    </w:p>
    <w:p w:rsidR="00526218" w:rsidRDefault="00526218" w:rsidP="00526218">
      <w:pPr>
        <w:pStyle w:val="BodyText"/>
        <w:spacing w:line="276" w:lineRule="auto"/>
        <w:ind w:left="0"/>
        <w:jc w:val="center"/>
        <w:rPr>
          <w:b/>
        </w:rPr>
      </w:pPr>
      <w:r>
        <w:rPr>
          <w:b/>
        </w:rPr>
        <w:t>ABSTRACT</w:t>
      </w:r>
    </w:p>
    <w:p w:rsidR="00526218" w:rsidRDefault="00526218" w:rsidP="00526218">
      <w:pPr>
        <w:jc w:val="both"/>
        <w:rPr>
          <w:rFonts w:ascii="Times New Roman" w:hAnsi="Times New Roman" w:cs="Times New Roman"/>
          <w:i/>
        </w:rPr>
      </w:pPr>
      <w:r>
        <w:rPr>
          <w:rFonts w:ascii="Times New Roman" w:hAnsi="Times New Roman" w:cs="Times New Roman"/>
          <w:i/>
        </w:rPr>
        <w:t>Oil and gas lease auctions are critical to upstream petroleum</w:t>
      </w:r>
      <w:r>
        <w:rPr>
          <w:rFonts w:ascii="Times New Roman" w:hAnsi="Times New Roman" w:cs="Times New Roman"/>
          <w:i/>
          <w:lang w:val="en-GB"/>
        </w:rPr>
        <w:t xml:space="preserve"> industry</w:t>
      </w:r>
      <w:r>
        <w:rPr>
          <w:rFonts w:ascii="Times New Roman" w:hAnsi="Times New Roman" w:cs="Times New Roman"/>
          <w:i/>
        </w:rPr>
        <w:t xml:space="preserve"> development, shaping access to exploration rights and generating substantial revenue</w:t>
      </w:r>
      <w:r>
        <w:rPr>
          <w:rFonts w:ascii="Times New Roman" w:hAnsi="Times New Roman" w:cs="Times New Roman"/>
          <w:i/>
          <w:lang w:val="en-GB"/>
        </w:rPr>
        <w:t xml:space="preserve"> for host government and contractor</w:t>
      </w:r>
      <w:r>
        <w:rPr>
          <w:rFonts w:ascii="Times New Roman" w:hAnsi="Times New Roman" w:cs="Times New Roman"/>
          <w:i/>
        </w:rPr>
        <w:t>. In Nigeria, these auctions operate under conditions of uncertainty, regulatory complexity, volatile global oil prices</w:t>
      </w:r>
      <w:r>
        <w:rPr>
          <w:rFonts w:ascii="Times New Roman" w:hAnsi="Times New Roman" w:cs="Times New Roman"/>
          <w:i/>
          <w:lang w:val="en-GB"/>
        </w:rPr>
        <w:t xml:space="preserve"> and with the influence of global geopolitics</w:t>
      </w:r>
      <w:r>
        <w:rPr>
          <w:rFonts w:ascii="Times New Roman" w:hAnsi="Times New Roman" w:cs="Times New Roman"/>
          <w:i/>
        </w:rPr>
        <w:t>. This study critically evaluates bidding strategies employed by firms in Nigeria’s upstream sector, guided by Game Theory and Auction Theory. A descriptive survey design was adopted, with data collected from regulators, indigenous oil companies, international oil companies, and service providers to capture diverse perspectives on auction practices.</w:t>
      </w:r>
      <w:r>
        <w:rPr>
          <w:rFonts w:ascii="Times New Roman" w:hAnsi="Times New Roman" w:cs="Times New Roman"/>
          <w:i/>
          <w:lang w:val="en-GB"/>
        </w:rPr>
        <w:t xml:space="preserve"> </w:t>
      </w:r>
      <w:r>
        <w:rPr>
          <w:rFonts w:ascii="Times New Roman" w:hAnsi="Times New Roman" w:cs="Times New Roman"/>
          <w:i/>
        </w:rPr>
        <w:t>Findings reveal that conservative bidding dominates, reflecting risk</w:t>
      </w:r>
      <w:r>
        <w:rPr>
          <w:rFonts w:ascii="Times New Roman" w:hAnsi="Times New Roman" w:cs="Times New Roman"/>
          <w:i/>
        </w:rPr>
        <w:noBreakHyphen/>
        <w:t>averse tendencies driven by capital intensity, geological uncertainty, and macroeconomic volatility. Over 70% of surveyed firms reported adopting cautious strategies, while joint ventures emerged as a preferred mechanism to share risks and mitigate the “winner’s curse.” Auction design and government policies strongly influence outcomes, with transparency tools such as digital procurement platforms improving confidence but not fully eliminating uncertainty. Comparative analysis shows Nigeria’s auctions remain less competitive than global benchmarks, largely due to regulatory unpredictability and limited access to reliable geological data.</w:t>
      </w:r>
      <w:r>
        <w:rPr>
          <w:rFonts w:ascii="Times New Roman" w:hAnsi="Times New Roman" w:cs="Times New Roman"/>
          <w:i/>
          <w:lang w:val="en-GB"/>
        </w:rPr>
        <w:t xml:space="preserve"> </w:t>
      </w:r>
      <w:r>
        <w:rPr>
          <w:rFonts w:ascii="Times New Roman" w:hAnsi="Times New Roman" w:cs="Times New Roman"/>
          <w:i/>
        </w:rPr>
        <w:t xml:space="preserve">The study concludes that while risk aversion and collaboration define current bidding strategies, reforms hold the potential to reshape behavior. Improved regulatory clarity, stronger geological data disclosure, and integration of risk management frameworks can enhance efficiency and competitiveness. </w:t>
      </w:r>
      <w:r>
        <w:rPr>
          <w:rFonts w:ascii="Times New Roman" w:hAnsi="Times New Roman" w:cs="Times New Roman"/>
          <w:i/>
          <w:lang w:val="en-GB"/>
        </w:rPr>
        <w:t xml:space="preserve">This study provides insights into application of </w:t>
      </w:r>
      <w:r>
        <w:rPr>
          <w:rFonts w:ascii="Times New Roman" w:hAnsi="Times New Roman" w:cs="Times New Roman"/>
          <w:i/>
        </w:rPr>
        <w:t>petroleum economics</w:t>
      </w:r>
      <w:r>
        <w:rPr>
          <w:rFonts w:ascii="Times New Roman" w:hAnsi="Times New Roman" w:cs="Times New Roman"/>
          <w:i/>
          <w:lang w:val="en-GB"/>
        </w:rPr>
        <w:t xml:space="preserve"> principles</w:t>
      </w:r>
      <w:r>
        <w:rPr>
          <w:rFonts w:ascii="Times New Roman" w:hAnsi="Times New Roman" w:cs="Times New Roman"/>
          <w:i/>
        </w:rPr>
        <w:t xml:space="preserve"> to auction design, influencing strategic decision</w:t>
      </w:r>
      <w:r>
        <w:rPr>
          <w:rFonts w:ascii="Times New Roman" w:hAnsi="Times New Roman" w:cs="Times New Roman"/>
          <w:i/>
        </w:rPr>
        <w:noBreakHyphen/>
        <w:t>making and offering actionable insights for policymakers, regulators, and industry leaders seeking to strengthen Nigeria’s upstream oil and gas sector in a globally competitive environment.</w:t>
      </w:r>
    </w:p>
    <w:p w:rsidR="00526218" w:rsidRDefault="00526218" w:rsidP="00526218">
      <w:pPr>
        <w:pStyle w:val="BodyText"/>
        <w:spacing w:line="276" w:lineRule="auto"/>
        <w:ind w:left="0"/>
        <w:jc w:val="both"/>
        <w:rPr>
          <w:i/>
          <w:iCs/>
        </w:rPr>
      </w:pPr>
      <w:r>
        <w:rPr>
          <w:b/>
          <w:bCs/>
        </w:rPr>
        <w:t>Keywords:</w:t>
      </w:r>
      <w:r>
        <w:rPr>
          <w:bCs/>
        </w:rPr>
        <w:t xml:space="preserve"> </w:t>
      </w:r>
      <w:r>
        <w:rPr>
          <w:i/>
          <w:iCs/>
        </w:rPr>
        <w:t>Bidding Strategy, Oil and Gas Lease Auctions, Game Theory</w:t>
      </w:r>
    </w:p>
    <w:p w:rsidR="00526218" w:rsidRDefault="00526218" w:rsidP="00526218">
      <w:pPr>
        <w:pStyle w:val="BodyText"/>
        <w:spacing w:line="276" w:lineRule="auto"/>
        <w:jc w:val="both"/>
        <w:rPr>
          <w:i/>
          <w:iCs/>
        </w:rPr>
      </w:pPr>
    </w:p>
    <w:p w:rsidR="00526218" w:rsidRDefault="00526218" w:rsidP="00526218">
      <w:pPr>
        <w:spacing w:line="276" w:lineRule="auto"/>
        <w:rPr>
          <w:rFonts w:ascii="Times New Roman" w:hAnsi="Times New Roman" w:cs="Times New Roman"/>
          <w:b/>
          <w:bCs/>
          <w:sz w:val="24"/>
          <w:szCs w:val="24"/>
        </w:rPr>
      </w:pPr>
      <w:r>
        <w:rPr>
          <w:rFonts w:ascii="Times New Roman" w:hAnsi="Times New Roman" w:cs="Times New Roman"/>
          <w:b/>
          <w:bCs/>
          <w:sz w:val="24"/>
          <w:szCs w:val="24"/>
        </w:rPr>
        <w:t>1. Introduction</w:t>
      </w:r>
    </w:p>
    <w:p w:rsidR="00526218" w:rsidRDefault="00526218" w:rsidP="00526218">
      <w:pPr>
        <w:pStyle w:val="BodyText"/>
        <w:spacing w:line="276" w:lineRule="auto"/>
        <w:jc w:val="both"/>
      </w:pPr>
      <w:r>
        <w:t>The oil and gas industry occupies a central position in the global economy, serving as a critical driver of growth, energy security, and technological innovation. Its influence is so profound that it is often described as the backbone of international development (</w:t>
      </w:r>
      <w:proofErr w:type="spellStart"/>
      <w:r>
        <w:t>Gylych</w:t>
      </w:r>
      <w:proofErr w:type="spellEnd"/>
      <w:r>
        <w:t xml:space="preserve"> &amp; Muhammed, 2016). Among its segments, the upstream domain comprising exploration, drilling, and production demands particular attention due to its capital intensity, operational complexity, and competitive nature. With oil supplying approximately 53% of the world’s energy requirements (</w:t>
      </w:r>
      <w:proofErr w:type="spellStart"/>
      <w:r>
        <w:t>Nlerum</w:t>
      </w:r>
      <w:proofErr w:type="spellEnd"/>
      <w:r>
        <w:t>, 2010), nations are compelled to secure production capabilities or ensure uninterrupted access to petroleum flows, often through aggressive policy and investment strategies. A key mechanism for allocating hydrocarbon reserves in the upstream sector is the lease auction system, where firms bid competitively for access to hydrocarbon-rich acreage. These auctions are not only instruments of resource allocation but also significant sources of public revenue, with their effectiveness depending on transparent and systematic evaluation processes that ensure fairness, optimize resource utilization, and attract competent operators (</w:t>
      </w:r>
      <w:proofErr w:type="spellStart"/>
      <w:r>
        <w:t>Naiyeju</w:t>
      </w:r>
      <w:proofErr w:type="spellEnd"/>
      <w:r>
        <w:t xml:space="preserve">, </w:t>
      </w:r>
      <w:proofErr w:type="spellStart"/>
      <w:r>
        <w:t>Ogedengbe</w:t>
      </w:r>
      <w:proofErr w:type="spellEnd"/>
      <w:r>
        <w:t xml:space="preserve">, &amp; </w:t>
      </w:r>
      <w:proofErr w:type="spellStart"/>
      <w:r>
        <w:t>Aderoba</w:t>
      </w:r>
      <w:proofErr w:type="spellEnd"/>
      <w:r>
        <w:t xml:space="preserve">, 2013).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Despite their importance, bidding outcomes in Nigeria’s upstream petroleum sector are frequently undermined by non-standardized evaluation processes, uncertainty in geological data, and exposure to the “winner’s curse.” Existing studies have examined auction efficiency and policy frameworks, yet limited attention has been given to how firms internally develop </w:t>
      </w:r>
      <w:r>
        <w:lastRenderedPageBreak/>
        <w:t xml:space="preserve">bidding strategies under uncertainty. This gap underscores the need to investigate firm-level strategic behavior within Nigeria’s evolving regulatory environment. Accordingly, this study seeks to determine the extent to which auction design influences bidding behavior using regression analysis, assess the impact of oil price volatility and geological uncertainty on bidding strategies, evaluate the role of joint ventures and alliances in mitigating risk exposure, and examine how digital procurement tools contribute to transparency and efficiency in lease auctions.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The significance of this study lies in its contribution to academic literature by applying Game Theory and Auction Theory to Nigeria’s upstream sector, offering insights into firm-level bidding strategies under uncertainty. For industry practitioners, the findings provide guidance on risk management, strategic alliances, and digital procurement adoption, while policymakers benefit from evidence-based recommendations to enhance regulatory transparency, improve geological data provision, and strengthen auction competitiveness. The scope of the study is limited to Nigeria’s upstream oil and gas lease auctions, focusing on bidding strategies among regulators, indigenous and international operators, and service firms. Limitations include time constraints in data collection, potential respondent bias in survey responses, and reliance on secondary data that may not fully capture real-time market dynamics. These constraints highlight the need for cautious interpretation of results while reinforcing the relevance of the study to ongoing reforms in Nigeria’s petroleum sector.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Oil and gas lease auctions involve complex decisions, especially when companies compete for valuable resources. To understand how </w:t>
      </w:r>
      <w:proofErr w:type="gramStart"/>
      <w:r>
        <w:t>firms</w:t>
      </w:r>
      <w:proofErr w:type="gramEnd"/>
      <w:r>
        <w:t xml:space="preserve"> behave, Game Theory provides a useful analytical framework. Pioneered by John von Neumann and Oskar Morgenstern (Theory of Games and Economic </w:t>
      </w:r>
      <w:proofErr w:type="spellStart"/>
      <w:r>
        <w:t>Behaviour</w:t>
      </w:r>
      <w:proofErr w:type="spellEnd"/>
      <w:r>
        <w:t xml:space="preserve">, 1944), Game Theory focuses on situations where the outcome for each firm depends not only on its own choices but also on the choices made by others. This makes it especially relevant for competitive bidding, where firms must anticipate rival strategies. In oil and gas lease auctions, each company seeks to win the lease by submitting a strong bid, but they also know that competitors are attempting the same. This creates a non-cooperative game, where each firm acts independently to maximize its own benefit. To succeed, firms must estimate the value of the lease and predict how much their competitors might bid (Nowak &amp; Sigmund, 2004).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Nash (1951) expanded Game Theory by introducing the concept of Nash Equilibrium, which describes a condition under which no bidder can improve its outcome by changing its strategy alone, assuming other firms maintain theirs. This principle helps explain why firms often settle on specific bidding approaches in sealed-bid auctions, where companies submit their bids without knowing what others are offering. This is because of the limited information and uncertainty such as unclear geological data or unpredictable oil prices; firms may end up overbidding. This leads to what economists call the “winner’s curse,” where the winning bid turns out to exceed the actual value of the lease. A useful example from Game Theory is the prisoner’s dilemma, which shows how individually rational decisions can lead to poor collective outcomes. In auctions, this occurs when firms overbid out of fear of losing, even though more cautious bidding might benefit all participants (Kuhn, 2019).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By applying Game Theory, this study clarifies how firms in Nigeria’s upstream sector formulate bidding strategies, anticipate competitive responses, and manage risk in high-stakes auction processes. </w:t>
      </w:r>
      <w:proofErr w:type="spellStart"/>
      <w:r>
        <w:t>Ogedengbe</w:t>
      </w:r>
      <w:proofErr w:type="spellEnd"/>
      <w:r>
        <w:t xml:space="preserve"> (2013) addressed the problem of poor bid evaluation systems in Nigeria’s oil and gas sector by proposing standardized bid evaluation models, introducing quantitative methods such as weighted averages, goal programming, and value analysis to improve fairness and efficiency. </w:t>
      </w:r>
      <w:proofErr w:type="spellStart"/>
      <w:r>
        <w:t>Elumelu</w:t>
      </w:r>
      <w:proofErr w:type="spellEnd"/>
      <w:r>
        <w:t xml:space="preserve"> (2007) compared Nigeria’s lease system with that of the United States, noting that Nigeria’s centralized system often leads to delays and unclear bidding processes, while the U.S. model of private ownership and market-driven contracts allows more flexibility. Arps (1965) pioneered quantitative approaches to sealed bidding using historical bid data to forecast optimal bid levels, a model that remains relevant in offshore bidding strategies.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Wang Jian (2021) advanced the discourse on bidding strategies by situating them within the broader context of international oil and gas licensing rounds. His work underscores the necessity for firms to align corporate objectives with the specific institutional and regulatory frameworks of host countries. Drawing on Brazil’s 14</w:t>
      </w:r>
      <w:r>
        <w:rPr>
          <w:vertAlign w:val="superscript"/>
        </w:rPr>
        <w:t>th</w:t>
      </w:r>
      <w:r>
        <w:t xml:space="preserve"> licensing rounds as an illustrative case, Wang developed a multidimensional approach that integrates geological success probabilities, commercial viability assessments, and competitor behavior into the bidding calculus. </w:t>
      </w:r>
      <w:proofErr w:type="spellStart"/>
      <w:r>
        <w:t>Omorodion</w:t>
      </w:r>
      <w:proofErr w:type="spellEnd"/>
      <w:r>
        <w:t xml:space="preserve"> et al. (2022) explored electronic procurement tools in Nigeria’s upstream sector, finding that digital tools enhance transparency and efficiency, although electronic auctioning had a weaker statistical impact.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Despite these contributions, several research gaps remain. Most existing studies either focus on macro-level policy or regulatory evaluation, with limited attention to how firms internally develop bidding strategies under uncertainty. There is also a lack of empirical research linking Nigeria’s Petroleum Industry Act (2021) to firm-level bidding behavior. Furthermore, while electronic procurement tools are increasingly adopted, their strategic implications for auction competitiveness are not well understood. This research addresses these gaps by examining how firms in Nigeria formulate bidding strategies in response to auction design, market volatility, and competitive dynamics. </w:t>
      </w:r>
    </w:p>
    <w:p w:rsidR="00526218" w:rsidRDefault="00526218" w:rsidP="00526218">
      <w:pPr>
        <w:pStyle w:val="BodyText"/>
        <w:spacing w:line="276" w:lineRule="auto"/>
        <w:ind w:left="0"/>
        <w:jc w:val="both"/>
      </w:pPr>
    </w:p>
    <w:p w:rsidR="00526218" w:rsidRDefault="00526218" w:rsidP="00526218">
      <w:pPr>
        <w:spacing w:line="276" w:lineRule="auto"/>
        <w:rPr>
          <w:rFonts w:ascii="Times New Roman" w:hAnsi="Times New Roman" w:cs="Times New Roman"/>
          <w:b/>
          <w:bCs/>
          <w:sz w:val="24"/>
          <w:szCs w:val="24"/>
        </w:rPr>
      </w:pPr>
      <w:r>
        <w:rPr>
          <w:rFonts w:ascii="Times New Roman" w:hAnsi="Times New Roman" w:cs="Times New Roman"/>
          <w:b/>
          <w:bCs/>
          <w:sz w:val="24"/>
          <w:szCs w:val="24"/>
        </w:rPr>
        <w:t>2. Methodology</w:t>
      </w:r>
    </w:p>
    <w:p w:rsidR="00526218" w:rsidRDefault="00526218" w:rsidP="00526218">
      <w:pPr>
        <w:pStyle w:val="BodyText"/>
        <w:spacing w:line="276" w:lineRule="auto"/>
        <w:jc w:val="both"/>
        <w:rPr>
          <w:b/>
          <w:bCs/>
        </w:rPr>
      </w:pPr>
      <w:r>
        <w:rPr>
          <w:b/>
          <w:bCs/>
        </w:rPr>
        <w:t>2.1 Research Design</w:t>
      </w:r>
    </w:p>
    <w:p w:rsidR="00526218" w:rsidRDefault="00526218" w:rsidP="00526218">
      <w:pPr>
        <w:pStyle w:val="BodyText"/>
        <w:spacing w:line="276" w:lineRule="auto"/>
        <w:jc w:val="both"/>
      </w:pPr>
      <w:r>
        <w:t xml:space="preserve">This study adopts a descriptive survey design, a methodological choice well-suited to capturing the perceptions, strategies, and decision-making processes of firms engaged in oil and gas lease auctions. In petroleum economics, where uncertainty and strategic interaction dominate, surveys provide a structured means of eliciting insights from industry practitioners who operate within complex regulatory and market environments. The descriptive design allows for both quantitative and qualitative interrogation of bidding </w:t>
      </w:r>
      <w:proofErr w:type="spellStart"/>
      <w:r>
        <w:t>behaviour</w:t>
      </w:r>
      <w:proofErr w:type="spellEnd"/>
      <w:r>
        <w:t xml:space="preserve">, ensuring that the analysis reflects the realities of Nigeria’s upstream sector rather than abstract theoretical assumptions.  </w:t>
      </w:r>
    </w:p>
    <w:p w:rsidR="00526218" w:rsidRDefault="00526218" w:rsidP="00526218">
      <w:pPr>
        <w:pStyle w:val="BodyText"/>
        <w:spacing w:line="276" w:lineRule="auto"/>
        <w:jc w:val="both"/>
      </w:pPr>
    </w:p>
    <w:p w:rsidR="00526218" w:rsidRDefault="00526218" w:rsidP="00526218">
      <w:pPr>
        <w:pStyle w:val="BodyText"/>
        <w:spacing w:line="276" w:lineRule="auto"/>
        <w:jc w:val="both"/>
        <w:rPr>
          <w:b/>
          <w:bCs/>
        </w:rPr>
      </w:pPr>
      <w:r>
        <w:rPr>
          <w:b/>
          <w:bCs/>
        </w:rPr>
        <w:lastRenderedPageBreak/>
        <w:t>2.2 Population and Sampling Techniques</w:t>
      </w:r>
    </w:p>
    <w:p w:rsidR="00526218" w:rsidRDefault="00526218" w:rsidP="00526218">
      <w:pPr>
        <w:pStyle w:val="BodyText"/>
        <w:spacing w:line="276" w:lineRule="auto"/>
        <w:jc w:val="both"/>
      </w:pPr>
      <w:r>
        <w:t xml:space="preserve">The population of interest comprises professionals directly involved in lease auctions and upstream petroleum operations. This includes regulatory officials within the Nigerian Upstream Petroleum Regulatory Commission (NUPRC), managers and economists from indigenous and international oil companies, and procurement and strategy specialists from oilfield service firms. Given the heterogeneity of this population, a purposive sampling technique was employed to ensure that respondents possessed the requisite expertise and practical exposure to bidding processes. To enhance representativeness, stratification was applied across three categories regulators, operators, and service providers thereby capturing perspectives from both policy and practice. The sample size was determined using statistical adequacy principles, balancing feasibility with the need for robust inferential analysis.  </w:t>
      </w:r>
    </w:p>
    <w:p w:rsidR="00526218" w:rsidRDefault="00526218" w:rsidP="00526218">
      <w:pPr>
        <w:pStyle w:val="BodyText"/>
        <w:spacing w:line="276" w:lineRule="auto"/>
        <w:jc w:val="both"/>
      </w:pPr>
    </w:p>
    <w:p w:rsidR="00526218" w:rsidRDefault="00526218" w:rsidP="00526218">
      <w:pPr>
        <w:pStyle w:val="BodyText"/>
        <w:spacing w:line="276" w:lineRule="auto"/>
        <w:jc w:val="both"/>
        <w:rPr>
          <w:b/>
          <w:bCs/>
        </w:rPr>
      </w:pPr>
      <w:r>
        <w:rPr>
          <w:b/>
          <w:bCs/>
        </w:rPr>
        <w:t>2.3 Data Collection Methods</w:t>
      </w:r>
    </w:p>
    <w:p w:rsidR="00526218" w:rsidRDefault="00526218" w:rsidP="00526218">
      <w:pPr>
        <w:pStyle w:val="BodyText"/>
        <w:spacing w:line="276" w:lineRule="auto"/>
        <w:jc w:val="both"/>
      </w:pPr>
      <w:r>
        <w:t xml:space="preserve">Primary data were collected through structured questionnaires designed to elicit both factual information and attitudinal responses. The instrument was divided into sections addressing the demographic and professional background of respondents, the types of bidding strategies employed, perceptions of auction design and regulatory frameworks, responses to uncertainty such as oil price volatility and geological data gaps, and competitive dynamics among firms. The questionnaire was pre-tested with a small group of industry professionals to ensure clarity, relevance, and reliability, with adjustments made to refine question wording and eliminate ambiguity. In addition, secondary data were sourced from regulatory reports, auction guidelines, and prior empirical studies, providing a triangulated basis for analysis.  </w:t>
      </w:r>
    </w:p>
    <w:p w:rsidR="00526218" w:rsidRDefault="00526218" w:rsidP="00526218">
      <w:pPr>
        <w:pStyle w:val="BodyText"/>
        <w:spacing w:line="276" w:lineRule="auto"/>
        <w:jc w:val="both"/>
      </w:pPr>
    </w:p>
    <w:p w:rsidR="00526218" w:rsidRDefault="00526218" w:rsidP="00526218">
      <w:pPr>
        <w:pStyle w:val="BodyText"/>
        <w:spacing w:line="276" w:lineRule="auto"/>
        <w:jc w:val="both"/>
        <w:rPr>
          <w:b/>
          <w:bCs/>
        </w:rPr>
      </w:pPr>
      <w:r>
        <w:rPr>
          <w:b/>
          <w:bCs/>
        </w:rPr>
        <w:t>2.4 Data Analysis Techniques</w:t>
      </w:r>
    </w:p>
    <w:p w:rsidR="00526218" w:rsidRDefault="00526218" w:rsidP="00526218">
      <w:pPr>
        <w:pStyle w:val="BodyText"/>
        <w:spacing w:line="276" w:lineRule="auto"/>
        <w:jc w:val="both"/>
      </w:pPr>
      <w:r>
        <w:t xml:space="preserve">Collected data were subjected to both descriptive and inferential statistical analysis. Descriptive statistics, including frequency distributions, mean scores, and relative importance indices were used to summarize respondent views and identify dominant bidding strategies. Inferential techniques, particularly regression analysis were employed to test relationships between auction design, market conditions, and bidding </w:t>
      </w:r>
      <w:proofErr w:type="spellStart"/>
      <w:r>
        <w:t>behaviour</w:t>
      </w:r>
      <w:proofErr w:type="spellEnd"/>
      <w:r>
        <w:t xml:space="preserve">. Comparative analysis was conducted to benchmark findings against prior studies, thereby situating Nigeria’s experience within broader global trends in petroleum economics. This analytical framework ensures that the study not only describes prevailing practices but also explains the causal linkages between institutional design, market uncertainty, and firm-level strategy.  </w:t>
      </w:r>
    </w:p>
    <w:p w:rsidR="00526218" w:rsidRDefault="00526218" w:rsidP="00526218">
      <w:pPr>
        <w:pStyle w:val="BodyText"/>
        <w:spacing w:line="276" w:lineRule="auto"/>
        <w:jc w:val="both"/>
      </w:pPr>
    </w:p>
    <w:p w:rsidR="00526218" w:rsidRDefault="00526218" w:rsidP="00526218">
      <w:pPr>
        <w:pStyle w:val="BodyText"/>
        <w:spacing w:line="276" w:lineRule="auto"/>
        <w:jc w:val="both"/>
        <w:rPr>
          <w:b/>
          <w:bCs/>
        </w:rPr>
      </w:pPr>
      <w:r>
        <w:rPr>
          <w:b/>
          <w:bCs/>
        </w:rPr>
        <w:t>2.5 Ethical Considerations</w:t>
      </w:r>
    </w:p>
    <w:p w:rsidR="00526218" w:rsidRDefault="00526218" w:rsidP="00526218">
      <w:pPr>
        <w:pStyle w:val="BodyText"/>
        <w:spacing w:line="276" w:lineRule="auto"/>
        <w:jc w:val="both"/>
      </w:pPr>
      <w:r>
        <w:t xml:space="preserve">Ethical integrity was maintained throughout the research process. Participation was voluntary, and respondents were assured of confidentiality and anonymity. The study adhered to established ethical standards in social science research, ensuring that data collection and analysis were conducted with transparency, respect, and accountability.  </w:t>
      </w:r>
    </w:p>
    <w:p w:rsidR="00526218" w:rsidRDefault="00526218" w:rsidP="00526218">
      <w:pPr>
        <w:pStyle w:val="BodyText"/>
        <w:spacing w:line="276" w:lineRule="auto"/>
        <w:rPr>
          <w:bCs/>
        </w:rPr>
      </w:pPr>
    </w:p>
    <w:p w:rsidR="00526218" w:rsidRDefault="00526218" w:rsidP="00526218">
      <w:pPr>
        <w:spacing w:line="276" w:lineRule="auto"/>
        <w:rPr>
          <w:rFonts w:ascii="Times New Roman" w:hAnsi="Times New Roman" w:cs="Times New Roman"/>
          <w:b/>
          <w:bCs/>
          <w:sz w:val="24"/>
          <w:szCs w:val="24"/>
        </w:rPr>
      </w:pPr>
      <w:r>
        <w:rPr>
          <w:rFonts w:ascii="Times New Roman" w:hAnsi="Times New Roman" w:cs="Times New Roman"/>
          <w:b/>
          <w:bCs/>
          <w:sz w:val="24"/>
          <w:szCs w:val="24"/>
        </w:rPr>
        <w:t>3. Result and Discussion</w:t>
      </w:r>
    </w:p>
    <w:p w:rsidR="00526218" w:rsidRDefault="00526218" w:rsidP="00526218">
      <w:pPr>
        <w:spacing w:line="276" w:lineRule="auto"/>
        <w:rPr>
          <w:rFonts w:ascii="Times New Roman" w:hAnsi="Times New Roman" w:cs="Times New Roman"/>
          <w:b/>
          <w:bCs/>
          <w:sz w:val="24"/>
          <w:szCs w:val="24"/>
        </w:rPr>
      </w:pPr>
      <w:r>
        <w:rPr>
          <w:rFonts w:ascii="Times New Roman" w:hAnsi="Times New Roman" w:cs="Times New Roman"/>
          <w:b/>
          <w:bCs/>
          <w:sz w:val="24"/>
          <w:szCs w:val="24"/>
        </w:rPr>
        <w:t>3.1 Presentation of Collected Data</w:t>
      </w:r>
    </w:p>
    <w:p w:rsidR="00526218" w:rsidRDefault="00526218" w:rsidP="00526218">
      <w:pPr>
        <w:pStyle w:val="BodyText"/>
        <w:spacing w:line="276" w:lineRule="auto"/>
        <w:jc w:val="both"/>
      </w:pPr>
      <w:r>
        <w:t xml:space="preserve">The data for this research were obtained through structured questionnaires administered to </w:t>
      </w:r>
      <w:r>
        <w:lastRenderedPageBreak/>
        <w:t>professionals across regulatory agencies, indigenous and international oil companies, and service firms operating within Nigeria’s upstream petroleum sector. Out of the distributed questionnaires, a significant proportion were returned and deemed valid for analysis, yielding a satisfactory response rate</w:t>
      </w:r>
      <w:bookmarkStart w:id="0" w:name="_Hlk138163810"/>
      <w:r>
        <w:t>.</w:t>
      </w:r>
    </w:p>
    <w:p w:rsidR="00526218" w:rsidRDefault="00526218" w:rsidP="00526218">
      <w:pPr>
        <w:pStyle w:val="BodyText"/>
        <w:spacing w:line="276" w:lineRule="auto"/>
        <w:jc w:val="both"/>
      </w:pPr>
    </w:p>
    <w:p w:rsidR="00526218" w:rsidRDefault="00526218" w:rsidP="00526218">
      <w:pPr>
        <w:pStyle w:val="BodyText"/>
        <w:spacing w:line="276" w:lineRule="auto"/>
        <w:rPr>
          <w:bCs/>
          <w:lang w:val="en-GB"/>
        </w:rPr>
      </w:pPr>
      <w:r>
        <w:rPr>
          <w:bCs/>
          <w:lang w:val="en-GB"/>
        </w:rPr>
        <w:t>Table 3.1: analysis of the distribution and Collection of Questionnaires</w:t>
      </w:r>
      <w:bookmarkEnd w:id="0"/>
    </w:p>
    <w:tbl>
      <w:tblPr>
        <w:tblStyle w:val="TableGrid"/>
        <w:tblW w:w="0" w:type="auto"/>
        <w:tblInd w:w="0" w:type="dxa"/>
        <w:tblLook w:val="04A0" w:firstRow="1" w:lastRow="0" w:firstColumn="1" w:lastColumn="0" w:noHBand="0" w:noVBand="1"/>
      </w:tblPr>
      <w:tblGrid>
        <w:gridCol w:w="690"/>
        <w:gridCol w:w="3441"/>
        <w:gridCol w:w="1760"/>
        <w:gridCol w:w="1756"/>
        <w:gridCol w:w="1369"/>
      </w:tblGrid>
      <w:tr w:rsidR="00526218" w:rsidTr="00526218">
        <w:tc>
          <w:tcPr>
            <w:tcW w:w="59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S/N</w:t>
            </w:r>
          </w:p>
        </w:tc>
        <w:tc>
          <w:tcPr>
            <w:tcW w:w="366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Respondents (Organizations/Firms)</w:t>
            </w:r>
          </w:p>
        </w:tc>
        <w:tc>
          <w:tcPr>
            <w:tcW w:w="176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Questionnaires Administered</w:t>
            </w:r>
          </w:p>
        </w:tc>
        <w:tc>
          <w:tcPr>
            <w:tcW w:w="16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Questionnaires Returned</w:t>
            </w:r>
          </w:p>
        </w:tc>
        <w:tc>
          <w:tcPr>
            <w:tcW w:w="13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Percentage Returned</w:t>
            </w:r>
          </w:p>
        </w:tc>
      </w:tr>
      <w:tr w:rsidR="00526218" w:rsidTr="00526218">
        <w:tc>
          <w:tcPr>
            <w:tcW w:w="59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w:t>
            </w:r>
          </w:p>
        </w:tc>
        <w:tc>
          <w:tcPr>
            <w:tcW w:w="366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Nigerian Upstream Petroleum Regulatory Commission (NUPRC)</w:t>
            </w:r>
          </w:p>
        </w:tc>
        <w:tc>
          <w:tcPr>
            <w:tcW w:w="176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15</w:t>
            </w:r>
          </w:p>
        </w:tc>
        <w:tc>
          <w:tcPr>
            <w:tcW w:w="16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11</w:t>
            </w:r>
          </w:p>
        </w:tc>
        <w:tc>
          <w:tcPr>
            <w:tcW w:w="13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73.3%</w:t>
            </w:r>
          </w:p>
        </w:tc>
      </w:tr>
      <w:tr w:rsidR="00526218" w:rsidTr="00526218">
        <w:tc>
          <w:tcPr>
            <w:tcW w:w="59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w:t>
            </w:r>
          </w:p>
        </w:tc>
        <w:tc>
          <w:tcPr>
            <w:tcW w:w="366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International Oil Companies (IOCs) operating in Nigeria</w:t>
            </w:r>
          </w:p>
        </w:tc>
        <w:tc>
          <w:tcPr>
            <w:tcW w:w="176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4</w:t>
            </w:r>
          </w:p>
        </w:tc>
        <w:tc>
          <w:tcPr>
            <w:tcW w:w="16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w:t>
            </w:r>
          </w:p>
        </w:tc>
        <w:tc>
          <w:tcPr>
            <w:tcW w:w="13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50%</w:t>
            </w:r>
          </w:p>
        </w:tc>
      </w:tr>
      <w:tr w:rsidR="00526218" w:rsidTr="00526218">
        <w:tc>
          <w:tcPr>
            <w:tcW w:w="59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3</w:t>
            </w:r>
          </w:p>
        </w:tc>
        <w:tc>
          <w:tcPr>
            <w:tcW w:w="366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Indigenous Oil &amp; Gas Firms</w:t>
            </w:r>
          </w:p>
        </w:tc>
        <w:tc>
          <w:tcPr>
            <w:tcW w:w="176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12</w:t>
            </w:r>
          </w:p>
        </w:tc>
        <w:tc>
          <w:tcPr>
            <w:tcW w:w="16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8</w:t>
            </w:r>
          </w:p>
        </w:tc>
        <w:tc>
          <w:tcPr>
            <w:tcW w:w="13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66.7%</w:t>
            </w:r>
          </w:p>
        </w:tc>
      </w:tr>
      <w:tr w:rsidR="00526218" w:rsidTr="00526218">
        <w:tc>
          <w:tcPr>
            <w:tcW w:w="59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4</w:t>
            </w:r>
          </w:p>
        </w:tc>
        <w:tc>
          <w:tcPr>
            <w:tcW w:w="366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Consultancy and Engineering Firms in Upstream Sector</w:t>
            </w:r>
          </w:p>
        </w:tc>
        <w:tc>
          <w:tcPr>
            <w:tcW w:w="176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8</w:t>
            </w:r>
          </w:p>
        </w:tc>
        <w:tc>
          <w:tcPr>
            <w:tcW w:w="16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7</w:t>
            </w:r>
          </w:p>
        </w:tc>
        <w:tc>
          <w:tcPr>
            <w:tcW w:w="13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87.5%</w:t>
            </w:r>
          </w:p>
        </w:tc>
      </w:tr>
      <w:tr w:rsidR="00526218" w:rsidTr="00526218">
        <w:tc>
          <w:tcPr>
            <w:tcW w:w="590" w:type="dxa"/>
            <w:tcBorders>
              <w:top w:val="single" w:sz="4" w:space="0" w:color="auto"/>
              <w:left w:val="single" w:sz="4" w:space="0" w:color="auto"/>
              <w:bottom w:val="single" w:sz="4" w:space="0" w:color="auto"/>
              <w:right w:val="single" w:sz="4" w:space="0" w:color="auto"/>
            </w:tcBorders>
          </w:tcPr>
          <w:p w:rsidR="00526218" w:rsidRDefault="00526218">
            <w:pPr>
              <w:pStyle w:val="BodyText"/>
              <w:spacing w:line="276" w:lineRule="auto"/>
            </w:pPr>
          </w:p>
        </w:tc>
        <w:tc>
          <w:tcPr>
            <w:tcW w:w="366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Total</w:t>
            </w:r>
          </w:p>
        </w:tc>
        <w:tc>
          <w:tcPr>
            <w:tcW w:w="176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39</w:t>
            </w:r>
          </w:p>
        </w:tc>
        <w:tc>
          <w:tcPr>
            <w:tcW w:w="16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135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71.7%</w:t>
            </w:r>
          </w:p>
        </w:tc>
      </w:tr>
    </w:tbl>
    <w:p w:rsidR="00526218" w:rsidRDefault="00526218" w:rsidP="00526218">
      <w:pPr>
        <w:pStyle w:val="BodyText"/>
        <w:spacing w:line="276" w:lineRule="auto"/>
      </w:pPr>
      <w:r>
        <w:t>Source: Researcher’s Field Survey, 2025</w:t>
      </w:r>
    </w:p>
    <w:p w:rsidR="00526218" w:rsidRDefault="00526218" w:rsidP="00526218">
      <w:pPr>
        <w:pStyle w:val="BodyText"/>
        <w:spacing w:line="276" w:lineRule="auto"/>
        <w:jc w:val="both"/>
      </w:pPr>
    </w:p>
    <w:p w:rsidR="00526218" w:rsidRDefault="00526218" w:rsidP="00526218">
      <w:pPr>
        <w:pStyle w:val="BodyText"/>
        <w:spacing w:line="276" w:lineRule="auto"/>
        <w:jc w:val="both"/>
      </w:pPr>
      <w:r>
        <w:t>Table 3.1 indicates that a total of 39 questionnaires were disseminated among principal stakeholders within Nigeria’s upstream oil and gas sector, of which 28 were duly completed and returned. This represents an overall response rate of 72%, a figure that may be considered satisfactory given the specialized nature of the population under research.</w:t>
      </w:r>
    </w:p>
    <w:p w:rsidR="00526218" w:rsidRDefault="00526218" w:rsidP="00526218">
      <w:pPr>
        <w:pStyle w:val="BodyText"/>
        <w:spacing w:line="276" w:lineRule="auto"/>
        <w:jc w:val="both"/>
      </w:pPr>
      <w:r>
        <w:t>The Nigerian Upstream Petroleum Regulatory Commission (NUPRC) demonstrated particularly strong engagement, returning 11 of the 15 questionnaires distributed (73.3%). Indigenous oil and gas firms accounted for 8 of 12 responses (66.7%), while consultancy and engineering firms exhibited the highest level of participation, with 7 of 8 questionnaires returned (87.5%), underscoring their evident willingness to contribute technical perspectives. By contrast, international oil companies recorded the lowest response rate, with only 2 of 4 questionnaires completed (50%), a result plausibly attributable to confidentiality considerations.</w:t>
      </w:r>
    </w:p>
    <w:p w:rsidR="00526218" w:rsidRDefault="00526218" w:rsidP="00526218">
      <w:pPr>
        <w:pStyle w:val="BodyText"/>
        <w:spacing w:line="276" w:lineRule="auto"/>
        <w:jc w:val="both"/>
      </w:pPr>
      <w:r>
        <w:t>Taken together, these figures provide a credible and sufficiently representative dataset for the analysis of bidding strategies and auction practices in Nigeria’s upstream petroleum sector. The distribution of responses across regulatory, indigenous, technical, and international stakeholders ensures that the sample captures diverse institutional perspectives, thereby enhancing the robustness of subsequent findings.</w:t>
      </w:r>
    </w:p>
    <w:p w:rsidR="00526218" w:rsidRDefault="00526218" w:rsidP="00526218">
      <w:pPr>
        <w:pStyle w:val="BodyText"/>
        <w:spacing w:line="276" w:lineRule="auto"/>
      </w:pPr>
    </w:p>
    <w:p w:rsidR="00526218" w:rsidRDefault="00526218" w:rsidP="00526218">
      <w:pPr>
        <w:pStyle w:val="BodyText"/>
        <w:spacing w:line="276" w:lineRule="auto"/>
      </w:pPr>
    </w:p>
    <w:p w:rsidR="00526218" w:rsidRDefault="002C4D96" w:rsidP="002C4D96">
      <w:pPr>
        <w:spacing w:line="276" w:lineRule="auto"/>
      </w:pPr>
      <w:r>
        <w:rPr>
          <w:noProof/>
          <w:lang w:val="en-GB" w:eastAsia="en-GB"/>
        </w:rPr>
        <w:lastRenderedPageBreak/>
        <w:drawing>
          <wp:inline distT="0" distB="0" distL="0" distR="0" wp14:anchorId="138D23AC" wp14:editId="769D504C">
            <wp:extent cx="5324475" cy="2905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324475" cy="2905125"/>
                    </a:xfrm>
                    <a:prstGeom prst="rect">
                      <a:avLst/>
                    </a:prstGeom>
                  </pic:spPr>
                </pic:pic>
              </a:graphicData>
            </a:graphic>
          </wp:inline>
        </w:drawing>
      </w:r>
    </w:p>
    <w:p w:rsidR="00526218" w:rsidRDefault="00526218" w:rsidP="00526218">
      <w:pPr>
        <w:pStyle w:val="BodyText"/>
        <w:spacing w:line="276" w:lineRule="auto"/>
      </w:pPr>
      <w:r>
        <w:rPr>
          <w:bCs/>
        </w:rPr>
        <w:t xml:space="preserve">Fig 3.1: </w:t>
      </w:r>
      <w:r>
        <w:t>Questionnaire response rate.</w:t>
      </w:r>
      <w:r>
        <w:tab/>
      </w:r>
    </w:p>
    <w:p w:rsidR="00526218" w:rsidRDefault="00526218" w:rsidP="00526218">
      <w:pPr>
        <w:pStyle w:val="BodyText"/>
        <w:spacing w:line="276" w:lineRule="auto"/>
        <w:ind w:left="0"/>
        <w:rPr>
          <w:bCs/>
        </w:rPr>
      </w:pPr>
    </w:p>
    <w:p w:rsidR="00526218" w:rsidRDefault="00526218" w:rsidP="00526218">
      <w:pPr>
        <w:pStyle w:val="BodyText"/>
        <w:spacing w:line="276" w:lineRule="auto"/>
        <w:jc w:val="both"/>
      </w:pPr>
      <w:r>
        <w:t xml:space="preserve">Research Question 1: </w:t>
      </w:r>
      <w:r>
        <w:rPr>
          <w:i/>
        </w:rPr>
        <w:t>What types of bidding strategies are commonly employed by firms in oil and gas lease auctions? Table 3.2 explains this.</w:t>
      </w:r>
    </w:p>
    <w:p w:rsidR="00526218" w:rsidRDefault="00526218" w:rsidP="00526218">
      <w:pPr>
        <w:pStyle w:val="BodyText"/>
        <w:spacing w:line="276" w:lineRule="auto"/>
        <w:jc w:val="both"/>
      </w:pPr>
    </w:p>
    <w:p w:rsidR="00526218" w:rsidRDefault="00526218" w:rsidP="00526218">
      <w:pPr>
        <w:pStyle w:val="BodyText"/>
        <w:spacing w:line="276" w:lineRule="auto"/>
        <w:jc w:val="both"/>
      </w:pPr>
      <w:r>
        <w:t>Tab</w:t>
      </w:r>
      <w:r w:rsidR="002C4D96">
        <w:t>le 3.2: Bidding Strategies as commonly deployed by firms in oil and gas lease a</w:t>
      </w:r>
      <w:r>
        <w:t>uctions</w:t>
      </w:r>
    </w:p>
    <w:p w:rsidR="00526218" w:rsidRDefault="00526218" w:rsidP="00526218">
      <w:pPr>
        <w:pStyle w:val="BodyText"/>
        <w:spacing w:line="276" w:lineRule="auto"/>
        <w:jc w:val="both"/>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09"/>
        <w:gridCol w:w="558"/>
        <w:gridCol w:w="498"/>
        <w:gridCol w:w="61"/>
        <w:gridCol w:w="559"/>
        <w:gridCol w:w="660"/>
        <w:gridCol w:w="740"/>
        <w:gridCol w:w="840"/>
        <w:gridCol w:w="969"/>
        <w:gridCol w:w="851"/>
      </w:tblGrid>
      <w:tr w:rsidR="00526218" w:rsidTr="00526218">
        <w:trPr>
          <w:trHeight w:val="387"/>
        </w:trPr>
        <w:tc>
          <w:tcPr>
            <w:tcW w:w="390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Variables</w:t>
            </w:r>
          </w:p>
        </w:tc>
        <w:tc>
          <w:tcPr>
            <w:tcW w:w="55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4</w:t>
            </w:r>
          </w:p>
        </w:tc>
        <w:tc>
          <w:tcPr>
            <w:tcW w:w="559" w:type="dxa"/>
            <w:gridSpan w:val="2"/>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3</w:t>
            </w:r>
          </w:p>
        </w:tc>
        <w:tc>
          <w:tcPr>
            <w:tcW w:w="55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w:t>
            </w:r>
          </w:p>
        </w:tc>
        <w:tc>
          <w:tcPr>
            <w:tcW w:w="66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w:t>
            </w:r>
          </w:p>
        </w:tc>
        <w:tc>
          <w:tcPr>
            <w:tcW w:w="740"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pPr>
            <w:r>
              <w:t>∑X</w:t>
            </w:r>
          </w:p>
        </w:tc>
        <w:tc>
          <w:tcPr>
            <w:tcW w:w="839"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pPr>
            <w:r>
              <w:t>∑FX</w:t>
            </w:r>
          </w:p>
        </w:tc>
        <w:tc>
          <w:tcPr>
            <w:tcW w:w="968"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pPr>
            <w:r>
              <w:t>Mean</w:t>
            </w:r>
          </w:p>
        </w:tc>
        <w:tc>
          <w:tcPr>
            <w:tcW w:w="850"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pPr>
            <w:r>
              <w:t>RII</w:t>
            </w:r>
          </w:p>
        </w:tc>
      </w:tr>
      <w:tr w:rsidR="00526218" w:rsidTr="00526218">
        <w:trPr>
          <w:trHeight w:val="649"/>
        </w:trPr>
        <w:tc>
          <w:tcPr>
            <w:tcW w:w="390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pPr>
            <w:r>
              <w:t>Our firm often adopts aggressive bidding (high upfront offers) in lease auctions.</w:t>
            </w:r>
          </w:p>
        </w:tc>
        <w:tc>
          <w:tcPr>
            <w:tcW w:w="55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12</w:t>
            </w:r>
          </w:p>
        </w:tc>
        <w:tc>
          <w:tcPr>
            <w:tcW w:w="4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8</w:t>
            </w:r>
          </w:p>
        </w:tc>
        <w:tc>
          <w:tcPr>
            <w:tcW w:w="620" w:type="dxa"/>
            <w:gridSpan w:val="2"/>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4</w:t>
            </w:r>
          </w:p>
        </w:tc>
        <w:tc>
          <w:tcPr>
            <w:tcW w:w="66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4</w:t>
            </w:r>
          </w:p>
        </w:tc>
        <w:tc>
          <w:tcPr>
            <w:tcW w:w="74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83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56</w:t>
            </w:r>
          </w:p>
        </w:tc>
        <w:tc>
          <w:tcPr>
            <w:tcW w:w="96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2.00</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0.50</w:t>
            </w:r>
          </w:p>
        </w:tc>
      </w:tr>
      <w:tr w:rsidR="00526218" w:rsidTr="00526218">
        <w:trPr>
          <w:trHeight w:val="665"/>
        </w:trPr>
        <w:tc>
          <w:tcPr>
            <w:tcW w:w="390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pPr>
            <w:r>
              <w:t>We frequently use conservative bidding (low-risk, cautious offers) in auctions.</w:t>
            </w:r>
          </w:p>
        </w:tc>
        <w:tc>
          <w:tcPr>
            <w:tcW w:w="55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w:t>
            </w:r>
          </w:p>
        </w:tc>
        <w:tc>
          <w:tcPr>
            <w:tcW w:w="559" w:type="dxa"/>
            <w:gridSpan w:val="2"/>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w:t>
            </w:r>
          </w:p>
        </w:tc>
        <w:tc>
          <w:tcPr>
            <w:tcW w:w="55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14</w:t>
            </w:r>
          </w:p>
        </w:tc>
        <w:tc>
          <w:tcPr>
            <w:tcW w:w="66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13</w:t>
            </w:r>
          </w:p>
        </w:tc>
        <w:tc>
          <w:tcPr>
            <w:tcW w:w="74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83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96</w:t>
            </w:r>
          </w:p>
        </w:tc>
        <w:tc>
          <w:tcPr>
            <w:tcW w:w="96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3.43</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0.86</w:t>
            </w:r>
          </w:p>
        </w:tc>
      </w:tr>
      <w:tr w:rsidR="00526218" w:rsidTr="00526218">
        <w:trPr>
          <w:trHeight w:val="665"/>
        </w:trPr>
        <w:tc>
          <w:tcPr>
            <w:tcW w:w="390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pPr>
            <w:r>
              <w:t>Joint ventures or collusive alliances are commonly employed to strengthen our bids.</w:t>
            </w:r>
          </w:p>
        </w:tc>
        <w:tc>
          <w:tcPr>
            <w:tcW w:w="55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w:t>
            </w:r>
          </w:p>
        </w:tc>
        <w:tc>
          <w:tcPr>
            <w:tcW w:w="559" w:type="dxa"/>
            <w:gridSpan w:val="2"/>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w:t>
            </w:r>
          </w:p>
        </w:tc>
        <w:tc>
          <w:tcPr>
            <w:tcW w:w="55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14</w:t>
            </w:r>
          </w:p>
        </w:tc>
        <w:tc>
          <w:tcPr>
            <w:tcW w:w="66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13</w:t>
            </w:r>
          </w:p>
        </w:tc>
        <w:tc>
          <w:tcPr>
            <w:tcW w:w="74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83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96</w:t>
            </w:r>
          </w:p>
        </w:tc>
        <w:tc>
          <w:tcPr>
            <w:tcW w:w="96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3.43</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0.86</w:t>
            </w:r>
          </w:p>
        </w:tc>
      </w:tr>
      <w:tr w:rsidR="00526218" w:rsidTr="00526218">
        <w:trPr>
          <w:trHeight w:val="928"/>
        </w:trPr>
        <w:tc>
          <w:tcPr>
            <w:tcW w:w="390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pPr>
            <w:r>
              <w:t>Our bidding approach is often speculative, based on anticipated future oil price movements.</w:t>
            </w:r>
          </w:p>
        </w:tc>
        <w:tc>
          <w:tcPr>
            <w:tcW w:w="55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12</w:t>
            </w:r>
          </w:p>
        </w:tc>
        <w:tc>
          <w:tcPr>
            <w:tcW w:w="559" w:type="dxa"/>
            <w:gridSpan w:val="2"/>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10</w:t>
            </w:r>
          </w:p>
        </w:tc>
        <w:tc>
          <w:tcPr>
            <w:tcW w:w="55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4</w:t>
            </w:r>
          </w:p>
        </w:tc>
        <w:tc>
          <w:tcPr>
            <w:tcW w:w="66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w:t>
            </w:r>
          </w:p>
        </w:tc>
        <w:tc>
          <w:tcPr>
            <w:tcW w:w="74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83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52</w:t>
            </w:r>
          </w:p>
        </w:tc>
        <w:tc>
          <w:tcPr>
            <w:tcW w:w="96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1.86</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0.46</w:t>
            </w:r>
          </w:p>
        </w:tc>
      </w:tr>
      <w:tr w:rsidR="00526218" w:rsidTr="00526218">
        <w:trPr>
          <w:trHeight w:val="928"/>
        </w:trPr>
        <w:tc>
          <w:tcPr>
            <w:tcW w:w="3906"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pPr>
            <w:r>
              <w:t>Data-driven bidding, using geological and seismic analysis, plays a major role in our strategy.</w:t>
            </w:r>
          </w:p>
        </w:tc>
        <w:tc>
          <w:tcPr>
            <w:tcW w:w="55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8</w:t>
            </w:r>
          </w:p>
        </w:tc>
        <w:tc>
          <w:tcPr>
            <w:tcW w:w="559" w:type="dxa"/>
            <w:gridSpan w:val="2"/>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11</w:t>
            </w:r>
          </w:p>
        </w:tc>
        <w:tc>
          <w:tcPr>
            <w:tcW w:w="55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5</w:t>
            </w:r>
          </w:p>
        </w:tc>
        <w:tc>
          <w:tcPr>
            <w:tcW w:w="66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4</w:t>
            </w:r>
          </w:p>
        </w:tc>
        <w:tc>
          <w:tcPr>
            <w:tcW w:w="74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83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61</w:t>
            </w:r>
          </w:p>
        </w:tc>
        <w:tc>
          <w:tcPr>
            <w:tcW w:w="96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2.18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0.54</w:t>
            </w:r>
          </w:p>
        </w:tc>
      </w:tr>
    </w:tbl>
    <w:p w:rsidR="00526218" w:rsidRDefault="00526218" w:rsidP="00526218">
      <w:pPr>
        <w:pStyle w:val="BodyText"/>
        <w:spacing w:line="276" w:lineRule="auto"/>
        <w:rPr>
          <w:b/>
          <w:lang w:val="en-GB"/>
        </w:rPr>
      </w:pPr>
      <w:r>
        <w:rPr>
          <w:b/>
          <w:lang w:val="en-GB"/>
        </w:rPr>
        <w:t>(Source: Researchers field survey, 2025)</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What types of bidding strategies are commonly employed by firms in oil and gas lease auctions? </w:t>
      </w:r>
    </w:p>
    <w:p w:rsidR="00526218" w:rsidRDefault="00526218" w:rsidP="00526218">
      <w:pPr>
        <w:pStyle w:val="BodyText"/>
        <w:spacing w:line="276" w:lineRule="auto"/>
        <w:jc w:val="both"/>
      </w:pPr>
      <w:r>
        <w:t xml:space="preserve">The evidence shows that firms in Nigeria’s upstream oil and gas lease auctions predominantly </w:t>
      </w:r>
      <w:r>
        <w:lastRenderedPageBreak/>
        <w:t xml:space="preserve">adopt conservative bidding and joint ventures, both recording the highest mean scores (3.43) and Relative Importance Index values (0.86). These approaches reflect a strong preference for risk minimization and collaboration, enabling firms to share financial commitments, pool resources, and reduce exposure to market volatility. This cautious stance highlights a deeply risk-averse culture shaped by the capital-intensive nature of the sector and its vulnerability to market fluctuations.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In contrast, aggressive bidding (Mean = 2.00, RII = 0.50) and speculative bidding (Mean = 1.86, RII = 0.46) are less frequently employed, as firms remain reluctant to engage in high-risk tactics due to uncertainty in oil prices and the potential for the winner’s curse. Data-driven bidding (Mean = 2.18, RII = 0.54) shows moderate but growing adoption, suggesting that while geological and seismic analysis is increasingly valued, it remains complementary rather than central to decision-making. Limited confidence in data reliability and predictive accuracy may also constrain its wider use.  </w:t>
      </w:r>
    </w:p>
    <w:p w:rsidR="00526218" w:rsidRDefault="00526218" w:rsidP="00526218">
      <w:pPr>
        <w:pStyle w:val="BodyText"/>
        <w:spacing w:line="276" w:lineRule="auto"/>
        <w:ind w:left="0"/>
        <w:jc w:val="both"/>
      </w:pPr>
    </w:p>
    <w:p w:rsidR="00526218" w:rsidRDefault="00526218" w:rsidP="00526218">
      <w:pPr>
        <w:pStyle w:val="BodyText"/>
        <w:spacing w:line="276" w:lineRule="auto"/>
        <w:jc w:val="both"/>
      </w:pPr>
      <w:r>
        <w:rPr>
          <w:bCs/>
        </w:rPr>
        <w:t>Research Question 2:</w:t>
      </w:r>
      <w:r>
        <w:t xml:space="preserve"> </w:t>
      </w:r>
      <w:r>
        <w:rPr>
          <w:i/>
          <w:iCs/>
        </w:rPr>
        <w:t>How do auction design and prevailing market conditions influence bidding behavior?</w:t>
      </w:r>
    </w:p>
    <w:p w:rsidR="00526218" w:rsidRDefault="00526218" w:rsidP="00526218">
      <w:pPr>
        <w:pStyle w:val="BodyText"/>
        <w:spacing w:line="276" w:lineRule="auto"/>
        <w:jc w:val="both"/>
      </w:pPr>
      <w:r>
        <w:t>Table 3.4 summarizes respondents’ views on the extent to which auction design and market conditions shape bidding strategies in Nigeria’s upstream oil and gas lease auctions.</w:t>
      </w:r>
    </w:p>
    <w:p w:rsidR="00526218" w:rsidRDefault="00526218" w:rsidP="00526218">
      <w:pPr>
        <w:pStyle w:val="BodyText"/>
        <w:spacing w:line="276" w:lineRule="auto"/>
      </w:pPr>
    </w:p>
    <w:tbl>
      <w:tblPr>
        <w:tblW w:w="9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85"/>
        <w:gridCol w:w="598"/>
        <w:gridCol w:w="598"/>
        <w:gridCol w:w="598"/>
        <w:gridCol w:w="748"/>
        <w:gridCol w:w="748"/>
        <w:gridCol w:w="710"/>
        <w:gridCol w:w="993"/>
        <w:gridCol w:w="852"/>
      </w:tblGrid>
      <w:tr w:rsidR="00526218" w:rsidTr="00526218">
        <w:trPr>
          <w:trHeight w:val="584"/>
        </w:trPr>
        <w:tc>
          <w:tcPr>
            <w:tcW w:w="408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Variables</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4</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3</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2</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1</w:t>
            </w:r>
          </w:p>
        </w:tc>
        <w:tc>
          <w:tcPr>
            <w:tcW w:w="747"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rPr>
            </w:pPr>
            <w:r>
              <w:rPr>
                <w:bCs/>
                <w:color w:val="00000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rPr>
            </w:pPr>
            <w:r>
              <w:rPr>
                <w:bCs/>
                <w:color w:val="000000"/>
              </w:rPr>
              <w:t>∑FX</w:t>
            </w:r>
          </w:p>
        </w:tc>
        <w:tc>
          <w:tcPr>
            <w:tcW w:w="992"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rPr>
            </w:pPr>
            <w:r>
              <w:rPr>
                <w:bCs/>
                <w:color w:val="000000"/>
              </w:rPr>
              <w:t>Mean</w:t>
            </w:r>
          </w:p>
        </w:tc>
        <w:tc>
          <w:tcPr>
            <w:tcW w:w="851"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rPr>
            </w:pPr>
            <w:r>
              <w:rPr>
                <w:bCs/>
                <w:color w:val="000000"/>
              </w:rPr>
              <w:t>RII</w:t>
            </w:r>
          </w:p>
        </w:tc>
      </w:tr>
      <w:tr w:rsidR="00526218" w:rsidTr="00526218">
        <w:trPr>
          <w:trHeight w:val="895"/>
        </w:trPr>
        <w:tc>
          <w:tcPr>
            <w:tcW w:w="408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The auction format (sealed bid vs. open auction) strongly affects how our firm bids.</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4</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11</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13</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28</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93</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3.32</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0.83</w:t>
            </w:r>
          </w:p>
        </w:tc>
      </w:tr>
      <w:tr w:rsidR="00526218" w:rsidTr="00526218">
        <w:trPr>
          <w:trHeight w:val="876"/>
        </w:trPr>
        <w:tc>
          <w:tcPr>
            <w:tcW w:w="408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Government regulations and policies significantly influence our bidding behavior.</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4</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24</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28</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108</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3.86</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0.96</w:t>
            </w:r>
          </w:p>
        </w:tc>
      </w:tr>
      <w:tr w:rsidR="00526218" w:rsidTr="00526218">
        <w:trPr>
          <w:trHeight w:val="895"/>
        </w:trPr>
        <w:tc>
          <w:tcPr>
            <w:tcW w:w="408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The level of market competition determines how aggressively we bid.</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26</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110</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3.93</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0.98</w:t>
            </w:r>
          </w:p>
        </w:tc>
      </w:tr>
      <w:tr w:rsidR="00526218" w:rsidTr="00526218">
        <w:trPr>
          <w:trHeight w:val="876"/>
        </w:trPr>
        <w:tc>
          <w:tcPr>
            <w:tcW w:w="408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Macroeconomic conditions (e.g., exchange rates, inflation) affect our bidding decisions.</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12</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16</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100</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3.57</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0.89</w:t>
            </w:r>
          </w:p>
        </w:tc>
      </w:tr>
      <w:tr w:rsidR="00526218" w:rsidTr="00526218">
        <w:trPr>
          <w:trHeight w:val="876"/>
        </w:trPr>
        <w:tc>
          <w:tcPr>
            <w:tcW w:w="4083"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Availability of transparent information on auctions improves the fairness of our bids.</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0</w:t>
            </w:r>
          </w:p>
        </w:tc>
        <w:tc>
          <w:tcPr>
            <w:tcW w:w="598"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14</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12</w:t>
            </w:r>
          </w:p>
        </w:tc>
        <w:tc>
          <w:tcPr>
            <w:tcW w:w="74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26</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90</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3.46</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0.87</w:t>
            </w:r>
          </w:p>
        </w:tc>
      </w:tr>
    </w:tbl>
    <w:p w:rsidR="00526218" w:rsidRDefault="00526218" w:rsidP="00526218">
      <w:pPr>
        <w:spacing w:line="276" w:lineRule="auto"/>
        <w:ind w:firstLine="100"/>
        <w:jc w:val="both"/>
        <w:rPr>
          <w:rFonts w:ascii="Times New Roman" w:eastAsia="Calibri" w:hAnsi="Times New Roman" w:cs="Times New Roman"/>
          <w:b/>
          <w:bCs/>
          <w:lang w:val="en-GB"/>
        </w:rPr>
      </w:pPr>
      <w:bookmarkStart w:id="1" w:name="_Hlk214131825"/>
      <w:r>
        <w:rPr>
          <w:rFonts w:ascii="Times New Roman" w:eastAsia="Calibri" w:hAnsi="Times New Roman" w:cs="Times New Roman"/>
          <w:b/>
          <w:bCs/>
          <w:lang w:val="en-GB"/>
        </w:rPr>
        <w:t>(Source: Researchers field survey, 2025</w:t>
      </w:r>
      <w:bookmarkEnd w:id="1"/>
      <w:r>
        <w:rPr>
          <w:rFonts w:ascii="Times New Roman" w:eastAsia="Calibri" w:hAnsi="Times New Roman" w:cs="Times New Roman"/>
          <w:b/>
          <w:bCs/>
          <w:lang w:val="en-GB"/>
        </w:rPr>
        <w:t>)</w:t>
      </w:r>
    </w:p>
    <w:p w:rsidR="00526218" w:rsidRDefault="00526218" w:rsidP="00526218">
      <w:pPr>
        <w:pStyle w:val="BodyText"/>
        <w:spacing w:line="276" w:lineRule="auto"/>
        <w:jc w:val="both"/>
      </w:pPr>
      <w:r>
        <w:t xml:space="preserve">The findings demonstrate that external institutional and market forces decisively shape bidding strategies in Nigeria’s upstream oil and gas lease auctions. Among these, government regulations and policies (Mean = 3.86, RII = 0.96) and market competition (Mean = 3.93, RII = 0.98) emerged as the most influential determinants. Regulatory frameworks establish compliance requirements and constrain bidding </w:t>
      </w:r>
      <w:proofErr w:type="spellStart"/>
      <w:r>
        <w:t>behaviour</w:t>
      </w:r>
      <w:proofErr w:type="spellEnd"/>
      <w:r>
        <w:t xml:space="preserve">, while the intensity of rivalry </w:t>
      </w:r>
      <w:r>
        <w:lastRenderedPageBreak/>
        <w:t xml:space="preserve">compels firms to balance ambition with caution, directly influencing how aggressively they bid.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Macroeconomic conditions such as exchange rate volatility and inflation (Mean = 3.57, RII = 0.89) also play a significant role, as firms remain highly sensitive to broader economic stability when committing capital. The auction format (sealed bid vs. open auction) exerts considerable influence (Mean = 3.32, RII = 0.83), shaping transparency and competitive dynamics by encouraging caution in sealed bids and tactical adjustments in open auctions. Transparency of auction information (Mean = 3.46, RII = 0.87) further enhances fairness and confidence, though its impact is less pronounced compared to regulation and competition.  </w:t>
      </w:r>
    </w:p>
    <w:p w:rsidR="00526218" w:rsidRDefault="00526218" w:rsidP="00526218">
      <w:pPr>
        <w:pStyle w:val="BodyText"/>
        <w:spacing w:line="276" w:lineRule="auto"/>
        <w:jc w:val="both"/>
      </w:pPr>
    </w:p>
    <w:p w:rsidR="00526218" w:rsidRDefault="00526218" w:rsidP="00526218">
      <w:pPr>
        <w:pStyle w:val="BodyText"/>
        <w:spacing w:line="276" w:lineRule="auto"/>
        <w:jc w:val="both"/>
      </w:pPr>
      <w:r>
        <w:rPr>
          <w:bCs/>
        </w:rPr>
        <w:t>Research Question 3:</w:t>
      </w:r>
      <w:r>
        <w:t xml:space="preserve"> </w:t>
      </w:r>
      <w:r>
        <w:rPr>
          <w:i/>
          <w:iCs/>
        </w:rPr>
        <w:t>In what ways does uncertainty, such as variability in geological data and fluctuations in oil prices, impact firms’ bidding decisions?</w:t>
      </w:r>
    </w:p>
    <w:p w:rsidR="00526218" w:rsidRDefault="00526218" w:rsidP="00526218">
      <w:pPr>
        <w:pStyle w:val="BodyText"/>
        <w:spacing w:line="276" w:lineRule="auto"/>
        <w:jc w:val="both"/>
      </w:pPr>
      <w:r>
        <w:t xml:space="preserve">Table 3.4 presents the responses of 28 participants on how different forms of uncertainty influence bidding </w:t>
      </w:r>
      <w:proofErr w:type="spellStart"/>
      <w:r>
        <w:t>behaviour</w:t>
      </w:r>
      <w:proofErr w:type="spellEnd"/>
      <w:r>
        <w:t xml:space="preserve"> in Nigeria’s upstream oil and gas lease auctions.</w:t>
      </w:r>
    </w:p>
    <w:p w:rsidR="00526218" w:rsidRDefault="00526218" w:rsidP="00526218">
      <w:pPr>
        <w:pStyle w:val="BodyText"/>
        <w:spacing w:line="276" w:lineRule="auto"/>
        <w:jc w:val="both"/>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30"/>
        <w:gridCol w:w="567"/>
        <w:gridCol w:w="567"/>
        <w:gridCol w:w="567"/>
        <w:gridCol w:w="709"/>
        <w:gridCol w:w="709"/>
        <w:gridCol w:w="851"/>
        <w:gridCol w:w="852"/>
        <w:gridCol w:w="993"/>
      </w:tblGrid>
      <w:tr w:rsidR="00526218" w:rsidTr="00526218">
        <w:tc>
          <w:tcPr>
            <w:tcW w:w="382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Variables</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4</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3</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2</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rPr>
                <w:rFonts w:eastAsia="Calibri"/>
                <w:bC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rPr>
            </w:pPr>
            <w:r>
              <w:rPr>
                <w:bCs/>
                <w:color w:val="000000"/>
              </w:rPr>
              <w:t>∑X</w:t>
            </w:r>
          </w:p>
        </w:tc>
        <w:tc>
          <w:tcPr>
            <w:tcW w:w="850"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rPr>
            </w:pPr>
            <w:r>
              <w:rPr>
                <w:bCs/>
                <w:color w:val="000000"/>
              </w:rPr>
              <w:t>∑FX</w:t>
            </w:r>
          </w:p>
        </w:tc>
        <w:tc>
          <w:tcPr>
            <w:tcW w:w="851"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rPr>
            </w:pPr>
            <w:r>
              <w:rPr>
                <w:bCs/>
                <w:color w:val="000000"/>
              </w:rPr>
              <w:t>Mean</w:t>
            </w:r>
          </w:p>
        </w:tc>
        <w:tc>
          <w:tcPr>
            <w:tcW w:w="992"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rPr>
            </w:pPr>
            <w:r>
              <w:rPr>
                <w:bCs/>
                <w:color w:val="000000"/>
              </w:rPr>
              <w:t>RII</w:t>
            </w:r>
          </w:p>
        </w:tc>
      </w:tr>
      <w:tr w:rsidR="00526218" w:rsidTr="00526218">
        <w:tc>
          <w:tcPr>
            <w:tcW w:w="382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Geological data uncertainty (e.g., reserve estimates) increases bidding risks.</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2</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14</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11</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90</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3.21</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0.80</w:t>
            </w:r>
          </w:p>
        </w:tc>
      </w:tr>
      <w:tr w:rsidR="00526218" w:rsidTr="00526218">
        <w:tc>
          <w:tcPr>
            <w:tcW w:w="382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Fluctuations in global oil prices significantly influence our bidding strategy.</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0</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0</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2</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26</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110</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3.93</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0.98</w:t>
            </w:r>
          </w:p>
        </w:tc>
      </w:tr>
      <w:tr w:rsidR="00526218" w:rsidTr="00526218">
        <w:tc>
          <w:tcPr>
            <w:tcW w:w="382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Concerns about the winner’s curse make our firm more cautious in bidding.</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4</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5</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12</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7</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78</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2.79</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0.70</w:t>
            </w:r>
          </w:p>
        </w:tc>
      </w:tr>
      <w:tr w:rsidR="00526218" w:rsidTr="00526218">
        <w:tc>
          <w:tcPr>
            <w:tcW w:w="382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Regulatory unpredictability (e.g., delays, policy shifts) discourages aggressive bidding.</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15</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13</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97</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3.46</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pPr>
            <w:r>
              <w:t>0.87</w:t>
            </w:r>
          </w:p>
        </w:tc>
      </w:tr>
      <w:tr w:rsidR="00526218" w:rsidTr="00526218">
        <w:tc>
          <w:tcPr>
            <w:tcW w:w="382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rPr>
            </w:pPr>
            <w:r>
              <w:t>We often rely on scenario planning and forecasting tools to manage bidding uncertainty.</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3</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12</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rPr>
            </w:pPr>
            <w:r>
              <w:t>12</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91</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3.25</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rPr>
            </w:pPr>
            <w:r>
              <w:t>0.81</w:t>
            </w:r>
          </w:p>
        </w:tc>
      </w:tr>
    </w:tbl>
    <w:p w:rsidR="00526218" w:rsidRDefault="00526218" w:rsidP="00526218">
      <w:pPr>
        <w:pStyle w:val="BodyText"/>
        <w:spacing w:line="276" w:lineRule="auto"/>
        <w:rPr>
          <w:rFonts w:eastAsia="Calibri"/>
          <w:b/>
          <w:lang w:val="en-GB"/>
        </w:rPr>
      </w:pPr>
      <w:r>
        <w:rPr>
          <w:rFonts w:eastAsia="Calibri"/>
          <w:b/>
          <w:lang w:val="en-GB"/>
        </w:rPr>
        <w:t>(Source: Researchers field survey, 2025)</w:t>
      </w:r>
    </w:p>
    <w:p w:rsidR="00526218" w:rsidRDefault="00526218" w:rsidP="00526218">
      <w:pPr>
        <w:pStyle w:val="BodyText"/>
        <w:spacing w:line="276" w:lineRule="auto"/>
      </w:pPr>
    </w:p>
    <w:p w:rsidR="00526218" w:rsidRDefault="00526218" w:rsidP="00526218">
      <w:pPr>
        <w:pStyle w:val="BodyText"/>
        <w:spacing w:line="276" w:lineRule="auto"/>
        <w:jc w:val="both"/>
      </w:pPr>
      <w:r>
        <w:t>Research Question 3: In what ways does uncertainty, such as variability in geological data and fluctuations in oil prices, impact firms’ bidding decisions?</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The findings demonstrate that uncertainty is a central determinant of bidding </w:t>
      </w:r>
      <w:proofErr w:type="spellStart"/>
      <w:r>
        <w:t>behaviour</w:t>
      </w:r>
      <w:proofErr w:type="spellEnd"/>
      <w:r>
        <w:t xml:space="preserve">, compelling firms to balance risk against potential reward in Nigeria’s upstream oil and gas lease auctions. The most influential factor is oil price volatility, which recorded the highest mean score (3.93) and Relative Importance Index (0.98). Global price fluctuations directly shape firms’ willingness to commit capital, as profitability is tied to cyclical oil markets. Price </w:t>
      </w:r>
      <w:r>
        <w:lastRenderedPageBreak/>
        <w:t xml:space="preserve">instability often encourages conservative bidding or deters participation altogether, positioning oil prices as the dominant macroeconomic risk variable.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Regulatory unpredictability also exerts a strong impact (Mean = 3.46, RII = 0.87). Delays in approvals or sudden policy shifts discourage aggressive bidding, reinforcing the importance of stable governance frameworks in sustaining competitive participation. Geological uncertainty, particularly variability in reserve estimates (Mean = 3.21, RII = 0.80), further increases bidding risks, as incomplete or unreliable data can lead to costly miscalculations.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To manage these risks, firms moderately employ scenario planning and forecasting tools (Mean = 3.25, RII = 0.81). While predictive models help simulate market conditions and reduce exposure, reliance remains limited due to data reliability issues and resource constraints. Meanwhile, concerns about the winner’s curse (Mean = 2.79, RII = 0.70) reinforce psychological caution, as firms seek to avoid overpaying and suffering post-auction regret.  </w:t>
      </w:r>
    </w:p>
    <w:p w:rsidR="00526218" w:rsidRDefault="00526218" w:rsidP="00526218">
      <w:pPr>
        <w:pStyle w:val="BodyText"/>
        <w:spacing w:line="276" w:lineRule="auto"/>
        <w:ind w:left="0"/>
        <w:rPr>
          <w:bCs/>
        </w:rPr>
      </w:pPr>
    </w:p>
    <w:p w:rsidR="00526218" w:rsidRDefault="00526218" w:rsidP="00526218">
      <w:pPr>
        <w:pStyle w:val="BodyText"/>
        <w:spacing w:line="276" w:lineRule="auto"/>
      </w:pPr>
      <w:r>
        <w:rPr>
          <w:bCs/>
        </w:rPr>
        <w:t>Research Question 4:</w:t>
      </w:r>
      <w:r>
        <w:t xml:space="preserve"> </w:t>
      </w:r>
      <w:r>
        <w:rPr>
          <w:i/>
          <w:iCs/>
        </w:rPr>
        <w:t>How do competitive dynamics and strategic interactions among participating firms shape bidding outcomes?</w:t>
      </w:r>
    </w:p>
    <w:p w:rsidR="00526218" w:rsidRDefault="00526218" w:rsidP="00526218">
      <w:pPr>
        <w:pStyle w:val="BodyText"/>
        <w:spacing w:line="276" w:lineRule="auto"/>
      </w:pPr>
      <w:r>
        <w:t>Table 3.5 presents the responses of 28 participants on the role of competitive dynamics and strategic interactions in shaping bidding outcomes within Nigeria’s upstream oil and gas lease auctions.</w:t>
      </w:r>
    </w:p>
    <w:p w:rsidR="00526218" w:rsidRDefault="00526218" w:rsidP="00526218">
      <w:pPr>
        <w:pStyle w:val="BodyText"/>
        <w:spacing w:line="276" w:lineRule="auto"/>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10"/>
        <w:gridCol w:w="567"/>
        <w:gridCol w:w="567"/>
        <w:gridCol w:w="567"/>
        <w:gridCol w:w="567"/>
        <w:gridCol w:w="709"/>
        <w:gridCol w:w="850"/>
        <w:gridCol w:w="851"/>
        <w:gridCol w:w="992"/>
      </w:tblGrid>
      <w:tr w:rsidR="00526218" w:rsidTr="00526218">
        <w:tc>
          <w:tcPr>
            <w:tcW w:w="411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rFonts w:eastAsia="Calibri"/>
                <w:bCs/>
                <w:sz w:val="22"/>
                <w:szCs w:val="22"/>
              </w:rPr>
              <w:t>Variables</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rFonts w:eastAsia="Calibri"/>
                <w:bCs/>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rFonts w:eastAsia="Calibri"/>
                <w:bCs/>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rFonts w:eastAsia="Calibri"/>
                <w:bCs/>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rFonts w:eastAsia="Calibri"/>
                <w:bCs/>
                <w:sz w:val="22"/>
                <w:szCs w:val="22"/>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sz w:val="22"/>
                <w:szCs w:val="22"/>
              </w:rPr>
            </w:pPr>
            <w:r>
              <w:rPr>
                <w:bCs/>
                <w:color w:val="000000"/>
                <w:sz w:val="22"/>
                <w:szCs w:val="22"/>
              </w:rPr>
              <w:t>∑X</w:t>
            </w:r>
          </w:p>
        </w:tc>
        <w:tc>
          <w:tcPr>
            <w:tcW w:w="850"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sz w:val="22"/>
                <w:szCs w:val="22"/>
              </w:rPr>
            </w:pPr>
            <w:r>
              <w:rPr>
                <w:bCs/>
                <w:color w:val="000000"/>
                <w:sz w:val="22"/>
                <w:szCs w:val="22"/>
              </w:rPr>
              <w:t>∑FX</w:t>
            </w:r>
          </w:p>
        </w:tc>
        <w:tc>
          <w:tcPr>
            <w:tcW w:w="851"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sz w:val="22"/>
                <w:szCs w:val="22"/>
              </w:rPr>
            </w:pPr>
            <w:r>
              <w:rPr>
                <w:bCs/>
                <w:color w:val="000000"/>
                <w:sz w:val="22"/>
                <w:szCs w:val="22"/>
              </w:rPr>
              <w:t>Mean</w:t>
            </w:r>
          </w:p>
        </w:tc>
        <w:tc>
          <w:tcPr>
            <w:tcW w:w="992" w:type="dxa"/>
            <w:tcBorders>
              <w:top w:val="single" w:sz="4" w:space="0" w:color="auto"/>
              <w:left w:val="single" w:sz="4" w:space="0" w:color="auto"/>
              <w:bottom w:val="single" w:sz="4" w:space="0" w:color="auto"/>
              <w:right w:val="single" w:sz="4" w:space="0" w:color="auto"/>
            </w:tcBorders>
            <w:vAlign w:val="center"/>
            <w:hideMark/>
          </w:tcPr>
          <w:p w:rsidR="00526218" w:rsidRDefault="00526218">
            <w:pPr>
              <w:pStyle w:val="BodyText"/>
              <w:spacing w:line="276" w:lineRule="auto"/>
              <w:rPr>
                <w:rFonts w:eastAsia="Calibri"/>
                <w:bCs/>
                <w:sz w:val="22"/>
                <w:szCs w:val="22"/>
              </w:rPr>
            </w:pPr>
            <w:r>
              <w:rPr>
                <w:bCs/>
                <w:color w:val="000000"/>
                <w:sz w:val="22"/>
                <w:szCs w:val="22"/>
              </w:rPr>
              <w:t>RII</w:t>
            </w:r>
          </w:p>
        </w:tc>
      </w:tr>
      <w:tr w:rsidR="00526218" w:rsidTr="00526218">
        <w:tc>
          <w:tcPr>
            <w:tcW w:w="411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sz w:val="22"/>
                <w:szCs w:val="22"/>
              </w:rPr>
            </w:pPr>
            <w:r>
              <w:rPr>
                <w:rFonts w:eastAsia="Calibri"/>
                <w:sz w:val="22"/>
                <w:szCs w:val="22"/>
              </w:rPr>
              <w:t>We actively monitor competitor behavior when deciding our bid levels.</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23</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107</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3.82</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0.96</w:t>
            </w:r>
          </w:p>
        </w:tc>
      </w:tr>
      <w:tr w:rsidR="00526218" w:rsidTr="00526218">
        <w:tc>
          <w:tcPr>
            <w:tcW w:w="411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sz w:val="22"/>
                <w:szCs w:val="22"/>
              </w:rPr>
            </w:pPr>
            <w:r>
              <w:rPr>
                <w:rFonts w:eastAsia="Calibri"/>
                <w:sz w:val="22"/>
                <w:szCs w:val="22"/>
              </w:rPr>
              <w:t>Price signaling (e.g., subtle bidding cues) is often used in auctions.</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13</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13</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95</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3.39</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0.85</w:t>
            </w:r>
          </w:p>
        </w:tc>
      </w:tr>
      <w:tr w:rsidR="00526218" w:rsidTr="00526218">
        <w:tc>
          <w:tcPr>
            <w:tcW w:w="411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sz w:val="22"/>
                <w:szCs w:val="22"/>
              </w:rPr>
            </w:pPr>
            <w:r>
              <w:rPr>
                <w:rFonts w:eastAsia="Calibri"/>
                <w:sz w:val="22"/>
                <w:szCs w:val="22"/>
              </w:rPr>
              <w:t>Collusion or informal coordination among firms influences bidding outcomes.</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6</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13</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7</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81</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2.89</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0.72</w:t>
            </w:r>
          </w:p>
        </w:tc>
      </w:tr>
      <w:tr w:rsidR="00526218" w:rsidTr="00526218">
        <w:tc>
          <w:tcPr>
            <w:tcW w:w="411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sz w:val="22"/>
                <w:szCs w:val="22"/>
              </w:rPr>
            </w:pPr>
            <w:r>
              <w:rPr>
                <w:rFonts w:eastAsia="Calibri"/>
                <w:sz w:val="22"/>
                <w:szCs w:val="22"/>
              </w:rPr>
              <w:t>Reputation and track record in previous auctions affect our competitors’ strategies.</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12</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8</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80</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2.86</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sz w:val="22"/>
                <w:szCs w:val="22"/>
              </w:rPr>
            </w:pPr>
            <w:r>
              <w:rPr>
                <w:sz w:val="22"/>
                <w:szCs w:val="22"/>
              </w:rPr>
              <w:t>0.71</w:t>
            </w:r>
          </w:p>
        </w:tc>
      </w:tr>
      <w:tr w:rsidR="00526218" w:rsidTr="00526218">
        <w:tc>
          <w:tcPr>
            <w:tcW w:w="411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jc w:val="both"/>
              <w:rPr>
                <w:rFonts w:eastAsia="Calibri"/>
                <w:bCs/>
                <w:sz w:val="22"/>
                <w:szCs w:val="22"/>
              </w:rPr>
            </w:pPr>
            <w:r>
              <w:rPr>
                <w:rFonts w:eastAsia="Calibri"/>
                <w:sz w:val="22"/>
                <w:szCs w:val="22"/>
              </w:rPr>
              <w:t>Game-theoretic reasoning (anticipating rivals’ responses) is part of our bidding approach.</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12</w:t>
            </w:r>
          </w:p>
        </w:tc>
        <w:tc>
          <w:tcPr>
            <w:tcW w:w="567"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rFonts w:eastAsia="Calibri"/>
                <w:bCs/>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28</w:t>
            </w:r>
          </w:p>
        </w:tc>
        <w:tc>
          <w:tcPr>
            <w:tcW w:w="850"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75</w:t>
            </w:r>
          </w:p>
        </w:tc>
        <w:tc>
          <w:tcPr>
            <w:tcW w:w="851"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2.68</w:t>
            </w:r>
          </w:p>
        </w:tc>
        <w:tc>
          <w:tcPr>
            <w:tcW w:w="992" w:type="dxa"/>
            <w:tcBorders>
              <w:top w:val="single" w:sz="4" w:space="0" w:color="auto"/>
              <w:left w:val="single" w:sz="4" w:space="0" w:color="auto"/>
              <w:bottom w:val="single" w:sz="4" w:space="0" w:color="auto"/>
              <w:right w:val="single" w:sz="4" w:space="0" w:color="auto"/>
            </w:tcBorders>
            <w:hideMark/>
          </w:tcPr>
          <w:p w:rsidR="00526218" w:rsidRDefault="00526218">
            <w:pPr>
              <w:pStyle w:val="BodyText"/>
              <w:spacing w:line="276" w:lineRule="auto"/>
              <w:rPr>
                <w:bCs/>
                <w:color w:val="000000"/>
                <w:sz w:val="22"/>
                <w:szCs w:val="22"/>
              </w:rPr>
            </w:pPr>
            <w:r>
              <w:rPr>
                <w:sz w:val="22"/>
                <w:szCs w:val="22"/>
              </w:rPr>
              <w:t>0.67</w:t>
            </w:r>
          </w:p>
        </w:tc>
      </w:tr>
    </w:tbl>
    <w:p w:rsidR="00526218" w:rsidRDefault="00526218" w:rsidP="00526218">
      <w:pPr>
        <w:pStyle w:val="BodyText"/>
        <w:spacing w:line="276" w:lineRule="auto"/>
        <w:rPr>
          <w:rFonts w:eastAsia="Calibri"/>
          <w:b/>
          <w:lang w:val="en-GB"/>
        </w:rPr>
      </w:pPr>
      <w:r>
        <w:rPr>
          <w:rFonts w:eastAsia="Calibri"/>
          <w:b/>
          <w:lang w:val="en-GB"/>
        </w:rPr>
        <w:t>(Source: Researchers field survey, 2025)</w:t>
      </w:r>
    </w:p>
    <w:p w:rsidR="00526218" w:rsidRDefault="00526218" w:rsidP="00526218">
      <w:pPr>
        <w:pStyle w:val="BodyText"/>
        <w:spacing w:line="276" w:lineRule="auto"/>
        <w:ind w:left="0"/>
        <w:jc w:val="both"/>
      </w:pPr>
      <w:r>
        <w:t>Research Question 4: How do competitive dynamics and strategic interactions among participating firms shape bidding outcomes?</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The findings demonstrate that competitive dynamics and strategic interactions are central to shaping bidding outcomes in Nigeria’s upstream oil and gas lease auctions. The most influential factor is active monitoring of competitor </w:t>
      </w:r>
      <w:proofErr w:type="spellStart"/>
      <w:r>
        <w:t>behaviour</w:t>
      </w:r>
      <w:proofErr w:type="spellEnd"/>
      <w:r>
        <w:t xml:space="preserve">, which recorded the highest mean score (3.82) and Relative Importance Index (0.96). This shows that firms closely track rivals’ actions to adjust their bid levels, making competitor surveillance a critical determinant of outcomes—even if respondents do not always overtly acknowledge it.  </w:t>
      </w:r>
    </w:p>
    <w:p w:rsidR="00526218" w:rsidRDefault="00526218" w:rsidP="00526218">
      <w:pPr>
        <w:pStyle w:val="BodyText"/>
        <w:spacing w:line="276" w:lineRule="auto"/>
        <w:jc w:val="both"/>
      </w:pPr>
    </w:p>
    <w:p w:rsidR="00526218" w:rsidRDefault="00526218" w:rsidP="00526218">
      <w:pPr>
        <w:pStyle w:val="BodyText"/>
        <w:spacing w:line="276" w:lineRule="auto"/>
        <w:jc w:val="both"/>
      </w:pPr>
      <w:r>
        <w:lastRenderedPageBreak/>
        <w:t xml:space="preserve">Price signaling, involving subtle cues to influence rivals’ perceptions, also plays a notable role (Mean = 3.39, RII = 0.85). While not widespread, its presence indicates that some firms employ strategic communication to shape auction dynamics, though overt signaling remains limited. Collusion or informal coordination (Mean = 2.89, RII = 0.72) and reputation or track record (Mean = 2.86, RII = 0.71) exert moderate influence, suggesting that alliances and historical performance shape strategies but are not dominant drivers due to regulatory scrutiny and ethical considerations.  </w:t>
      </w:r>
    </w:p>
    <w:p w:rsidR="00526218" w:rsidRDefault="00526218" w:rsidP="00526218">
      <w:pPr>
        <w:pStyle w:val="BodyText"/>
        <w:spacing w:line="276" w:lineRule="auto"/>
        <w:jc w:val="both"/>
      </w:pPr>
    </w:p>
    <w:p w:rsidR="00526218" w:rsidRDefault="00526218" w:rsidP="00526218">
      <w:pPr>
        <w:pStyle w:val="BodyText"/>
        <w:spacing w:line="276" w:lineRule="auto"/>
        <w:jc w:val="both"/>
      </w:pPr>
      <w:r>
        <w:t xml:space="preserve">The least relied upon factor is game-theoretic reasoning (Mean = 2.68, RII = 0.67), reflecting limited use of formal strategic modelling. Instead, most firms appear to depend on simpler heuristics or internal assessments rather than sophisticated competitive simulations.  </w:t>
      </w:r>
    </w:p>
    <w:p w:rsidR="00526218" w:rsidRDefault="00526218" w:rsidP="00526218">
      <w:pPr>
        <w:pStyle w:val="BodyText"/>
        <w:spacing w:line="276" w:lineRule="auto"/>
        <w:ind w:left="0"/>
        <w:jc w:val="both"/>
      </w:pPr>
    </w:p>
    <w:p w:rsidR="00526218" w:rsidRDefault="00526218" w:rsidP="00526218">
      <w:pPr>
        <w:pStyle w:val="BodyText"/>
        <w:spacing w:line="276" w:lineRule="auto"/>
        <w:rPr>
          <w:b/>
        </w:rPr>
      </w:pPr>
      <w:r>
        <w:rPr>
          <w:b/>
        </w:rPr>
        <w:t>4.3 Conclusion and Recommendation</w:t>
      </w:r>
    </w:p>
    <w:p w:rsidR="00526218" w:rsidRDefault="00526218" w:rsidP="00526218">
      <w:pPr>
        <w:pStyle w:val="BodyText"/>
        <w:spacing w:line="276" w:lineRule="auto"/>
        <w:jc w:val="both"/>
      </w:pPr>
      <w:r>
        <w:rPr>
          <w:b/>
        </w:rPr>
        <w:br/>
      </w:r>
      <w:r>
        <w:t xml:space="preserve">Nigeria’s upstream oil and gas lease auctions reveal a sector defined by cautious, collaborative, and risk-sensitive bidding strategies, shaped by capital intensity, geological uncertainty, and volatile global oil prices. Firms rely on conservative bids and joint ventures to mitigate financial exposure and avoid the “winner’s curse,” while external forces, government regulation, competition, macroeconomic conditions, and auction design further determine outcomes. Transparency enhances confidence, yet uncertainty persists, with oil price fluctuations, regulatory unpredictability, and data gaps exerting the greatest influence. Taken together, these dynamics underscore an auction environment where risk aversion and collaboration dominate, but where reforms such as the Petroleum Industry Act (2021) hold the potential to reshape bidding behavior. Future research should therefore assess whether these reforms have delivered greater transparency, efficiency, and competitiveness, marking a critical step toward strengthening Nigeria’s upstream oil and gas sector.  </w:t>
      </w:r>
    </w:p>
    <w:p w:rsidR="00526218" w:rsidRDefault="00526218" w:rsidP="00526218">
      <w:pPr>
        <w:pStyle w:val="BodyText"/>
        <w:spacing w:line="276" w:lineRule="auto"/>
        <w:jc w:val="both"/>
        <w:rPr>
          <w:bCs/>
        </w:rPr>
      </w:pPr>
    </w:p>
    <w:p w:rsidR="00526218" w:rsidRDefault="00526218" w:rsidP="00526218">
      <w:pPr>
        <w:spacing w:after="0" w:line="276" w:lineRule="auto"/>
        <w:jc w:val="both"/>
        <w:rPr>
          <w:rFonts w:ascii="Times New Roman" w:hAnsi="Times New Roman" w:cs="Times New Roman"/>
          <w:b/>
          <w:bCs/>
        </w:rPr>
      </w:pPr>
      <w:r>
        <w:rPr>
          <w:rFonts w:ascii="Times New Roman" w:hAnsi="Times New Roman" w:cs="Times New Roman"/>
          <w:b/>
          <w:bCs/>
        </w:rPr>
        <w:t>REFERENCES</w:t>
      </w:r>
    </w:p>
    <w:p w:rsidR="00526218" w:rsidRDefault="00526218" w:rsidP="00526218">
      <w:pPr>
        <w:spacing w:after="0" w:line="276" w:lineRule="auto"/>
        <w:jc w:val="both"/>
        <w:rPr>
          <w:rFonts w:ascii="Times New Roman" w:hAnsi="Times New Roman" w:cs="Times New Roman"/>
          <w:b/>
          <w:bCs/>
        </w:rPr>
      </w:pP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Aderoba</w:t>
      </w:r>
      <w:proofErr w:type="spellEnd"/>
      <w:r>
        <w:rPr>
          <w:rFonts w:ascii="Times New Roman" w:hAnsi="Times New Roman" w:cs="Times New Roman"/>
        </w:rPr>
        <w:t xml:space="preserve">, A. A. (1977). </w:t>
      </w:r>
      <w:r>
        <w:rPr>
          <w:rFonts w:ascii="Times New Roman" w:hAnsi="Times New Roman" w:cs="Times New Roman"/>
          <w:i/>
          <w:iCs/>
        </w:rPr>
        <w:t>Application of Tolerance Ranges in Project Selection</w:t>
      </w:r>
      <w:r>
        <w:rPr>
          <w:rFonts w:ascii="Times New Roman" w:hAnsi="Times New Roman" w:cs="Times New Roman"/>
        </w:rPr>
        <w:t>. Unpublished research manuscript.</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Arps, J. J. (1965). A strategy for sealed bidding. </w:t>
      </w:r>
      <w:r>
        <w:rPr>
          <w:rFonts w:ascii="Times New Roman" w:hAnsi="Times New Roman" w:cs="Times New Roman"/>
          <w:i/>
          <w:iCs/>
        </w:rPr>
        <w:t>Journal of Petroleum Technology</w:t>
      </w:r>
      <w:r>
        <w:rPr>
          <w:rFonts w:ascii="Times New Roman" w:hAnsi="Times New Roman" w:cs="Times New Roman"/>
        </w:rPr>
        <w:t xml:space="preserve">, 17(9), 1033–1039. </w:t>
      </w:r>
      <w:hyperlink r:id="rId5" w:tgtFrame="_new" w:history="1">
        <w:r>
          <w:rPr>
            <w:rStyle w:val="Hyperlink"/>
            <w:rFonts w:ascii="Times New Roman" w:hAnsi="Times New Roman" w:cs="Times New Roman"/>
          </w:rPr>
          <w:t>https://doi.org/10.2118/1095-PA</w:t>
        </w:r>
      </w:hyperlink>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Arthur, M., &amp; Sonia, L. (1980). Value analysis and decision-making in multi-criteria environments. </w:t>
      </w:r>
      <w:r>
        <w:rPr>
          <w:rFonts w:ascii="Times New Roman" w:hAnsi="Times New Roman" w:cs="Times New Roman"/>
          <w:i/>
          <w:iCs/>
        </w:rPr>
        <w:t>Journal of Engineering Economics</w:t>
      </w:r>
      <w:r>
        <w:rPr>
          <w:rFonts w:ascii="Times New Roman" w:hAnsi="Times New Roman" w:cs="Times New Roman"/>
        </w:rPr>
        <w:t>, 27(4), 215–228.</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Charnes</w:t>
      </w:r>
      <w:proofErr w:type="spellEnd"/>
      <w:r>
        <w:rPr>
          <w:rFonts w:ascii="Times New Roman" w:hAnsi="Times New Roman" w:cs="Times New Roman"/>
        </w:rPr>
        <w:t xml:space="preserve">, A., &amp; Cooper, W. W. (1961). </w:t>
      </w:r>
      <w:r>
        <w:rPr>
          <w:rFonts w:ascii="Times New Roman" w:hAnsi="Times New Roman" w:cs="Times New Roman"/>
          <w:i/>
          <w:iCs/>
        </w:rPr>
        <w:t>Management Models and Industrial Applications of Linear Programming</w:t>
      </w:r>
      <w:r>
        <w:rPr>
          <w:rFonts w:ascii="Times New Roman" w:hAnsi="Times New Roman" w:cs="Times New Roman"/>
        </w:rPr>
        <w:t>. New York: Wiley.</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Churchman, C. W., </w:t>
      </w:r>
      <w:proofErr w:type="spellStart"/>
      <w:r>
        <w:rPr>
          <w:rFonts w:ascii="Times New Roman" w:hAnsi="Times New Roman" w:cs="Times New Roman"/>
        </w:rPr>
        <w:t>Ackoff</w:t>
      </w:r>
      <w:proofErr w:type="spellEnd"/>
      <w:r>
        <w:rPr>
          <w:rFonts w:ascii="Times New Roman" w:hAnsi="Times New Roman" w:cs="Times New Roman"/>
        </w:rPr>
        <w:t xml:space="preserve">, R. L., &amp; </w:t>
      </w:r>
      <w:proofErr w:type="spellStart"/>
      <w:r>
        <w:rPr>
          <w:rFonts w:ascii="Times New Roman" w:hAnsi="Times New Roman" w:cs="Times New Roman"/>
        </w:rPr>
        <w:t>Arnoff</w:t>
      </w:r>
      <w:proofErr w:type="spellEnd"/>
      <w:r>
        <w:rPr>
          <w:rFonts w:ascii="Times New Roman" w:hAnsi="Times New Roman" w:cs="Times New Roman"/>
        </w:rPr>
        <w:t xml:space="preserve">, E. L. (1956). </w:t>
      </w:r>
      <w:r>
        <w:rPr>
          <w:rFonts w:ascii="Times New Roman" w:hAnsi="Times New Roman" w:cs="Times New Roman"/>
          <w:i/>
          <w:iCs/>
        </w:rPr>
        <w:t>Introduction to Operations Research</w:t>
      </w:r>
      <w:r>
        <w:rPr>
          <w:rFonts w:ascii="Times New Roman" w:hAnsi="Times New Roman" w:cs="Times New Roman"/>
        </w:rPr>
        <w:t>. New York: Wiley.</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Cooke, B., &amp; Williams, P. (2015). </w:t>
      </w:r>
      <w:r>
        <w:rPr>
          <w:rFonts w:ascii="Times New Roman" w:hAnsi="Times New Roman" w:cs="Times New Roman"/>
          <w:i/>
          <w:iCs/>
        </w:rPr>
        <w:t>Construction planning, programming and control: Bidding strategy of construction companies</w:t>
      </w:r>
      <w:r>
        <w:rPr>
          <w:rFonts w:ascii="Times New Roman" w:hAnsi="Times New Roman" w:cs="Times New Roman"/>
        </w:rPr>
        <w:t xml:space="preserve"> [Construction essay]. Published March 23.</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Covert, T. R., &amp; Sweeney, R. L. (2023). </w:t>
      </w:r>
      <w:r>
        <w:rPr>
          <w:rFonts w:ascii="Times New Roman" w:hAnsi="Times New Roman" w:cs="Times New Roman"/>
          <w:i/>
          <w:iCs/>
        </w:rPr>
        <w:t>Relinquishing riches: Auctions versus informal negotiations in Texas oil and gas leasing</w:t>
      </w:r>
      <w:r>
        <w:rPr>
          <w:rFonts w:ascii="Times New Roman" w:hAnsi="Times New Roman" w:cs="Times New Roman"/>
        </w:rPr>
        <w:t>. American Economic Review, 113(4), 1124–1160. https://doi.org/10.1257/aer.20191594</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lastRenderedPageBreak/>
        <w:t xml:space="preserve">Cramton, P. (2009). Designing auctions for oil and gas lease sales: Evidence from the U.S. offshore. In P. Cramton, Y. </w:t>
      </w:r>
      <w:proofErr w:type="spellStart"/>
      <w:r>
        <w:rPr>
          <w:rFonts w:ascii="Times New Roman" w:hAnsi="Times New Roman" w:cs="Times New Roman"/>
        </w:rPr>
        <w:t>Shoham</w:t>
      </w:r>
      <w:proofErr w:type="spellEnd"/>
      <w:r>
        <w:rPr>
          <w:rFonts w:ascii="Times New Roman" w:hAnsi="Times New Roman" w:cs="Times New Roman"/>
        </w:rPr>
        <w:t xml:space="preserve">, &amp; R. Steinberg (Eds.), </w:t>
      </w:r>
      <w:r>
        <w:rPr>
          <w:rFonts w:ascii="Times New Roman" w:hAnsi="Times New Roman" w:cs="Times New Roman"/>
          <w:i/>
          <w:iCs/>
        </w:rPr>
        <w:t>Combinatorial Auctions</w:t>
      </w:r>
      <w:r>
        <w:rPr>
          <w:rFonts w:ascii="Times New Roman" w:hAnsi="Times New Roman" w:cs="Times New Roman"/>
        </w:rPr>
        <w:t xml:space="preserve"> (pp. 537–578). MIT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Cramton, P. (2009). Designing auctions for oil and gas lease sales: Evidence from the U.S. offshore. In P. Cramton, Y. </w:t>
      </w:r>
      <w:proofErr w:type="spellStart"/>
      <w:r>
        <w:rPr>
          <w:rFonts w:ascii="Times New Roman" w:hAnsi="Times New Roman" w:cs="Times New Roman"/>
        </w:rPr>
        <w:t>Shoham</w:t>
      </w:r>
      <w:proofErr w:type="spellEnd"/>
      <w:r>
        <w:rPr>
          <w:rFonts w:ascii="Times New Roman" w:hAnsi="Times New Roman" w:cs="Times New Roman"/>
        </w:rPr>
        <w:t xml:space="preserve">, &amp; R. Steinberg (Eds.), </w:t>
      </w:r>
      <w:r>
        <w:rPr>
          <w:rFonts w:ascii="Times New Roman" w:hAnsi="Times New Roman" w:cs="Times New Roman"/>
          <w:i/>
          <w:iCs/>
        </w:rPr>
        <w:t>Combinatorial Auctions</w:t>
      </w:r>
      <w:r>
        <w:rPr>
          <w:rFonts w:ascii="Times New Roman" w:hAnsi="Times New Roman" w:cs="Times New Roman"/>
        </w:rPr>
        <w:t xml:space="preserve"> (pp. 537–578). MIT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Daniel, P., Johnston, D., &amp; Tyrrell, T. (2017). </w:t>
      </w:r>
      <w:r>
        <w:rPr>
          <w:rFonts w:ascii="Times New Roman" w:hAnsi="Times New Roman" w:cs="Times New Roman"/>
          <w:i/>
          <w:iCs/>
        </w:rPr>
        <w:t>Petroleum fiscal systems: Analysis and design</w:t>
      </w:r>
      <w:r>
        <w:rPr>
          <w:rFonts w:ascii="Times New Roman" w:hAnsi="Times New Roman" w:cs="Times New Roman"/>
        </w:rPr>
        <w:t>. Routledge.</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Elumelu</w:t>
      </w:r>
      <w:proofErr w:type="spellEnd"/>
      <w:r>
        <w:rPr>
          <w:rFonts w:ascii="Times New Roman" w:hAnsi="Times New Roman" w:cs="Times New Roman"/>
        </w:rPr>
        <w:t xml:space="preserve">, O. (2007). </w:t>
      </w:r>
      <w:r>
        <w:rPr>
          <w:rFonts w:ascii="Times New Roman" w:hAnsi="Times New Roman" w:cs="Times New Roman"/>
          <w:i/>
          <w:iCs/>
        </w:rPr>
        <w:t>Licenses, leases and other contractual arrangements for the exploration and production of petroleum: A comparative study between Nigeria and the United States</w:t>
      </w:r>
      <w:r>
        <w:rPr>
          <w:rFonts w:ascii="Times New Roman" w:hAnsi="Times New Roman" w:cs="Times New Roman"/>
        </w:rPr>
        <w:t xml:space="preserve"> (Master’s thesis, University of Georgia). </w:t>
      </w:r>
      <w:hyperlink r:id="rId6" w:history="1">
        <w:r>
          <w:rPr>
            <w:rStyle w:val="Hyperlink"/>
            <w:rFonts w:ascii="Times New Roman" w:hAnsi="Times New Roman" w:cs="Times New Roman"/>
          </w:rPr>
          <w:t>https://gilfind.uga.edu</w:t>
        </w:r>
      </w:hyperlink>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Federal Republic of Nigeria. (2021). </w:t>
      </w:r>
      <w:r>
        <w:rPr>
          <w:rFonts w:ascii="Times New Roman" w:hAnsi="Times New Roman" w:cs="Times New Roman"/>
          <w:i/>
          <w:iCs/>
        </w:rPr>
        <w:t>Petroleum Industry Act</w:t>
      </w:r>
      <w:r>
        <w:rPr>
          <w:rFonts w:ascii="Times New Roman" w:hAnsi="Times New Roman" w:cs="Times New Roman"/>
        </w:rPr>
        <w:t>. Abuja: Government Printing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Federal Republic of Nigeria. (2021). </w:t>
      </w:r>
      <w:r>
        <w:rPr>
          <w:rFonts w:ascii="Times New Roman" w:hAnsi="Times New Roman" w:cs="Times New Roman"/>
          <w:i/>
          <w:iCs/>
        </w:rPr>
        <w:t>Petroleum Industry Act</w:t>
      </w:r>
      <w:r>
        <w:rPr>
          <w:rFonts w:ascii="Times New Roman" w:hAnsi="Times New Roman" w:cs="Times New Roman"/>
        </w:rPr>
        <w:t>. Abuja: Government Printing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Haile, P. A., Hendricks, K., &amp; Porter, R. H. (2010). Recent US offshore oil and gas lease bidding: A progress report. </w:t>
      </w:r>
      <w:r>
        <w:rPr>
          <w:rFonts w:ascii="Times New Roman" w:hAnsi="Times New Roman" w:cs="Times New Roman"/>
          <w:i/>
          <w:iCs/>
        </w:rPr>
        <w:t>International Journal of Industrial Organization</w:t>
      </w:r>
      <w:r>
        <w:rPr>
          <w:rFonts w:ascii="Times New Roman" w:hAnsi="Times New Roman" w:cs="Times New Roman"/>
        </w:rPr>
        <w:t>, 28(3), 390–396. https://doi.org/10.1016/j.ijindorg.2010.01.004</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Hendricks, K., Porter, R. H., &amp; Tan, G. (1993). Optimal selling strategies for oil and gas leases with an informed buyer. </w:t>
      </w:r>
      <w:r>
        <w:rPr>
          <w:rFonts w:ascii="Times New Roman" w:hAnsi="Times New Roman" w:cs="Times New Roman"/>
          <w:i/>
          <w:iCs/>
        </w:rPr>
        <w:t>The American Economic Review</w:t>
      </w:r>
      <w:r>
        <w:rPr>
          <w:rFonts w:ascii="Times New Roman" w:hAnsi="Times New Roman" w:cs="Times New Roman"/>
        </w:rPr>
        <w:t xml:space="preserve">, 83(2), 234–239. </w:t>
      </w:r>
      <w:hyperlink r:id="rId7" w:tgtFrame="_new" w:history="1">
        <w:r>
          <w:rPr>
            <w:rStyle w:val="Hyperlink"/>
            <w:rFonts w:ascii="Times New Roman" w:hAnsi="Times New Roman" w:cs="Times New Roman"/>
          </w:rPr>
          <w:t>https://www.jstor.org/stable/2117670</w:t>
        </w:r>
      </w:hyperlink>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Hortaçsu</w:t>
      </w:r>
      <w:proofErr w:type="spellEnd"/>
      <w:r>
        <w:rPr>
          <w:rFonts w:ascii="Times New Roman" w:hAnsi="Times New Roman" w:cs="Times New Roman"/>
        </w:rPr>
        <w:t xml:space="preserve">, A., &amp; </w:t>
      </w:r>
      <w:proofErr w:type="spellStart"/>
      <w:r>
        <w:rPr>
          <w:rFonts w:ascii="Times New Roman" w:hAnsi="Times New Roman" w:cs="Times New Roman"/>
        </w:rPr>
        <w:t>Perrigne</w:t>
      </w:r>
      <w:proofErr w:type="spellEnd"/>
      <w:r>
        <w:rPr>
          <w:rFonts w:ascii="Times New Roman" w:hAnsi="Times New Roman" w:cs="Times New Roman"/>
        </w:rPr>
        <w:t xml:space="preserve">, I. (2021). </w:t>
      </w:r>
      <w:r>
        <w:rPr>
          <w:rFonts w:ascii="Times New Roman" w:hAnsi="Times New Roman" w:cs="Times New Roman"/>
          <w:i/>
          <w:iCs/>
        </w:rPr>
        <w:t>Empirical perspectives on auctions</w:t>
      </w:r>
      <w:r>
        <w:rPr>
          <w:rFonts w:ascii="Times New Roman" w:hAnsi="Times New Roman" w:cs="Times New Roman"/>
        </w:rPr>
        <w:t>. Handbook of Industrial Organization. https://doi.org/10.1016/B978-0-444-64107-4.00014-6</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Hwang, C. L., &amp; </w:t>
      </w:r>
      <w:proofErr w:type="spellStart"/>
      <w:r>
        <w:rPr>
          <w:rFonts w:ascii="Times New Roman" w:hAnsi="Times New Roman" w:cs="Times New Roman"/>
        </w:rPr>
        <w:t>Masud</w:t>
      </w:r>
      <w:proofErr w:type="spellEnd"/>
      <w:r>
        <w:rPr>
          <w:rFonts w:ascii="Times New Roman" w:hAnsi="Times New Roman" w:cs="Times New Roman"/>
        </w:rPr>
        <w:t xml:space="preserve">, A. S. M. (1979). </w:t>
      </w:r>
      <w:r>
        <w:rPr>
          <w:rFonts w:ascii="Times New Roman" w:hAnsi="Times New Roman" w:cs="Times New Roman"/>
          <w:i/>
          <w:iCs/>
        </w:rPr>
        <w:t>Multiple Objective Decision Making: Methods and Applications</w:t>
      </w:r>
      <w:r>
        <w:rPr>
          <w:rFonts w:ascii="Times New Roman" w:hAnsi="Times New Roman" w:cs="Times New Roman"/>
        </w:rPr>
        <w:t>. Berlin: Springer-</w:t>
      </w:r>
      <w:proofErr w:type="spellStart"/>
      <w:r>
        <w:rPr>
          <w:rFonts w:ascii="Times New Roman" w:hAnsi="Times New Roman" w:cs="Times New Roman"/>
        </w:rPr>
        <w:t>Verlag</w:t>
      </w:r>
      <w:proofErr w:type="spellEnd"/>
      <w:r>
        <w:rPr>
          <w:rFonts w:ascii="Times New Roman" w:hAnsi="Times New Roman" w:cs="Times New Roman"/>
        </w:rPr>
        <w:t>.</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Iledare</w:t>
      </w:r>
      <w:proofErr w:type="spellEnd"/>
      <w:r>
        <w:rPr>
          <w:rFonts w:ascii="Times New Roman" w:hAnsi="Times New Roman" w:cs="Times New Roman"/>
        </w:rPr>
        <w:t xml:space="preserve">, O. O., &amp; </w:t>
      </w:r>
      <w:proofErr w:type="spellStart"/>
      <w:r>
        <w:rPr>
          <w:rFonts w:ascii="Times New Roman" w:hAnsi="Times New Roman" w:cs="Times New Roman"/>
        </w:rPr>
        <w:t>Pulsipher</w:t>
      </w:r>
      <w:proofErr w:type="spellEnd"/>
      <w:r>
        <w:rPr>
          <w:rFonts w:ascii="Times New Roman" w:hAnsi="Times New Roman" w:cs="Times New Roman"/>
        </w:rPr>
        <w:t xml:space="preserve">, A. G. (2007). Joint bidding restriction policy for selective E&amp;P firms in the US Gulf of Mexico OCS: How persuasive is its effectiveness? </w:t>
      </w:r>
      <w:r>
        <w:rPr>
          <w:rFonts w:ascii="Times New Roman" w:hAnsi="Times New Roman" w:cs="Times New Roman"/>
          <w:i/>
          <w:iCs/>
        </w:rPr>
        <w:t>Energy Policy</w:t>
      </w:r>
      <w:r>
        <w:rPr>
          <w:rFonts w:ascii="Times New Roman" w:hAnsi="Times New Roman" w:cs="Times New Roman"/>
        </w:rPr>
        <w:t>, 35(11), 6191–6206. https://doi.org/10.1016/j.enpol.2007.07.007</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Jacquet</w:t>
      </w:r>
      <w:proofErr w:type="spellEnd"/>
      <w:r>
        <w:rPr>
          <w:rFonts w:ascii="Times New Roman" w:hAnsi="Times New Roman" w:cs="Times New Roman"/>
        </w:rPr>
        <w:t xml:space="preserve">, P., </w:t>
      </w:r>
      <w:proofErr w:type="spellStart"/>
      <w:r>
        <w:rPr>
          <w:rFonts w:ascii="Times New Roman" w:hAnsi="Times New Roman" w:cs="Times New Roman"/>
        </w:rPr>
        <w:t>Vansnick</w:t>
      </w:r>
      <w:proofErr w:type="spellEnd"/>
      <w:r>
        <w:rPr>
          <w:rFonts w:ascii="Times New Roman" w:hAnsi="Times New Roman" w:cs="Times New Roman"/>
        </w:rPr>
        <w:t xml:space="preserve">, J. C., &amp; </w:t>
      </w:r>
      <w:proofErr w:type="spellStart"/>
      <w:r>
        <w:rPr>
          <w:rFonts w:ascii="Times New Roman" w:hAnsi="Times New Roman" w:cs="Times New Roman"/>
        </w:rPr>
        <w:t>Ringuest</w:t>
      </w:r>
      <w:proofErr w:type="spellEnd"/>
      <w:r>
        <w:rPr>
          <w:rFonts w:ascii="Times New Roman" w:hAnsi="Times New Roman" w:cs="Times New Roman"/>
        </w:rPr>
        <w:t xml:space="preserve">, J. (1987). </w:t>
      </w:r>
      <w:proofErr w:type="spellStart"/>
      <w:r>
        <w:rPr>
          <w:rFonts w:ascii="Times New Roman" w:hAnsi="Times New Roman" w:cs="Times New Roman"/>
        </w:rPr>
        <w:t>Multicriteria</w:t>
      </w:r>
      <w:proofErr w:type="spellEnd"/>
      <w:r>
        <w:rPr>
          <w:rFonts w:ascii="Times New Roman" w:hAnsi="Times New Roman" w:cs="Times New Roman"/>
        </w:rPr>
        <w:t xml:space="preserve"> preference aid: The goal programming model. </w:t>
      </w:r>
      <w:r>
        <w:rPr>
          <w:rFonts w:ascii="Times New Roman" w:hAnsi="Times New Roman" w:cs="Times New Roman"/>
          <w:i/>
          <w:iCs/>
        </w:rPr>
        <w:t>European Journal of Operational Research</w:t>
      </w:r>
      <w:r>
        <w:rPr>
          <w:rFonts w:ascii="Times New Roman" w:hAnsi="Times New Roman" w:cs="Times New Roman"/>
        </w:rPr>
        <w:t>, 30(2), 129–144.</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Jehiel</w:t>
      </w:r>
      <w:proofErr w:type="spellEnd"/>
      <w:r>
        <w:rPr>
          <w:rFonts w:ascii="Times New Roman" w:hAnsi="Times New Roman" w:cs="Times New Roman"/>
        </w:rPr>
        <w:t xml:space="preserve">, P., &amp; </w:t>
      </w:r>
      <w:proofErr w:type="spellStart"/>
      <w:r>
        <w:rPr>
          <w:rFonts w:ascii="Times New Roman" w:hAnsi="Times New Roman" w:cs="Times New Roman"/>
        </w:rPr>
        <w:t>Moldovanu</w:t>
      </w:r>
      <w:proofErr w:type="spellEnd"/>
      <w:r>
        <w:rPr>
          <w:rFonts w:ascii="Times New Roman" w:hAnsi="Times New Roman" w:cs="Times New Roman"/>
        </w:rPr>
        <w:t xml:space="preserve">, B. (2001). The European spectrum auctions. </w:t>
      </w:r>
      <w:r>
        <w:rPr>
          <w:rFonts w:ascii="Times New Roman" w:hAnsi="Times New Roman" w:cs="Times New Roman"/>
          <w:i/>
          <w:iCs/>
        </w:rPr>
        <w:t>Information Economics and Policy</w:t>
      </w:r>
      <w:r>
        <w:rPr>
          <w:rFonts w:ascii="Times New Roman" w:hAnsi="Times New Roman" w:cs="Times New Roman"/>
        </w:rPr>
        <w:t>, 13(1), 1–28. https://doi.org/10.1016/S0167-6245(01)00032-3</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Kagel</w:t>
      </w:r>
      <w:proofErr w:type="spellEnd"/>
      <w:r>
        <w:rPr>
          <w:rFonts w:ascii="Times New Roman" w:hAnsi="Times New Roman" w:cs="Times New Roman"/>
        </w:rPr>
        <w:t xml:space="preserve">, J. H., &amp; Levin, D. (1986). The winner’s curse and public information in common value auctions. </w:t>
      </w:r>
      <w:r>
        <w:rPr>
          <w:rFonts w:ascii="Times New Roman" w:hAnsi="Times New Roman" w:cs="Times New Roman"/>
          <w:i/>
          <w:iCs/>
        </w:rPr>
        <w:t>American Economic Review</w:t>
      </w:r>
      <w:r>
        <w:rPr>
          <w:rFonts w:ascii="Times New Roman" w:hAnsi="Times New Roman" w:cs="Times New Roman"/>
        </w:rPr>
        <w:t>, 76(5), 894–920. https://doi.org/10.2307/1816456</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Kagel</w:t>
      </w:r>
      <w:proofErr w:type="spellEnd"/>
      <w:r>
        <w:rPr>
          <w:rFonts w:ascii="Times New Roman" w:hAnsi="Times New Roman" w:cs="Times New Roman"/>
        </w:rPr>
        <w:t xml:space="preserve">, J. H., &amp; Levin, D. (1986). The winner’s curse and public information in common value auctions. </w:t>
      </w:r>
      <w:r>
        <w:rPr>
          <w:rFonts w:ascii="Times New Roman" w:hAnsi="Times New Roman" w:cs="Times New Roman"/>
          <w:i/>
          <w:iCs/>
        </w:rPr>
        <w:t>American Economic Review</w:t>
      </w:r>
      <w:r>
        <w:rPr>
          <w:rFonts w:ascii="Times New Roman" w:hAnsi="Times New Roman" w:cs="Times New Roman"/>
        </w:rPr>
        <w:t>, 76(5), 894–920. https://doi.org/10.2307/1816456</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Kagel</w:t>
      </w:r>
      <w:proofErr w:type="spellEnd"/>
      <w:r>
        <w:rPr>
          <w:rFonts w:ascii="Times New Roman" w:hAnsi="Times New Roman" w:cs="Times New Roman"/>
        </w:rPr>
        <w:t xml:space="preserve">, J. H., &amp; Levin, D. (2002). </w:t>
      </w:r>
      <w:r>
        <w:rPr>
          <w:rFonts w:ascii="Times New Roman" w:hAnsi="Times New Roman" w:cs="Times New Roman"/>
          <w:i/>
          <w:iCs/>
        </w:rPr>
        <w:t>Common value auctions and the winner's curse</w:t>
      </w:r>
      <w:r>
        <w:rPr>
          <w:rFonts w:ascii="Times New Roman" w:hAnsi="Times New Roman" w:cs="Times New Roman"/>
        </w:rPr>
        <w:t>. Princeton University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Klemperer, P. (2002). </w:t>
      </w:r>
      <w:r>
        <w:rPr>
          <w:rFonts w:ascii="Times New Roman" w:hAnsi="Times New Roman" w:cs="Times New Roman"/>
          <w:i/>
          <w:iCs/>
        </w:rPr>
        <w:t>Auction theory: A guide to the literature</w:t>
      </w:r>
      <w:r>
        <w:rPr>
          <w:rFonts w:ascii="Times New Roman" w:hAnsi="Times New Roman" w:cs="Times New Roman"/>
        </w:rPr>
        <w:t xml:space="preserve">. Forthcoming in </w:t>
      </w:r>
      <w:r>
        <w:rPr>
          <w:rFonts w:ascii="Times New Roman" w:hAnsi="Times New Roman" w:cs="Times New Roman"/>
          <w:i/>
          <w:iCs/>
        </w:rPr>
        <w:t>Journal of Economic Surveys</w:t>
      </w:r>
      <w:r>
        <w:rPr>
          <w:rFonts w:ascii="Times New Roman" w:hAnsi="Times New Roman" w:cs="Times New Roman"/>
        </w:rPr>
        <w:t>. Retrieved from https://www.nuff.ox.ac.uk/users/klemperer/</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Klemperer, P. (2002). </w:t>
      </w:r>
      <w:r>
        <w:rPr>
          <w:rFonts w:ascii="Times New Roman" w:hAnsi="Times New Roman" w:cs="Times New Roman"/>
          <w:i/>
          <w:iCs/>
        </w:rPr>
        <w:t>Auction theory: A guide to the literature</w:t>
      </w:r>
      <w:r>
        <w:rPr>
          <w:rFonts w:ascii="Times New Roman" w:hAnsi="Times New Roman" w:cs="Times New Roman"/>
        </w:rPr>
        <w:t xml:space="preserve">. </w:t>
      </w:r>
      <w:r>
        <w:rPr>
          <w:rFonts w:ascii="Times New Roman" w:hAnsi="Times New Roman" w:cs="Times New Roman"/>
          <w:i/>
          <w:iCs/>
        </w:rPr>
        <w:t>Journal of Economic Surveys</w:t>
      </w:r>
      <w:r>
        <w:rPr>
          <w:rFonts w:ascii="Times New Roman" w:hAnsi="Times New Roman" w:cs="Times New Roman"/>
        </w:rPr>
        <w:t>. Retrieved from https://www.nuff.ox.ac.uk/users/klemperer</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Klemperer, P. (2002). </w:t>
      </w:r>
      <w:r>
        <w:rPr>
          <w:rFonts w:ascii="Times New Roman" w:hAnsi="Times New Roman" w:cs="Times New Roman"/>
          <w:i/>
          <w:iCs/>
        </w:rPr>
        <w:t>Auction theory: A guide to the literature</w:t>
      </w:r>
      <w:r>
        <w:rPr>
          <w:rFonts w:ascii="Times New Roman" w:hAnsi="Times New Roman" w:cs="Times New Roman"/>
        </w:rPr>
        <w:t xml:space="preserve">. </w:t>
      </w:r>
      <w:r>
        <w:rPr>
          <w:rFonts w:ascii="Times New Roman" w:hAnsi="Times New Roman" w:cs="Times New Roman"/>
          <w:i/>
          <w:iCs/>
        </w:rPr>
        <w:t>Journal of Economic Surveys</w:t>
      </w:r>
      <w:r>
        <w:rPr>
          <w:rFonts w:ascii="Times New Roman" w:hAnsi="Times New Roman" w:cs="Times New Roman"/>
        </w:rPr>
        <w:t>. Retrieved from https://www.nuff.ox.ac.uk/users/klemperer</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Klemperer, P. (2004). </w:t>
      </w:r>
      <w:r>
        <w:rPr>
          <w:rFonts w:ascii="Times New Roman" w:hAnsi="Times New Roman" w:cs="Times New Roman"/>
          <w:i/>
          <w:iCs/>
        </w:rPr>
        <w:t>Auctions: Theory and practice</w:t>
      </w:r>
      <w:r>
        <w:rPr>
          <w:rFonts w:ascii="Times New Roman" w:hAnsi="Times New Roman" w:cs="Times New Roman"/>
        </w:rPr>
        <w:t>. Princeton University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Kuhn, H. W. (2019). </w:t>
      </w:r>
      <w:r>
        <w:rPr>
          <w:rFonts w:ascii="Times New Roman" w:hAnsi="Times New Roman" w:cs="Times New Roman"/>
          <w:i/>
          <w:iCs/>
        </w:rPr>
        <w:t>The Essential John Nash</w:t>
      </w:r>
      <w:r>
        <w:rPr>
          <w:rFonts w:ascii="Times New Roman" w:hAnsi="Times New Roman" w:cs="Times New Roman"/>
        </w:rPr>
        <w:t>. Princeton University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Maynard Smith, J., &amp; Price, G. R. (1973). The logic of animal conflict. </w:t>
      </w:r>
      <w:r>
        <w:rPr>
          <w:rFonts w:ascii="Times New Roman" w:hAnsi="Times New Roman" w:cs="Times New Roman"/>
          <w:i/>
          <w:iCs/>
        </w:rPr>
        <w:t>Nature</w:t>
      </w:r>
      <w:r>
        <w:rPr>
          <w:rFonts w:ascii="Times New Roman" w:hAnsi="Times New Roman" w:cs="Times New Roman"/>
        </w:rPr>
        <w:t>, 246(5427), 15–18. https://doi.org/10.1038/246015a0</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Mazalov</w:t>
      </w:r>
      <w:proofErr w:type="spellEnd"/>
      <w:r>
        <w:rPr>
          <w:rFonts w:ascii="Times New Roman" w:hAnsi="Times New Roman" w:cs="Times New Roman"/>
        </w:rPr>
        <w:t xml:space="preserve">, V. (2014). </w:t>
      </w:r>
      <w:r>
        <w:rPr>
          <w:rFonts w:ascii="Times New Roman" w:hAnsi="Times New Roman" w:cs="Times New Roman"/>
          <w:i/>
          <w:iCs/>
        </w:rPr>
        <w:t>Mathematical Game Theory and Applications</w:t>
      </w:r>
      <w:r>
        <w:rPr>
          <w:rFonts w:ascii="Times New Roman" w:hAnsi="Times New Roman" w:cs="Times New Roman"/>
        </w:rPr>
        <w:t>. Hoboken: John Wiley &amp; Sons.</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Milgrom</w:t>
      </w:r>
      <w:proofErr w:type="spellEnd"/>
      <w:r>
        <w:rPr>
          <w:rFonts w:ascii="Times New Roman" w:hAnsi="Times New Roman" w:cs="Times New Roman"/>
        </w:rPr>
        <w:t xml:space="preserve">, P. R. (2004). </w:t>
      </w:r>
      <w:r>
        <w:rPr>
          <w:rFonts w:ascii="Times New Roman" w:hAnsi="Times New Roman" w:cs="Times New Roman"/>
          <w:i/>
          <w:iCs/>
        </w:rPr>
        <w:t>Putting Auction Theory to Work</w:t>
      </w:r>
      <w:r>
        <w:rPr>
          <w:rFonts w:ascii="Times New Roman" w:hAnsi="Times New Roman" w:cs="Times New Roman"/>
        </w:rPr>
        <w:t>. Cambridge University Press.</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lastRenderedPageBreak/>
        <w:t>Milgrom</w:t>
      </w:r>
      <w:proofErr w:type="spellEnd"/>
      <w:r>
        <w:rPr>
          <w:rFonts w:ascii="Times New Roman" w:hAnsi="Times New Roman" w:cs="Times New Roman"/>
        </w:rPr>
        <w:t xml:space="preserve">, P. R., &amp; Weber, R. J. (1982). A theory of auctions and competitive bidding. </w:t>
      </w:r>
      <w:proofErr w:type="spellStart"/>
      <w:r>
        <w:rPr>
          <w:rFonts w:ascii="Times New Roman" w:hAnsi="Times New Roman" w:cs="Times New Roman"/>
          <w:i/>
          <w:iCs/>
        </w:rPr>
        <w:t>Econometrica</w:t>
      </w:r>
      <w:proofErr w:type="spellEnd"/>
      <w:r>
        <w:rPr>
          <w:rFonts w:ascii="Times New Roman" w:hAnsi="Times New Roman" w:cs="Times New Roman"/>
        </w:rPr>
        <w:t xml:space="preserve">, 50(5), 1089–1122. </w:t>
      </w:r>
      <w:hyperlink r:id="rId8" w:history="1">
        <w:r>
          <w:rPr>
            <w:rStyle w:val="Hyperlink"/>
            <w:rFonts w:ascii="Times New Roman" w:hAnsi="Times New Roman" w:cs="Times New Roman"/>
          </w:rPr>
          <w:t>https://doi.org/10.2307/1911865</w:t>
        </w:r>
      </w:hyperlink>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Naiyeju</w:t>
      </w:r>
      <w:proofErr w:type="spellEnd"/>
      <w:r>
        <w:rPr>
          <w:rFonts w:ascii="Times New Roman" w:hAnsi="Times New Roman" w:cs="Times New Roman"/>
        </w:rPr>
        <w:t xml:space="preserve">, E. A., </w:t>
      </w:r>
      <w:proofErr w:type="spellStart"/>
      <w:r>
        <w:rPr>
          <w:rFonts w:ascii="Times New Roman" w:hAnsi="Times New Roman" w:cs="Times New Roman"/>
        </w:rPr>
        <w:t>Ogedengbe</w:t>
      </w:r>
      <w:proofErr w:type="spellEnd"/>
      <w:r>
        <w:rPr>
          <w:rFonts w:ascii="Times New Roman" w:hAnsi="Times New Roman" w:cs="Times New Roman"/>
        </w:rPr>
        <w:t xml:space="preserve">, T. I., &amp; </w:t>
      </w:r>
      <w:proofErr w:type="spellStart"/>
      <w:r>
        <w:rPr>
          <w:rFonts w:ascii="Times New Roman" w:hAnsi="Times New Roman" w:cs="Times New Roman"/>
        </w:rPr>
        <w:t>Aderoba</w:t>
      </w:r>
      <w:proofErr w:type="spellEnd"/>
      <w:r>
        <w:rPr>
          <w:rFonts w:ascii="Times New Roman" w:hAnsi="Times New Roman" w:cs="Times New Roman"/>
        </w:rPr>
        <w:t xml:space="preserve">, A. A. (2013). Standardization of bid evaluation in the upstream sector of the Nigeria oil and gas industry. </w:t>
      </w:r>
      <w:r>
        <w:rPr>
          <w:rFonts w:ascii="Times New Roman" w:hAnsi="Times New Roman" w:cs="Times New Roman"/>
          <w:i/>
          <w:iCs/>
        </w:rPr>
        <w:t>Journal of Emerging Trends in Engineering and Applied Sciences (JETEAS)</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(3), 412–419.</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Nash, J. F. (1951). Non-cooperative games. </w:t>
      </w:r>
      <w:r>
        <w:rPr>
          <w:rFonts w:ascii="Times New Roman" w:hAnsi="Times New Roman" w:cs="Times New Roman"/>
          <w:i/>
          <w:iCs/>
        </w:rPr>
        <w:t>Annals of Mathematics</w:t>
      </w:r>
      <w:r>
        <w:rPr>
          <w:rFonts w:ascii="Times New Roman" w:hAnsi="Times New Roman" w:cs="Times New Roman"/>
        </w:rPr>
        <w:t>, 54(2), 286–295. https://doi.org/10.2307/1969529</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Nlerum</w:t>
      </w:r>
      <w:proofErr w:type="spellEnd"/>
      <w:r>
        <w:rPr>
          <w:rFonts w:ascii="Times New Roman" w:hAnsi="Times New Roman" w:cs="Times New Roman"/>
        </w:rPr>
        <w:t xml:space="preserve">, F. E. (2010). Reflections on participation regimes in Nigeria’s oil sector (2007–2010). </w:t>
      </w:r>
      <w:r>
        <w:rPr>
          <w:rFonts w:ascii="Times New Roman" w:hAnsi="Times New Roman" w:cs="Times New Roman"/>
          <w:i/>
          <w:iCs/>
        </w:rPr>
        <w:t>Nigerian Current Law Review</w:t>
      </w:r>
      <w:r>
        <w:rPr>
          <w:rFonts w:ascii="Times New Roman" w:hAnsi="Times New Roman" w:cs="Times New Roman"/>
        </w:rPr>
        <w:t>, 5, 145.</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Nowak, M. A., &amp; Sigmund, K. (2004). Evolutionary dynamics of biological games. </w:t>
      </w:r>
      <w:r>
        <w:rPr>
          <w:rFonts w:ascii="Times New Roman" w:hAnsi="Times New Roman" w:cs="Times New Roman"/>
          <w:i/>
          <w:iCs/>
        </w:rPr>
        <w:t>Science</w:t>
      </w:r>
      <w:r>
        <w:rPr>
          <w:rFonts w:ascii="Times New Roman" w:hAnsi="Times New Roman" w:cs="Times New Roman"/>
        </w:rPr>
        <w:t>, 303(5659), 793–799. https://doi.org/10.1126/science.1093411</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Ogedengbe</w:t>
      </w:r>
      <w:proofErr w:type="spellEnd"/>
      <w:r>
        <w:rPr>
          <w:rFonts w:ascii="Times New Roman" w:hAnsi="Times New Roman" w:cs="Times New Roman"/>
        </w:rPr>
        <w:t xml:space="preserve">, T. I. (2013). Standardization of bid evaluation in the upstream sector of the Nigeria oil and gas industry. </w:t>
      </w:r>
      <w:r>
        <w:rPr>
          <w:rFonts w:ascii="Times New Roman" w:hAnsi="Times New Roman" w:cs="Times New Roman"/>
          <w:i/>
          <w:iCs/>
        </w:rPr>
        <w:t>Journal of Emerging Trends in Engineering and Applied Sciences</w:t>
      </w:r>
      <w:r>
        <w:rPr>
          <w:rFonts w:ascii="Times New Roman" w:hAnsi="Times New Roman" w:cs="Times New Roman"/>
        </w:rPr>
        <w:t xml:space="preserve">, 4(3), 412–419. </w:t>
      </w:r>
      <w:hyperlink r:id="rId9" w:tgtFrame="_new" w:history="1">
        <w:r>
          <w:rPr>
            <w:rStyle w:val="Hyperlink"/>
            <w:rFonts w:ascii="Times New Roman" w:hAnsi="Times New Roman" w:cs="Times New Roman"/>
          </w:rPr>
          <w:t>https://hdl.handle.net/10520/EJC138972</w:t>
        </w:r>
      </w:hyperlink>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Omorodion</w:t>
      </w:r>
      <w:proofErr w:type="spellEnd"/>
      <w:r>
        <w:rPr>
          <w:rFonts w:ascii="Times New Roman" w:hAnsi="Times New Roman" w:cs="Times New Roman"/>
        </w:rPr>
        <w:t xml:space="preserve">, O., </w:t>
      </w:r>
      <w:proofErr w:type="spellStart"/>
      <w:r>
        <w:rPr>
          <w:rFonts w:ascii="Times New Roman" w:hAnsi="Times New Roman" w:cs="Times New Roman"/>
        </w:rPr>
        <w:t>Olufolahan</w:t>
      </w:r>
      <w:proofErr w:type="spellEnd"/>
      <w:r>
        <w:rPr>
          <w:rFonts w:ascii="Times New Roman" w:hAnsi="Times New Roman" w:cs="Times New Roman"/>
        </w:rPr>
        <w:t xml:space="preserve">, M. O., &amp; </w:t>
      </w:r>
      <w:proofErr w:type="spellStart"/>
      <w:r>
        <w:rPr>
          <w:rFonts w:ascii="Times New Roman" w:hAnsi="Times New Roman" w:cs="Times New Roman"/>
        </w:rPr>
        <w:t>Azage</w:t>
      </w:r>
      <w:proofErr w:type="spellEnd"/>
      <w:r>
        <w:rPr>
          <w:rFonts w:ascii="Times New Roman" w:hAnsi="Times New Roman" w:cs="Times New Roman"/>
        </w:rPr>
        <w:t xml:space="preserve">, J. (2022). Electronic procurement practices and sustainable organizational competitive advantage of the upstream sector of the oil and gas firms in Nigeria. </w:t>
      </w:r>
      <w:proofErr w:type="spellStart"/>
      <w:r>
        <w:rPr>
          <w:rFonts w:ascii="Times New Roman" w:hAnsi="Times New Roman" w:cs="Times New Roman"/>
          <w:i/>
          <w:iCs/>
        </w:rPr>
        <w:t>Universitatea</w:t>
      </w:r>
      <w:proofErr w:type="spellEnd"/>
      <w:r>
        <w:rPr>
          <w:rFonts w:ascii="Times New Roman" w:hAnsi="Times New Roman" w:cs="Times New Roman"/>
          <w:i/>
          <w:iCs/>
        </w:rPr>
        <w:t xml:space="preserve"> SPIRU HARET - Faculty of Accounting and Financial Management</w:t>
      </w:r>
      <w:r>
        <w:rPr>
          <w:rFonts w:ascii="Times New Roman" w:hAnsi="Times New Roman" w:cs="Times New Roman"/>
        </w:rPr>
        <w:t>.</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Osborne, M. J., &amp; Rubinstein, A. (1994). </w:t>
      </w:r>
      <w:r>
        <w:rPr>
          <w:rFonts w:ascii="Times New Roman" w:hAnsi="Times New Roman" w:cs="Times New Roman"/>
          <w:i/>
          <w:iCs/>
        </w:rPr>
        <w:t>A Course in Game Theory</w:t>
      </w:r>
      <w:r>
        <w:rPr>
          <w:rFonts w:ascii="Times New Roman" w:hAnsi="Times New Roman" w:cs="Times New Roman"/>
        </w:rPr>
        <w:t>. MIT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Petroleum (Drilling and Production) Regulations, Cap. 350, Laws of the Federation of Nigeria (1990).</w:t>
      </w:r>
    </w:p>
    <w:p w:rsidR="00526218" w:rsidRDefault="00526218" w:rsidP="00526218">
      <w:pPr>
        <w:spacing w:after="0" w:line="276" w:lineRule="auto"/>
        <w:rPr>
          <w:rFonts w:ascii="Times New Roman" w:hAnsi="Times New Roman" w:cs="Times New Roman"/>
        </w:rPr>
      </w:pPr>
      <w:r>
        <w:rPr>
          <w:rFonts w:ascii="Times New Roman" w:hAnsi="Times New Roman" w:cs="Times New Roman"/>
        </w:rPr>
        <w:t>Petroleum Industry Act, No. 6, 2021. Laws of the Federation of Nigeria.</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Petroleum Licensing Round Regulations, 2022. Federal Republic of Nigeria Official Gazette No. 204, Vol. 109, S.I. No. 72.</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Raghfar</w:t>
      </w:r>
      <w:proofErr w:type="spellEnd"/>
      <w:r>
        <w:rPr>
          <w:rFonts w:ascii="Times New Roman" w:hAnsi="Times New Roman" w:cs="Times New Roman"/>
        </w:rPr>
        <w:t xml:space="preserve">, H., </w:t>
      </w:r>
      <w:proofErr w:type="spellStart"/>
      <w:r>
        <w:rPr>
          <w:rFonts w:ascii="Times New Roman" w:hAnsi="Times New Roman" w:cs="Times New Roman"/>
        </w:rPr>
        <w:t>Taklif</w:t>
      </w:r>
      <w:proofErr w:type="spellEnd"/>
      <w:r>
        <w:rPr>
          <w:rFonts w:ascii="Times New Roman" w:hAnsi="Times New Roman" w:cs="Times New Roman"/>
        </w:rPr>
        <w:t xml:space="preserve">, A., &amp; </w:t>
      </w:r>
      <w:proofErr w:type="spellStart"/>
      <w:r>
        <w:rPr>
          <w:rFonts w:ascii="Times New Roman" w:hAnsi="Times New Roman" w:cs="Times New Roman"/>
        </w:rPr>
        <w:t>Shahhosseini</w:t>
      </w:r>
      <w:proofErr w:type="spellEnd"/>
      <w:r>
        <w:rPr>
          <w:rFonts w:ascii="Times New Roman" w:hAnsi="Times New Roman" w:cs="Times New Roman"/>
        </w:rPr>
        <w:t xml:space="preserve">, S. (2021). The impact of legal frameworks on bidding mechanisms. </w:t>
      </w:r>
      <w:r>
        <w:rPr>
          <w:rFonts w:ascii="Times New Roman" w:hAnsi="Times New Roman" w:cs="Times New Roman"/>
          <w:i/>
          <w:iCs/>
        </w:rPr>
        <w:t>International Journal of Human Capital in Urban Management</w:t>
      </w:r>
      <w:r>
        <w:rPr>
          <w:rFonts w:ascii="Times New Roman" w:hAnsi="Times New Roman" w:cs="Times New Roman"/>
        </w:rPr>
        <w:t xml:space="preserve">, 6(3), 171–186. </w:t>
      </w:r>
      <w:hyperlink r:id="rId10" w:tgtFrame="_new" w:history="1">
        <w:r>
          <w:rPr>
            <w:rStyle w:val="Hyperlink"/>
            <w:rFonts w:ascii="Times New Roman" w:hAnsi="Times New Roman" w:cs="Times New Roman"/>
          </w:rPr>
          <w:t>https://www.researchgate.net/publication/370633551</w:t>
        </w:r>
      </w:hyperlink>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Sharif, M. A., &amp; </w:t>
      </w:r>
      <w:proofErr w:type="spellStart"/>
      <w:r>
        <w:rPr>
          <w:rFonts w:ascii="Times New Roman" w:hAnsi="Times New Roman" w:cs="Times New Roman"/>
        </w:rPr>
        <w:t>Adulbhan</w:t>
      </w:r>
      <w:proofErr w:type="spellEnd"/>
      <w:r>
        <w:rPr>
          <w:rFonts w:ascii="Times New Roman" w:hAnsi="Times New Roman" w:cs="Times New Roman"/>
        </w:rPr>
        <w:t xml:space="preserve">, H. (1975). Approaches to multi-objective bid evaluation. </w:t>
      </w:r>
      <w:r>
        <w:rPr>
          <w:rFonts w:ascii="Times New Roman" w:hAnsi="Times New Roman" w:cs="Times New Roman"/>
          <w:i/>
          <w:iCs/>
        </w:rPr>
        <w:t>Project Management Quarterly</w:t>
      </w:r>
      <w:r>
        <w:rPr>
          <w:rFonts w:ascii="Times New Roman" w:hAnsi="Times New Roman" w:cs="Times New Roman"/>
        </w:rPr>
        <w:t>, 6(3), 24–31.</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Shelley, M. (1964). Cognitive limitations in human decision-making. </w:t>
      </w:r>
      <w:r>
        <w:rPr>
          <w:rFonts w:ascii="Times New Roman" w:hAnsi="Times New Roman" w:cs="Times New Roman"/>
          <w:i/>
          <w:iCs/>
        </w:rPr>
        <w:t>Behavioral Science</w:t>
      </w:r>
      <w:r>
        <w:rPr>
          <w:rFonts w:ascii="Times New Roman" w:hAnsi="Times New Roman" w:cs="Times New Roman"/>
        </w:rPr>
        <w:t>, 9(3), 234–241.</w:t>
      </w:r>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Vickrey</w:t>
      </w:r>
      <w:proofErr w:type="spellEnd"/>
      <w:r>
        <w:rPr>
          <w:rFonts w:ascii="Times New Roman" w:hAnsi="Times New Roman" w:cs="Times New Roman"/>
        </w:rPr>
        <w:t xml:space="preserve">, W. (1961). </w:t>
      </w:r>
      <w:proofErr w:type="spellStart"/>
      <w:r>
        <w:rPr>
          <w:rFonts w:ascii="Times New Roman" w:hAnsi="Times New Roman" w:cs="Times New Roman"/>
        </w:rPr>
        <w:t>Counterspeculation</w:t>
      </w:r>
      <w:proofErr w:type="spellEnd"/>
      <w:r>
        <w:rPr>
          <w:rFonts w:ascii="Times New Roman" w:hAnsi="Times New Roman" w:cs="Times New Roman"/>
        </w:rPr>
        <w:t xml:space="preserve">, auctions, and competitive sealed tenders. </w:t>
      </w:r>
      <w:r>
        <w:rPr>
          <w:rFonts w:ascii="Times New Roman" w:hAnsi="Times New Roman" w:cs="Times New Roman"/>
          <w:i/>
          <w:iCs/>
        </w:rPr>
        <w:t>Journal of Finance</w:t>
      </w:r>
      <w:r>
        <w:rPr>
          <w:rFonts w:ascii="Times New Roman" w:hAnsi="Times New Roman" w:cs="Times New Roman"/>
        </w:rPr>
        <w:t xml:space="preserve">, 16(1), 8–37. </w:t>
      </w:r>
      <w:hyperlink r:id="rId11" w:history="1">
        <w:r>
          <w:rPr>
            <w:rStyle w:val="Hyperlink"/>
            <w:rFonts w:ascii="Times New Roman" w:hAnsi="Times New Roman" w:cs="Times New Roman"/>
          </w:rPr>
          <w:t>https://doi.org/10.2307/2977633</w:t>
        </w:r>
      </w:hyperlink>
    </w:p>
    <w:p w:rsidR="00526218" w:rsidRDefault="00526218" w:rsidP="00526218">
      <w:pPr>
        <w:spacing w:after="0" w:line="276" w:lineRule="auto"/>
        <w:ind w:left="720" w:hanging="720"/>
        <w:rPr>
          <w:rFonts w:ascii="Times New Roman" w:hAnsi="Times New Roman" w:cs="Times New Roman"/>
        </w:rPr>
      </w:pPr>
      <w:proofErr w:type="spellStart"/>
      <w:r>
        <w:rPr>
          <w:rFonts w:ascii="Times New Roman" w:hAnsi="Times New Roman" w:cs="Times New Roman"/>
        </w:rPr>
        <w:t>Vickrey</w:t>
      </w:r>
      <w:proofErr w:type="spellEnd"/>
      <w:r>
        <w:rPr>
          <w:rFonts w:ascii="Times New Roman" w:hAnsi="Times New Roman" w:cs="Times New Roman"/>
        </w:rPr>
        <w:t xml:space="preserve">, W. (1961). </w:t>
      </w:r>
      <w:proofErr w:type="spellStart"/>
      <w:r>
        <w:rPr>
          <w:rFonts w:ascii="Times New Roman" w:hAnsi="Times New Roman" w:cs="Times New Roman"/>
        </w:rPr>
        <w:t>Counterspeculation</w:t>
      </w:r>
      <w:proofErr w:type="spellEnd"/>
      <w:r>
        <w:rPr>
          <w:rFonts w:ascii="Times New Roman" w:hAnsi="Times New Roman" w:cs="Times New Roman"/>
        </w:rPr>
        <w:t xml:space="preserve">, auctions, and competitive sealed tenders. </w:t>
      </w:r>
      <w:r>
        <w:rPr>
          <w:rFonts w:ascii="Times New Roman" w:hAnsi="Times New Roman" w:cs="Times New Roman"/>
          <w:i/>
          <w:iCs/>
        </w:rPr>
        <w:t>Journal of Finance</w:t>
      </w:r>
      <w:r>
        <w:rPr>
          <w:rFonts w:ascii="Times New Roman" w:hAnsi="Times New Roman" w:cs="Times New Roman"/>
        </w:rPr>
        <w:t>, 16(1), 8–37. https://doi.org/10.2307/2977633</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Von Neumann, J., &amp; Morgenstern, O. (1944). </w:t>
      </w:r>
      <w:r>
        <w:rPr>
          <w:rFonts w:ascii="Times New Roman" w:hAnsi="Times New Roman" w:cs="Times New Roman"/>
          <w:i/>
          <w:iCs/>
        </w:rPr>
        <w:t>Theory of Games and Economic Behavior</w:t>
      </w:r>
      <w:r>
        <w:rPr>
          <w:rFonts w:ascii="Times New Roman" w:hAnsi="Times New Roman" w:cs="Times New Roman"/>
        </w:rPr>
        <w:t>. Princeton University Press.</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Wang, J. (2021). Analysis and application of bidding strategy for new overseas oil and gas projects. </w:t>
      </w:r>
      <w:r>
        <w:rPr>
          <w:rFonts w:ascii="Times New Roman" w:hAnsi="Times New Roman" w:cs="Times New Roman"/>
          <w:i/>
          <w:iCs/>
        </w:rPr>
        <w:t>Petroleum Science and Technology Forum</w:t>
      </w:r>
      <w:r>
        <w:rPr>
          <w:rFonts w:ascii="Times New Roman" w:hAnsi="Times New Roman" w:cs="Times New Roman"/>
        </w:rPr>
        <w:t>, 40(4), 71–76. https://doi.org/10.3969/j.issn.1002-302x.2021.04.011</w:t>
      </w:r>
    </w:p>
    <w:p w:rsidR="00526218" w:rsidRDefault="00526218" w:rsidP="00526218">
      <w:pPr>
        <w:spacing w:after="0" w:line="276" w:lineRule="auto"/>
        <w:ind w:left="720" w:hanging="720"/>
        <w:rPr>
          <w:rFonts w:ascii="Times New Roman" w:hAnsi="Times New Roman" w:cs="Times New Roman"/>
        </w:rPr>
      </w:pPr>
      <w:r>
        <w:rPr>
          <w:rFonts w:ascii="Times New Roman" w:hAnsi="Times New Roman" w:cs="Times New Roman"/>
        </w:rPr>
        <w:t xml:space="preserve">Yang, J. B., &amp; Sen, P. (1996). Multiple criteria decision support systems in engineering. </w:t>
      </w:r>
      <w:r>
        <w:rPr>
          <w:rFonts w:ascii="Times New Roman" w:hAnsi="Times New Roman" w:cs="Times New Roman"/>
          <w:i/>
          <w:iCs/>
        </w:rPr>
        <w:t>Journal of Engineering Design</w:t>
      </w:r>
      <w:r>
        <w:rPr>
          <w:rFonts w:ascii="Times New Roman" w:hAnsi="Times New Roman" w:cs="Times New Roman"/>
        </w:rPr>
        <w:t>, 7(3), 193–208.</w:t>
      </w:r>
    </w:p>
    <w:p w:rsidR="00526218" w:rsidRDefault="00526218" w:rsidP="00526218">
      <w:pPr>
        <w:pStyle w:val="BodyText"/>
        <w:spacing w:line="276" w:lineRule="auto"/>
      </w:pPr>
    </w:p>
    <w:p w:rsidR="00526218" w:rsidRDefault="00526218" w:rsidP="00526218">
      <w:pPr>
        <w:pStyle w:val="BodyText"/>
        <w:spacing w:line="276" w:lineRule="auto"/>
      </w:pPr>
    </w:p>
    <w:p w:rsidR="00526218" w:rsidRDefault="00526218" w:rsidP="00526218">
      <w:pPr>
        <w:pStyle w:val="BodyText"/>
        <w:spacing w:line="276" w:lineRule="auto"/>
      </w:pPr>
    </w:p>
    <w:p w:rsidR="009625FC" w:rsidRDefault="009625FC">
      <w:bookmarkStart w:id="2" w:name="_GoBack"/>
      <w:bookmarkEnd w:id="2"/>
    </w:p>
    <w:sectPr w:rsidR="00962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18"/>
    <w:rsid w:val="001E07AF"/>
    <w:rsid w:val="002C4D96"/>
    <w:rsid w:val="003A3C12"/>
    <w:rsid w:val="00455BAA"/>
    <w:rsid w:val="00526218"/>
    <w:rsid w:val="00757F9E"/>
    <w:rsid w:val="009625FC"/>
    <w:rsid w:val="00A626FD"/>
    <w:rsid w:val="00CA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2246"/>
  <w15:chartTrackingRefBased/>
  <w15:docId w15:val="{73448B8A-2C5E-4F87-9EA7-023FDC9A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218"/>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6218"/>
    <w:rPr>
      <w:color w:val="0563C1" w:themeColor="hyperlink"/>
      <w:u w:val="single"/>
    </w:rPr>
  </w:style>
  <w:style w:type="paragraph" w:styleId="BodyText">
    <w:name w:val="Body Text"/>
    <w:basedOn w:val="Normal"/>
    <w:link w:val="BodyTextChar"/>
    <w:uiPriority w:val="1"/>
    <w:semiHidden/>
    <w:unhideWhenUsed/>
    <w:qFormat/>
    <w:rsid w:val="00526218"/>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526218"/>
    <w:rPr>
      <w:rFonts w:ascii="Times New Roman" w:eastAsia="Times New Roman" w:hAnsi="Times New Roman" w:cs="Times New Roman"/>
      <w:sz w:val="24"/>
      <w:szCs w:val="24"/>
      <w:lang w:val="en-US"/>
    </w:rPr>
  </w:style>
  <w:style w:type="table" w:styleId="TableGrid">
    <w:name w:val="Table Grid"/>
    <w:basedOn w:val="TableNormal"/>
    <w:uiPriority w:val="39"/>
    <w:rsid w:val="0052621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3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91186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stor.org/stable/211767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lfind.uga.edu" TargetMode="External"/><Relationship Id="rId11" Type="http://schemas.openxmlformats.org/officeDocument/2006/relationships/hyperlink" Target="https://doi.org/10.2307/2977633" TargetMode="External"/><Relationship Id="rId5" Type="http://schemas.openxmlformats.org/officeDocument/2006/relationships/hyperlink" Target="https://doi.org/10.2118/1095-PA" TargetMode="External"/><Relationship Id="rId10" Type="http://schemas.openxmlformats.org/officeDocument/2006/relationships/hyperlink" Target="https://www.researchgate.net/publication/370633551" TargetMode="External"/><Relationship Id="rId4" Type="http://schemas.openxmlformats.org/officeDocument/2006/relationships/image" Target="media/image1.png"/><Relationship Id="rId9" Type="http://schemas.openxmlformats.org/officeDocument/2006/relationships/hyperlink" Target="https://hdl.handle.net/10520/EJC138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2026-05-13T21:03:00Z</dcterms:created>
  <dcterms:modified xsi:type="dcterms:W3CDTF">2026-05-13T21:03:00Z</dcterms:modified>
</cp:coreProperties>
</file>