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b w:val="1"/>
          <w:bCs w:val="1"/>
          <w:sz w:val="48"/>
          <w:szCs w:val="48"/>
          <w:rtl w:val="0"/>
        </w:rPr>
        <w:t xml:space="preserve">How Regional Refining Is Reshaping African Fuel Trade </w:t>
      </w:r>
    </w:p>
    <w:p w:rsidR="00000000" w:rsidDel="00000000" w:rsidP="00000000" w:rsidRDefault="00000000" w:rsidRPr="00000000" w14:paraId="00000002">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Executive Summary </w:t>
      </w:r>
    </w:p>
    <w:p w:rsidR="00000000" w:rsidDel="00000000" w:rsidP="00000000" w:rsidRDefault="00000000" w:rsidRPr="00000000" w14:paraId="00000003">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Africa’s downstream petroleum sector is entering a transformative phase that could fundamentally alter how fuel moves across the continent. For decades, many African oil-producing countries exported crude oil while importing refined petroleum products from Europe and other international markets. This circular trade didn't just drain foreign exchange reserves, it left African economies tied to the volatility of European refining margins and global shipping disruptions.</w:t>
      </w:r>
    </w:p>
    <w:p w:rsidR="00000000" w:rsidDel="00000000" w:rsidP="00000000" w:rsidRDefault="00000000" w:rsidRPr="00000000" w14:paraId="0000000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2026, a surge in regional refining capacity led by massive brownfield upgrades and greenfield mega-projects is beginning to reconfigure how fuel moves across the continent. The downstream transformation now underway may become one of the most consequential developments in Africa’s energy sector over the next decade.</w:t>
      </w:r>
    </w:p>
    <w:p w:rsidR="00000000" w:rsidDel="00000000" w:rsidP="00000000" w:rsidRDefault="00000000" w:rsidRPr="00000000" w14:paraId="00000005">
      <w:pPr>
        <w:pStyle w:val="Heading2"/>
        <w:keepNext w:val="0"/>
        <w:keepLines w:val="0"/>
        <w:spacing w:after="80" w:lineRule="auto"/>
        <w:jc w:val="both"/>
        <w:rPr>
          <w:rFonts w:ascii="Century Gothic" w:cs="Century Gothic" w:eastAsia="Century Gothic" w:hAnsi="Century Gothic"/>
          <w:b w:val="1"/>
          <w:bCs w:val="1"/>
          <w:sz w:val="26"/>
          <w:szCs w:val="26"/>
        </w:rPr>
      </w:pPr>
      <w:bookmarkStart w:colFirst="0" w:colLast="0" w:name="_of71gv97z4s2" w:id="0"/>
      <w:bookmarkEnd w:id="0"/>
      <w:r w:rsidDel="00000000" w:rsidR="00000000" w:rsidRPr="00000000">
        <w:rPr>
          <w:rFonts w:ascii="Century Gothic" w:cs="Century Gothic" w:eastAsia="Century Gothic" w:hAnsi="Century Gothic"/>
          <w:b w:val="1"/>
          <w:bCs w:val="1"/>
          <w:sz w:val="26"/>
          <w:szCs w:val="26"/>
          <w:rtl w:val="0"/>
        </w:rPr>
        <w:t xml:space="preserve">Large-Scale Refining Investments</w:t>
      </w:r>
    </w:p>
    <w:p w:rsidR="00000000" w:rsidDel="00000000" w:rsidP="00000000" w:rsidRDefault="00000000" w:rsidRPr="00000000" w14:paraId="00000006">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New refining projects are increasing Africa’s ability to process crude domestically rather than exporting raw hydrocarbons while importing finished products. The most significant example is Nigeria’s large-scale refining expansion, which has the potential to materially reduce refined product imports across West Africa. Other refining developments and rehabilitation efforts are also emerging in:</w:t>
      </w:r>
    </w:p>
    <w:p w:rsidR="00000000" w:rsidDel="00000000" w:rsidP="00000000" w:rsidRDefault="00000000" w:rsidRPr="00000000" w14:paraId="00000007">
      <w:pPr>
        <w:numPr>
          <w:ilvl w:val="0"/>
          <w:numId w:val="7"/>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Angola,</w:t>
      </w:r>
    </w:p>
    <w:p w:rsidR="00000000" w:rsidDel="00000000" w:rsidP="00000000" w:rsidRDefault="00000000" w:rsidRPr="00000000" w14:paraId="00000008">
      <w:pPr>
        <w:numPr>
          <w:ilvl w:val="0"/>
          <w:numId w:val="7"/>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Algeria,</w:t>
      </w:r>
    </w:p>
    <w:p w:rsidR="00000000" w:rsidDel="00000000" w:rsidP="00000000" w:rsidRDefault="00000000" w:rsidRPr="00000000" w14:paraId="00000009">
      <w:pPr>
        <w:numPr>
          <w:ilvl w:val="0"/>
          <w:numId w:val="7"/>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Egypt,</w:t>
      </w:r>
    </w:p>
    <w:p w:rsidR="00000000" w:rsidDel="00000000" w:rsidP="00000000" w:rsidRDefault="00000000" w:rsidRPr="00000000" w14:paraId="0000000A">
      <w:pPr>
        <w:numPr>
          <w:ilvl w:val="0"/>
          <w:numId w:val="7"/>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parts of East Africa.</w:t>
      </w:r>
    </w:p>
    <w:p w:rsidR="00000000" w:rsidDel="00000000" w:rsidP="00000000" w:rsidRDefault="00000000" w:rsidRPr="00000000" w14:paraId="0000000B">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fqbtmvkupxcq" w:id="1"/>
      <w:bookmarkEnd w:id="1"/>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1wdd6xja64e" w:id="2"/>
      <w:bookmarkEnd w:id="2"/>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both"/>
        <w:rPr>
          <w:rFonts w:ascii="Century Gothic" w:cs="Century Gothic" w:eastAsia="Century Gothic" w:hAnsi="Century Gothic"/>
          <w:b w:val="1"/>
          <w:bCs w:val="1"/>
          <w:sz w:val="26"/>
          <w:szCs w:val="26"/>
        </w:rPr>
      </w:pPr>
      <w:bookmarkStart w:colFirst="0" w:colLast="0" w:name="_qdr62v8z1s5e" w:id="3"/>
      <w:bookmarkEnd w:id="3"/>
      <w:r w:rsidDel="00000000" w:rsidR="00000000" w:rsidRPr="00000000">
        <w:rPr>
          <w:rFonts w:ascii="Century Gothic" w:cs="Century Gothic" w:eastAsia="Century Gothic" w:hAnsi="Century Gothic"/>
          <w:b w:val="1"/>
          <w:bCs w:val="1"/>
          <w:sz w:val="26"/>
          <w:szCs w:val="26"/>
          <w:rtl w:val="0"/>
        </w:rPr>
        <w:t xml:space="preserve">Key Drivers of the Reshaping</w:t>
      </w:r>
    </w:p>
    <w:p w:rsidR="00000000" w:rsidDel="00000000" w:rsidP="00000000" w:rsidRDefault="00000000" w:rsidRPr="00000000" w14:paraId="0000000E">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ky6vver3p7fi" w:id="4"/>
      <w:bookmarkEnd w:id="4"/>
      <w:r w:rsidDel="00000000" w:rsidR="00000000" w:rsidRPr="00000000">
        <w:rPr>
          <w:rFonts w:ascii="Century Gothic" w:cs="Century Gothic" w:eastAsia="Century Gothic" w:hAnsi="Century Gothic"/>
          <w:b w:val="1"/>
          <w:bCs w:val="1"/>
          <w:color w:val="000000"/>
          <w:sz w:val="22"/>
          <w:szCs w:val="22"/>
          <w:rtl w:val="0"/>
        </w:rPr>
        <w:t xml:space="preserve">1. Nigeria</w:t>
      </w:r>
    </w:p>
    <w:p w:rsidR="00000000" w:rsidDel="00000000" w:rsidP="00000000" w:rsidRDefault="00000000" w:rsidRPr="00000000" w14:paraId="0000000F">
      <w:pPr>
        <w:pStyle w:val="Heading2"/>
        <w:keepNext w:val="0"/>
        <w:keepLines w:val="0"/>
        <w:spacing w:after="240" w:before="240" w:lineRule="auto"/>
        <w:jc w:val="both"/>
        <w:rPr>
          <w:rFonts w:ascii="Century Gothic" w:cs="Century Gothic" w:eastAsia="Century Gothic" w:hAnsi="Century Gothic"/>
          <w:sz w:val="22"/>
          <w:szCs w:val="22"/>
        </w:rPr>
      </w:pPr>
      <w:bookmarkStart w:colFirst="0" w:colLast="0" w:name="_frsq1miu12a4" w:id="5"/>
      <w:bookmarkEnd w:id="5"/>
      <w:r w:rsidDel="00000000" w:rsidR="00000000" w:rsidRPr="00000000">
        <w:rPr>
          <w:rFonts w:ascii="Century Gothic" w:cs="Century Gothic" w:eastAsia="Century Gothic" w:hAnsi="Century Gothic"/>
          <w:sz w:val="22"/>
          <w:szCs w:val="22"/>
          <w:rtl w:val="0"/>
        </w:rPr>
        <w:t xml:space="preserve">As of Q2 2026, Nigeria is increasingly emerging as a major regional refined products supplier.</w:t>
      </w:r>
    </w:p>
    <w:p w:rsidR="00000000" w:rsidDel="00000000" w:rsidP="00000000" w:rsidRDefault="00000000" w:rsidRPr="00000000" w14:paraId="00000010">
      <w:pPr>
        <w:pStyle w:val="Heading2"/>
        <w:keepNext w:val="0"/>
        <w:keepLines w:val="0"/>
        <w:numPr>
          <w:ilvl w:val="0"/>
          <w:numId w:val="1"/>
        </w:numPr>
        <w:spacing w:after="0" w:afterAutospacing="0" w:before="240" w:lineRule="auto"/>
        <w:ind w:left="720" w:hanging="360"/>
        <w:jc w:val="both"/>
        <w:rPr>
          <w:sz w:val="22"/>
          <w:szCs w:val="22"/>
        </w:rPr>
      </w:pPr>
      <w:bookmarkStart w:colFirst="0" w:colLast="0" w:name="_frsq1miu12a4" w:id="5"/>
      <w:bookmarkEnd w:id="5"/>
      <w:r w:rsidDel="00000000" w:rsidR="00000000" w:rsidRPr="00000000">
        <w:rPr>
          <w:rFonts w:ascii="Century Gothic" w:cs="Century Gothic" w:eastAsia="Century Gothic" w:hAnsi="Century Gothic"/>
          <w:b w:val="1"/>
          <w:bCs w:val="1"/>
          <w:sz w:val="22"/>
          <w:szCs w:val="22"/>
          <w:rtl w:val="0"/>
        </w:rPr>
        <w:t xml:space="preserve">Import Displacement:</w:t>
      </w:r>
      <w:r w:rsidDel="00000000" w:rsidR="00000000" w:rsidRPr="00000000">
        <w:rPr>
          <w:rFonts w:ascii="Century Gothic" w:cs="Century Gothic" w:eastAsia="Century Gothic" w:hAnsi="Century Gothic"/>
          <w:sz w:val="22"/>
          <w:szCs w:val="22"/>
          <w:rtl w:val="0"/>
        </w:rPr>
        <w:t xml:space="preserve"> Dangote Refinery accounted for approximately 92% of Nigeria’s domestic petrol supply in February 2026. Total petrol imports dropped from 64.9M liters/day in January to 39.6M liters/day in February.</w:t>
      </w:r>
    </w:p>
    <w:p w:rsidR="00000000" w:rsidDel="00000000" w:rsidP="00000000" w:rsidRDefault="00000000" w:rsidRPr="00000000" w14:paraId="00000011">
      <w:pPr>
        <w:pStyle w:val="Heading2"/>
        <w:keepNext w:val="0"/>
        <w:keepLines w:val="0"/>
        <w:numPr>
          <w:ilvl w:val="0"/>
          <w:numId w:val="1"/>
        </w:numPr>
        <w:spacing w:after="0" w:afterAutospacing="0" w:before="0" w:beforeAutospacing="0" w:lineRule="auto"/>
        <w:ind w:left="720" w:hanging="360"/>
        <w:jc w:val="both"/>
        <w:rPr>
          <w:sz w:val="22"/>
          <w:szCs w:val="22"/>
        </w:rPr>
      </w:pPr>
      <w:bookmarkStart w:colFirst="0" w:colLast="0" w:name="_frsq1miu12a4" w:id="5"/>
      <w:bookmarkEnd w:id="5"/>
      <w:r w:rsidDel="00000000" w:rsidR="00000000" w:rsidRPr="00000000">
        <w:rPr>
          <w:rFonts w:ascii="Century Gothic" w:cs="Century Gothic" w:eastAsia="Century Gothic" w:hAnsi="Century Gothic"/>
          <w:b w:val="1"/>
          <w:bCs w:val="1"/>
          <w:sz w:val="22"/>
          <w:szCs w:val="22"/>
          <w:rtl w:val="0"/>
        </w:rPr>
        <w:t xml:space="preserve">Export Surge:</w:t>
      </w:r>
      <w:r w:rsidDel="00000000" w:rsidR="00000000" w:rsidRPr="00000000">
        <w:rPr>
          <w:rFonts w:ascii="Century Gothic" w:cs="Century Gothic" w:eastAsia="Century Gothic" w:hAnsi="Century Gothic"/>
          <w:sz w:val="22"/>
          <w:szCs w:val="22"/>
          <w:rtl w:val="0"/>
        </w:rPr>
        <w:t xml:space="preserve"> Dangote Refinery has significantly expanded jet fuel exports over the past two years, with Europe increasingly sourcing aviation fuel cargoes from Nigeria</w:t>
      </w: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012">
      <w:pPr>
        <w:pStyle w:val="Heading2"/>
        <w:keepNext w:val="0"/>
        <w:keepLines w:val="0"/>
        <w:numPr>
          <w:ilvl w:val="0"/>
          <w:numId w:val="1"/>
        </w:numPr>
        <w:spacing w:after="240" w:before="0" w:beforeAutospacing="0" w:lineRule="auto"/>
        <w:ind w:left="720" w:hanging="360"/>
        <w:jc w:val="both"/>
        <w:rPr>
          <w:sz w:val="22"/>
          <w:szCs w:val="22"/>
        </w:rPr>
      </w:pPr>
      <w:bookmarkStart w:colFirst="0" w:colLast="0" w:name="_frsq1miu12a4" w:id="5"/>
      <w:bookmarkEnd w:id="5"/>
      <w:r w:rsidDel="00000000" w:rsidR="00000000" w:rsidRPr="00000000">
        <w:rPr>
          <w:rFonts w:ascii="Century Gothic" w:cs="Century Gothic" w:eastAsia="Century Gothic" w:hAnsi="Century Gothic"/>
          <w:b w:val="1"/>
          <w:bCs w:val="1"/>
          <w:sz w:val="22"/>
          <w:szCs w:val="22"/>
          <w:rtl w:val="0"/>
        </w:rPr>
        <w:t xml:space="preserve">Regional Reach:</w:t>
      </w:r>
      <w:r w:rsidDel="00000000" w:rsidR="00000000" w:rsidRPr="00000000">
        <w:rPr>
          <w:rFonts w:ascii="Century Gothic" w:cs="Century Gothic" w:eastAsia="Century Gothic" w:hAnsi="Century Gothic"/>
          <w:sz w:val="22"/>
          <w:szCs w:val="22"/>
          <w:rtl w:val="0"/>
        </w:rPr>
        <w:t xml:space="preserve"> Cargoes are now actively flowing from Nigeria to </w:t>
      </w:r>
      <w:r w:rsidDel="00000000" w:rsidR="00000000" w:rsidRPr="00000000">
        <w:rPr>
          <w:rFonts w:ascii="Century Gothic" w:cs="Century Gothic" w:eastAsia="Century Gothic" w:hAnsi="Century Gothic"/>
          <w:sz w:val="22"/>
          <w:szCs w:val="22"/>
          <w:rtl w:val="0"/>
        </w:rPr>
        <w:t xml:space="preserve">Côte d’Ivoire, Cameroon, Ghana, Togo, and Tanzania, bypassing traditional European suppliers.</w:t>
      </w:r>
    </w:p>
    <w:p w:rsidR="00000000" w:rsidDel="00000000" w:rsidP="00000000" w:rsidRDefault="00000000" w:rsidRPr="00000000" w14:paraId="00000013">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p925fu1vb0wy" w:id="6"/>
      <w:bookmarkEnd w:id="6"/>
      <w:r w:rsidDel="00000000" w:rsidR="00000000" w:rsidRPr="00000000">
        <w:rPr>
          <w:rFonts w:ascii="Century Gothic" w:cs="Century Gothic" w:eastAsia="Century Gothic" w:hAnsi="Century Gothic"/>
          <w:b w:val="1"/>
          <w:bCs w:val="1"/>
          <w:color w:val="000000"/>
          <w:sz w:val="22"/>
          <w:szCs w:val="22"/>
          <w:rtl w:val="0"/>
        </w:rPr>
        <w:t xml:space="preserve">2. The Rise of "Mini-Hubs" (Ghana &amp; Angola)</w:t>
      </w:r>
    </w:p>
    <w:p w:rsidR="00000000" w:rsidDel="00000000" w:rsidP="00000000" w:rsidRDefault="00000000" w:rsidRPr="00000000" w14:paraId="00000014">
      <w:pPr>
        <w:pStyle w:val="Heading2"/>
        <w:keepNext w:val="0"/>
        <w:keepLines w:val="0"/>
        <w:spacing w:after="240" w:before="240" w:lineRule="auto"/>
        <w:jc w:val="both"/>
        <w:rPr>
          <w:rFonts w:ascii="Century Gothic" w:cs="Century Gothic" w:eastAsia="Century Gothic" w:hAnsi="Century Gothic"/>
          <w:sz w:val="22"/>
          <w:szCs w:val="22"/>
        </w:rPr>
      </w:pPr>
      <w:bookmarkStart w:colFirst="0" w:colLast="0" w:name="_frsq1miu12a4" w:id="5"/>
      <w:bookmarkEnd w:id="5"/>
      <w:r w:rsidDel="00000000" w:rsidR="00000000" w:rsidRPr="00000000">
        <w:rPr>
          <w:rFonts w:ascii="Century Gothic" w:cs="Century Gothic" w:eastAsia="Century Gothic" w:hAnsi="Century Gothic"/>
          <w:sz w:val="22"/>
          <w:szCs w:val="22"/>
          <w:rtl w:val="0"/>
        </w:rPr>
        <w:t xml:space="preserve">While Nigeria dominates the narrative, smaller regional projects are plugging localized supply gaps.</w:t>
      </w:r>
    </w:p>
    <w:p w:rsidR="00000000" w:rsidDel="00000000" w:rsidP="00000000" w:rsidRDefault="00000000" w:rsidRPr="00000000" w14:paraId="00000015">
      <w:pPr>
        <w:pStyle w:val="Heading2"/>
        <w:keepNext w:val="0"/>
        <w:keepLines w:val="0"/>
        <w:numPr>
          <w:ilvl w:val="0"/>
          <w:numId w:val="5"/>
        </w:numPr>
        <w:spacing w:after="0" w:afterAutospacing="0" w:before="240" w:lineRule="auto"/>
        <w:ind w:left="720" w:hanging="360"/>
        <w:jc w:val="both"/>
        <w:rPr>
          <w:sz w:val="22"/>
          <w:szCs w:val="22"/>
        </w:rPr>
      </w:pPr>
      <w:bookmarkStart w:colFirst="0" w:colLast="0" w:name="_frsq1miu12a4" w:id="5"/>
      <w:bookmarkEnd w:id="5"/>
      <w:r w:rsidDel="00000000" w:rsidR="00000000" w:rsidRPr="00000000">
        <w:rPr>
          <w:rFonts w:ascii="Century Gothic" w:cs="Century Gothic" w:eastAsia="Century Gothic" w:hAnsi="Century Gothic"/>
          <w:b w:val="1"/>
          <w:bCs w:val="1"/>
          <w:sz w:val="22"/>
          <w:szCs w:val="22"/>
          <w:rtl w:val="0"/>
        </w:rPr>
        <w:t xml:space="preserve">Ghana (Sentuo Refinery):</w:t>
      </w:r>
      <w:r w:rsidDel="00000000" w:rsidR="00000000" w:rsidRPr="00000000">
        <w:rPr>
          <w:rFonts w:ascii="Century Gothic" w:cs="Century Gothic" w:eastAsia="Century Gothic" w:hAnsi="Century Gothic"/>
          <w:sz w:val="22"/>
          <w:szCs w:val="22"/>
          <w:rtl w:val="0"/>
        </w:rPr>
        <w:t xml:space="preserve"> Now operating at its Phase 2 capacity of </w:t>
      </w:r>
      <w:r w:rsidDel="00000000" w:rsidR="00000000" w:rsidRPr="00000000">
        <w:rPr>
          <w:rFonts w:ascii="Century Gothic" w:cs="Century Gothic" w:eastAsia="Century Gothic" w:hAnsi="Century Gothic"/>
          <w:sz w:val="22"/>
          <w:szCs w:val="22"/>
          <w:rtl w:val="0"/>
        </w:rPr>
        <w:t xml:space="preserve">100,000+ bpd,</w:t>
      </w:r>
      <w:r w:rsidDel="00000000" w:rsidR="00000000" w:rsidRPr="00000000">
        <w:rPr>
          <w:rFonts w:ascii="Century Gothic" w:cs="Century Gothic" w:eastAsia="Century Gothic" w:hAnsi="Century Gothic"/>
          <w:sz w:val="22"/>
          <w:szCs w:val="22"/>
          <w:rtl w:val="0"/>
        </w:rPr>
        <w:t xml:space="preserve"> the Chinese-built facility has significantly reduced Ghana’s dependence on imported refined products.</w:t>
      </w:r>
    </w:p>
    <w:p w:rsidR="00000000" w:rsidDel="00000000" w:rsidP="00000000" w:rsidRDefault="00000000" w:rsidRPr="00000000" w14:paraId="00000016">
      <w:pPr>
        <w:pStyle w:val="Heading2"/>
        <w:keepNext w:val="0"/>
        <w:keepLines w:val="0"/>
        <w:numPr>
          <w:ilvl w:val="0"/>
          <w:numId w:val="5"/>
        </w:numPr>
        <w:spacing w:after="240" w:before="0" w:beforeAutospacing="0" w:lineRule="auto"/>
        <w:ind w:left="720" w:hanging="360"/>
        <w:jc w:val="both"/>
        <w:rPr>
          <w:sz w:val="22"/>
          <w:szCs w:val="22"/>
        </w:rPr>
      </w:pPr>
      <w:bookmarkStart w:colFirst="0" w:colLast="0" w:name="_79xm6njaptmu" w:id="7"/>
      <w:bookmarkEnd w:id="7"/>
      <w:r w:rsidDel="00000000" w:rsidR="00000000" w:rsidRPr="00000000">
        <w:rPr>
          <w:rFonts w:ascii="Century Gothic" w:cs="Century Gothic" w:eastAsia="Century Gothic" w:hAnsi="Century Gothic"/>
          <w:b w:val="1"/>
          <w:bCs w:val="1"/>
          <w:sz w:val="22"/>
          <w:szCs w:val="22"/>
          <w:rtl w:val="0"/>
        </w:rPr>
        <w:t xml:space="preserve">Angola (Cabinda Refinery):</w:t>
      </w:r>
      <w:r w:rsidDel="00000000" w:rsidR="00000000" w:rsidRPr="00000000">
        <w:rPr>
          <w:rFonts w:ascii="Century Gothic" w:cs="Century Gothic" w:eastAsia="Century Gothic" w:hAnsi="Century Gothic"/>
          <w:sz w:val="22"/>
          <w:szCs w:val="22"/>
          <w:rtl w:val="0"/>
        </w:rPr>
        <w:t xml:space="preserve"> Commenced commercial operations in </w:t>
      </w:r>
      <w:r w:rsidDel="00000000" w:rsidR="00000000" w:rsidRPr="00000000">
        <w:rPr>
          <w:rFonts w:ascii="Century Gothic" w:cs="Century Gothic" w:eastAsia="Century Gothic" w:hAnsi="Century Gothic"/>
          <w:sz w:val="22"/>
          <w:szCs w:val="22"/>
          <w:rtl w:val="0"/>
        </w:rPr>
        <w:t xml:space="preserve">April 2026.</w:t>
      </w:r>
      <w:r w:rsidDel="00000000" w:rsidR="00000000" w:rsidRPr="00000000">
        <w:rPr>
          <w:rFonts w:ascii="Century Gothic" w:cs="Century Gothic" w:eastAsia="Century Gothic" w:hAnsi="Century Gothic"/>
          <w:sz w:val="22"/>
          <w:szCs w:val="22"/>
          <w:rtl w:val="0"/>
        </w:rPr>
        <w:t xml:space="preserve"> Phase 1 (30,000 bpd) is already stabilizing the domestic diesel and naphtha market, with Phase 2 expansion to 60,000 bpd slated for 2027.</w:t>
      </w:r>
    </w:p>
    <w:p w:rsidR="00000000" w:rsidDel="00000000" w:rsidP="00000000" w:rsidRDefault="00000000" w:rsidRPr="00000000" w14:paraId="00000017">
      <w:pPr>
        <w:pStyle w:val="Heading2"/>
        <w:keepNext w:val="0"/>
        <w:keepLines w:val="0"/>
        <w:spacing w:after="80" w:lineRule="auto"/>
        <w:jc w:val="both"/>
        <w:rPr>
          <w:rFonts w:ascii="Century Gothic" w:cs="Century Gothic" w:eastAsia="Century Gothic" w:hAnsi="Century Gothic"/>
          <w:sz w:val="22"/>
          <w:szCs w:val="22"/>
        </w:rPr>
      </w:pPr>
      <w:bookmarkStart w:colFirst="0" w:colLast="0" w:name="_frsq1miu12a4" w:id="5"/>
      <w:bookmarkEnd w:id="5"/>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jc w:val="both"/>
        <w:rPr>
          <w:rFonts w:ascii="Century Gothic" w:cs="Century Gothic" w:eastAsia="Century Gothic" w:hAnsi="Century Gothic"/>
          <w:b w:val="1"/>
          <w:bCs w:val="1"/>
          <w:sz w:val="26"/>
          <w:szCs w:val="26"/>
        </w:rPr>
      </w:pPr>
      <w:bookmarkStart w:colFirst="0" w:colLast="0" w:name="_w2xywe2m09sh" w:id="8"/>
      <w:bookmarkEnd w:id="8"/>
      <w:r w:rsidDel="00000000" w:rsidR="00000000" w:rsidRPr="00000000">
        <w:rPr>
          <w:rFonts w:ascii="Century Gothic" w:cs="Century Gothic" w:eastAsia="Century Gothic" w:hAnsi="Century Gothic"/>
          <w:b w:val="1"/>
          <w:bCs w:val="1"/>
          <w:sz w:val="26"/>
          <w:szCs w:val="26"/>
          <w:rtl w:val="0"/>
        </w:rPr>
        <w:t xml:space="preserve">How Regional Refining Is Reshaping Fuel Trade</w:t>
      </w:r>
    </w:p>
    <w:p w:rsidR="00000000" w:rsidDel="00000000" w:rsidP="00000000" w:rsidRDefault="00000000" w:rsidRPr="00000000" w14:paraId="00000019">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growth of African refining capacity is altering long-established fuel trade patterns in several important ways.</w:t>
      </w:r>
    </w:p>
    <w:p w:rsidR="00000000" w:rsidDel="00000000" w:rsidP="00000000" w:rsidRDefault="00000000" w:rsidRPr="00000000" w14:paraId="0000001A">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z4ly1xqbtrzp" w:id="9"/>
      <w:bookmarkEnd w:id="9"/>
      <w:r w:rsidDel="00000000" w:rsidR="00000000" w:rsidRPr="00000000">
        <w:rPr>
          <w:rtl w:val="0"/>
        </w:rPr>
      </w:r>
    </w:p>
    <w:p w:rsidR="00000000" w:rsidDel="00000000" w:rsidP="00000000" w:rsidRDefault="00000000" w:rsidRPr="00000000" w14:paraId="0000001B">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s6ijotx2uab1" w:id="10"/>
      <w:bookmarkEnd w:id="10"/>
      <w:r w:rsidDel="00000000" w:rsidR="00000000" w:rsidRPr="00000000">
        <w:rPr>
          <w:rtl w:val="0"/>
        </w:rPr>
      </w:r>
    </w:p>
    <w:p w:rsidR="00000000" w:rsidDel="00000000" w:rsidP="00000000" w:rsidRDefault="00000000" w:rsidRPr="00000000" w14:paraId="0000001C">
      <w:pPr>
        <w:pStyle w:val="Heading2"/>
        <w:keepNext w:val="0"/>
        <w:keepLines w:val="0"/>
        <w:numPr>
          <w:ilvl w:val="0"/>
          <w:numId w:val="6"/>
        </w:numPr>
        <w:spacing w:after="80" w:lineRule="auto"/>
        <w:ind w:left="720" w:hanging="360"/>
        <w:jc w:val="both"/>
        <w:rPr>
          <w:rFonts w:ascii="Century Gothic" w:cs="Century Gothic" w:eastAsia="Century Gothic" w:hAnsi="Century Gothic"/>
          <w:b w:val="1"/>
          <w:bCs w:val="1"/>
          <w:sz w:val="22"/>
          <w:szCs w:val="22"/>
          <w:u w:val="none"/>
        </w:rPr>
      </w:pPr>
      <w:bookmarkStart w:colFirst="0" w:colLast="0" w:name="_xtime3723wge" w:id="11"/>
      <w:bookmarkEnd w:id="11"/>
      <w:r w:rsidDel="00000000" w:rsidR="00000000" w:rsidRPr="00000000">
        <w:rPr>
          <w:rFonts w:ascii="Century Gothic" w:cs="Century Gothic" w:eastAsia="Century Gothic" w:hAnsi="Century Gothic"/>
          <w:b w:val="1"/>
          <w:bCs w:val="1"/>
          <w:sz w:val="22"/>
          <w:szCs w:val="22"/>
          <w:rtl w:val="0"/>
        </w:rPr>
        <w:t xml:space="preserve">Declining Dependence on European Imports</w:t>
      </w:r>
    </w:p>
    <w:p w:rsidR="00000000" w:rsidDel="00000000" w:rsidP="00000000" w:rsidRDefault="00000000" w:rsidRPr="00000000" w14:paraId="0000001D">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Historically, European refiners supplied large portions of West and Central Africa’s gasoline and diesel demand. As African refineries expand output, regional buyers may increasingly source products within Africa rather than importing from external markets. This creates several strategic advantages:</w:t>
      </w:r>
    </w:p>
    <w:p w:rsidR="00000000" w:rsidDel="00000000" w:rsidP="00000000" w:rsidRDefault="00000000" w:rsidRPr="00000000" w14:paraId="0000001E">
      <w:pPr>
        <w:numPr>
          <w:ilvl w:val="0"/>
          <w:numId w:val="2"/>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shorter supply chains,</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lower freight exposure,</w:t>
      </w:r>
    </w:p>
    <w:p w:rsidR="00000000" w:rsidDel="00000000" w:rsidP="00000000" w:rsidRDefault="00000000" w:rsidRPr="00000000" w14:paraId="00000020">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reduced vulnerability to international refining disruptions,</w:t>
      </w:r>
    </w:p>
    <w:p w:rsidR="00000000" w:rsidDel="00000000" w:rsidP="00000000" w:rsidRDefault="00000000" w:rsidRPr="00000000" w14:paraId="00000021">
      <w:pPr>
        <w:numPr>
          <w:ilvl w:val="0"/>
          <w:numId w:val="2"/>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greater supply flexibility.</w:t>
      </w:r>
    </w:p>
    <w:p w:rsidR="00000000" w:rsidDel="00000000" w:rsidP="00000000" w:rsidRDefault="00000000" w:rsidRPr="00000000" w14:paraId="00000022">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transition could gradually reduce Europe’s dominance within African downstream markets.</w:t>
      </w:r>
    </w:p>
    <w:p w:rsidR="00000000" w:rsidDel="00000000" w:rsidP="00000000" w:rsidRDefault="00000000" w:rsidRPr="00000000" w14:paraId="00000023">
      <w:pPr>
        <w:pStyle w:val="Heading1"/>
        <w:keepNext w:val="0"/>
        <w:keepLines w:val="0"/>
        <w:spacing w:before="480" w:lineRule="auto"/>
        <w:jc w:val="both"/>
        <w:rPr>
          <w:rFonts w:ascii="Century Gothic" w:cs="Century Gothic" w:eastAsia="Century Gothic" w:hAnsi="Century Gothic"/>
          <w:b w:val="1"/>
          <w:bCs w:val="1"/>
          <w:sz w:val="26"/>
          <w:szCs w:val="26"/>
        </w:rPr>
      </w:pPr>
      <w:bookmarkStart w:colFirst="0" w:colLast="0" w:name="_igpde59rwej0" w:id="12"/>
      <w:bookmarkEnd w:id="12"/>
      <w:r w:rsidDel="00000000" w:rsidR="00000000" w:rsidRPr="00000000">
        <w:rPr>
          <w:rFonts w:ascii="Century Gothic" w:cs="Century Gothic" w:eastAsia="Century Gothic" w:hAnsi="Century Gothic"/>
          <w:b w:val="1"/>
          <w:bCs w:val="1"/>
          <w:sz w:val="26"/>
          <w:szCs w:val="26"/>
          <w:rtl w:val="0"/>
        </w:rPr>
        <w:t xml:space="preserve">Implications for International Traders</w:t>
      </w:r>
    </w:p>
    <w:p w:rsidR="00000000" w:rsidDel="00000000" w:rsidP="00000000" w:rsidRDefault="00000000" w:rsidRPr="00000000" w14:paraId="0000002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w:t>
      </w:r>
      <w:r w:rsidDel="00000000" w:rsidR="00000000" w:rsidRPr="00000000">
        <w:rPr>
          <w:rFonts w:ascii="Century Gothic" w:cs="Century Gothic" w:eastAsia="Century Gothic" w:hAnsi="Century Gothic"/>
          <w:rtl w:val="0"/>
        </w:rPr>
        <w:t xml:space="preserve">nternational commodity traders have played a dominant role in supplying refined products into African markets. However, increased regional refining may:</w:t>
      </w:r>
    </w:p>
    <w:p w:rsidR="00000000" w:rsidDel="00000000" w:rsidP="00000000" w:rsidRDefault="00000000" w:rsidRPr="00000000" w14:paraId="00000025">
      <w:pPr>
        <w:numPr>
          <w:ilvl w:val="0"/>
          <w:numId w:val="4"/>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intensify competition,</w:t>
      </w:r>
    </w:p>
    <w:p w:rsidR="00000000" w:rsidDel="00000000" w:rsidP="00000000" w:rsidRDefault="00000000" w:rsidRPr="00000000" w14:paraId="00000026">
      <w:pPr>
        <w:numPr>
          <w:ilvl w:val="0"/>
          <w:numId w:val="4"/>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reduce import dependence,</w:t>
      </w:r>
    </w:p>
    <w:p w:rsidR="00000000" w:rsidDel="00000000" w:rsidP="00000000" w:rsidRDefault="00000000" w:rsidRPr="00000000" w14:paraId="00000027">
      <w:pPr>
        <w:numPr>
          <w:ilvl w:val="0"/>
          <w:numId w:val="4"/>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alter procurement structures.</w:t>
      </w:r>
    </w:p>
    <w:p w:rsidR="00000000" w:rsidDel="00000000" w:rsidP="00000000" w:rsidRDefault="00000000" w:rsidRPr="00000000" w14:paraId="00000028">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could reshape the commercial influence of global trading houses within African downstream markets.</w:t>
      </w:r>
    </w:p>
    <w:p w:rsidR="00000000" w:rsidDel="00000000" w:rsidP="00000000" w:rsidRDefault="00000000" w:rsidRPr="00000000" w14:paraId="00000029">
      <w:pPr>
        <w:pStyle w:val="Heading1"/>
        <w:keepNext w:val="0"/>
        <w:keepLines w:val="0"/>
        <w:spacing w:before="480" w:lineRule="auto"/>
        <w:jc w:val="both"/>
        <w:rPr>
          <w:rFonts w:ascii="Century Gothic" w:cs="Century Gothic" w:eastAsia="Century Gothic" w:hAnsi="Century Gothic"/>
          <w:b w:val="1"/>
          <w:bCs w:val="1"/>
          <w:sz w:val="26"/>
          <w:szCs w:val="26"/>
        </w:rPr>
      </w:pPr>
      <w:bookmarkStart w:colFirst="0" w:colLast="0" w:name="_99c3uqk2dxc4" w:id="13"/>
      <w:bookmarkEnd w:id="13"/>
      <w:r w:rsidDel="00000000" w:rsidR="00000000" w:rsidRPr="00000000">
        <w:rPr>
          <w:rFonts w:ascii="Century Gothic" w:cs="Century Gothic" w:eastAsia="Century Gothic" w:hAnsi="Century Gothic"/>
          <w:b w:val="1"/>
          <w:bCs w:val="1"/>
          <w:sz w:val="26"/>
          <w:szCs w:val="26"/>
          <w:rtl w:val="0"/>
        </w:rPr>
        <w:t xml:space="preserve">Risks and Structural Constraints</w:t>
      </w:r>
    </w:p>
    <w:p w:rsidR="00000000" w:rsidDel="00000000" w:rsidP="00000000" w:rsidRDefault="00000000" w:rsidRPr="00000000" w14:paraId="0000002A">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Despite strong momentum, several challenges may slow Africa’s downstream transformation, such as:</w:t>
      </w:r>
    </w:p>
    <w:p w:rsidR="00000000" w:rsidDel="00000000" w:rsidP="00000000" w:rsidRDefault="00000000" w:rsidRPr="00000000" w14:paraId="0000002B">
      <w:pPr>
        <w:pStyle w:val="Heading2"/>
        <w:keepNext w:val="0"/>
        <w:keepLines w:val="0"/>
        <w:numPr>
          <w:ilvl w:val="0"/>
          <w:numId w:val="3"/>
        </w:numPr>
        <w:spacing w:after="0" w:afterAutospacing="0" w:lineRule="auto"/>
        <w:ind w:left="720" w:hanging="360"/>
        <w:jc w:val="both"/>
        <w:rPr>
          <w:rFonts w:ascii="Century Gothic" w:cs="Century Gothic" w:eastAsia="Century Gothic" w:hAnsi="Century Gothic"/>
          <w:sz w:val="22"/>
          <w:szCs w:val="22"/>
          <w:u w:val="none"/>
        </w:rPr>
      </w:pPr>
      <w:bookmarkStart w:colFirst="0" w:colLast="0" w:name="_go658ldci9s6" w:id="14"/>
      <w:bookmarkEnd w:id="14"/>
      <w:r w:rsidDel="00000000" w:rsidR="00000000" w:rsidRPr="00000000">
        <w:rPr>
          <w:rFonts w:ascii="Century Gothic" w:cs="Century Gothic" w:eastAsia="Century Gothic" w:hAnsi="Century Gothic"/>
          <w:b w:val="1"/>
          <w:bCs w:val="1"/>
          <w:sz w:val="22"/>
          <w:szCs w:val="22"/>
          <w:rtl w:val="0"/>
        </w:rPr>
        <w:t xml:space="preserve">Infrastructure Limitations: </w:t>
      </w:r>
      <w:r w:rsidDel="00000000" w:rsidR="00000000" w:rsidRPr="00000000">
        <w:rPr>
          <w:rFonts w:ascii="Century Gothic" w:cs="Century Gothic" w:eastAsia="Century Gothic" w:hAnsi="Century Gothic"/>
          <w:sz w:val="22"/>
          <w:szCs w:val="22"/>
          <w:rtl w:val="0"/>
        </w:rPr>
        <w:t xml:space="preserve">Many countries still face inadequate pipelines, weak transportation networks, port congestion, and insufficient storage capacity.</w:t>
      </w:r>
    </w:p>
    <w:p w:rsidR="00000000" w:rsidDel="00000000" w:rsidP="00000000" w:rsidRDefault="00000000" w:rsidRPr="00000000" w14:paraId="0000002C">
      <w:pPr>
        <w:pStyle w:val="Heading2"/>
        <w:keepNext w:val="0"/>
        <w:keepLines w:val="0"/>
        <w:numPr>
          <w:ilvl w:val="0"/>
          <w:numId w:val="3"/>
        </w:numPr>
        <w:spacing w:after="0" w:afterAutospacing="0" w:before="0" w:beforeAutospacing="0" w:lineRule="auto"/>
        <w:ind w:left="720" w:hanging="360"/>
        <w:jc w:val="both"/>
        <w:rPr>
          <w:rFonts w:ascii="Century Gothic" w:cs="Century Gothic" w:eastAsia="Century Gothic" w:hAnsi="Century Gothic"/>
          <w:sz w:val="22"/>
          <w:szCs w:val="22"/>
          <w:u w:val="none"/>
        </w:rPr>
      </w:pPr>
      <w:bookmarkStart w:colFirst="0" w:colLast="0" w:name="_qho86w8waxj0" w:id="15"/>
      <w:bookmarkEnd w:id="15"/>
      <w:r w:rsidDel="00000000" w:rsidR="00000000" w:rsidRPr="00000000">
        <w:rPr>
          <w:rFonts w:ascii="Century Gothic" w:cs="Century Gothic" w:eastAsia="Century Gothic" w:hAnsi="Century Gothic"/>
          <w:b w:val="1"/>
          <w:bCs w:val="1"/>
          <w:sz w:val="22"/>
          <w:szCs w:val="22"/>
          <w:rtl w:val="0"/>
        </w:rPr>
        <w:t xml:space="preserve">Security Risks: </w:t>
      </w:r>
      <w:r w:rsidDel="00000000" w:rsidR="00000000" w:rsidRPr="00000000">
        <w:rPr>
          <w:rFonts w:ascii="Century Gothic" w:cs="Century Gothic" w:eastAsia="Century Gothic" w:hAnsi="Century Gothic"/>
          <w:sz w:val="22"/>
          <w:szCs w:val="22"/>
          <w:rtl w:val="0"/>
        </w:rPr>
        <w:t xml:space="preserve">Pipeline vandalism, crude theft, sabotage, and operational disruptions continue to threaten feedstock reliability in some producing regions.</w:t>
      </w:r>
    </w:p>
    <w:p w:rsidR="00000000" w:rsidDel="00000000" w:rsidP="00000000" w:rsidRDefault="00000000" w:rsidRPr="00000000" w14:paraId="0000002D">
      <w:pPr>
        <w:pStyle w:val="Heading2"/>
        <w:keepNext w:val="0"/>
        <w:keepLines w:val="0"/>
        <w:numPr>
          <w:ilvl w:val="0"/>
          <w:numId w:val="3"/>
        </w:numPr>
        <w:spacing w:after="0" w:afterAutospacing="0" w:before="0" w:beforeAutospacing="0" w:lineRule="auto"/>
        <w:ind w:left="720" w:hanging="360"/>
        <w:jc w:val="both"/>
        <w:rPr>
          <w:rFonts w:ascii="Century Gothic" w:cs="Century Gothic" w:eastAsia="Century Gothic" w:hAnsi="Century Gothic"/>
          <w:sz w:val="22"/>
          <w:szCs w:val="22"/>
          <w:u w:val="none"/>
        </w:rPr>
      </w:pPr>
      <w:bookmarkStart w:colFirst="0" w:colLast="0" w:name="_vs3k5o45eyex" w:id="16"/>
      <w:bookmarkEnd w:id="16"/>
      <w:r w:rsidDel="00000000" w:rsidR="00000000" w:rsidRPr="00000000">
        <w:rPr>
          <w:rFonts w:ascii="Century Gothic" w:cs="Century Gothic" w:eastAsia="Century Gothic" w:hAnsi="Century Gothic"/>
          <w:b w:val="1"/>
          <w:bCs w:val="1"/>
          <w:sz w:val="22"/>
          <w:szCs w:val="22"/>
          <w:rtl w:val="0"/>
        </w:rPr>
        <w:t xml:space="preserve">Regulatory Uncertainty: </w:t>
      </w:r>
      <w:r w:rsidDel="00000000" w:rsidR="00000000" w:rsidRPr="00000000">
        <w:rPr>
          <w:rFonts w:ascii="Century Gothic" w:cs="Century Gothic" w:eastAsia="Century Gothic" w:hAnsi="Century Gothic"/>
          <w:sz w:val="22"/>
          <w:szCs w:val="22"/>
          <w:rtl w:val="0"/>
        </w:rPr>
        <w:t xml:space="preserve">Fuel pricing controls, subsidy reforms, and changing regulatory frameworks remain major investment concerns.</w:t>
      </w:r>
    </w:p>
    <w:p w:rsidR="00000000" w:rsidDel="00000000" w:rsidP="00000000" w:rsidRDefault="00000000" w:rsidRPr="00000000" w14:paraId="0000002E">
      <w:pPr>
        <w:pStyle w:val="Heading2"/>
        <w:keepNext w:val="0"/>
        <w:keepLines w:val="0"/>
        <w:numPr>
          <w:ilvl w:val="0"/>
          <w:numId w:val="3"/>
        </w:numPr>
        <w:spacing w:after="80" w:before="0" w:beforeAutospacing="0" w:lineRule="auto"/>
        <w:ind w:left="720" w:hanging="360"/>
        <w:jc w:val="both"/>
        <w:rPr>
          <w:rFonts w:ascii="Century Gothic" w:cs="Century Gothic" w:eastAsia="Century Gothic" w:hAnsi="Century Gothic"/>
          <w:sz w:val="22"/>
          <w:szCs w:val="22"/>
          <w:u w:val="none"/>
        </w:rPr>
      </w:pPr>
      <w:bookmarkStart w:colFirst="0" w:colLast="0" w:name="_qr36hy5jm7h0" w:id="17"/>
      <w:bookmarkEnd w:id="17"/>
      <w:r w:rsidDel="00000000" w:rsidR="00000000" w:rsidRPr="00000000">
        <w:rPr>
          <w:rFonts w:ascii="Century Gothic" w:cs="Century Gothic" w:eastAsia="Century Gothic" w:hAnsi="Century Gothic"/>
          <w:b w:val="1"/>
          <w:bCs w:val="1"/>
          <w:sz w:val="22"/>
          <w:szCs w:val="22"/>
          <w:rtl w:val="0"/>
        </w:rPr>
        <w:t xml:space="preserve">Operational Reliability: </w:t>
      </w:r>
      <w:r w:rsidDel="00000000" w:rsidR="00000000" w:rsidRPr="00000000">
        <w:rPr>
          <w:rFonts w:ascii="Century Gothic" w:cs="Century Gothic" w:eastAsia="Century Gothic" w:hAnsi="Century Gothic"/>
          <w:sz w:val="22"/>
          <w:szCs w:val="22"/>
          <w:rtl w:val="0"/>
        </w:rPr>
        <w:t xml:space="preserve">Historically low refinery utilization rates across Africa remain a critical concern. Long-term success will depend on sustained operational efficiency and maintenance discipline.</w:t>
      </w:r>
    </w:p>
    <w:p w:rsidR="00000000" w:rsidDel="00000000" w:rsidP="00000000" w:rsidRDefault="00000000" w:rsidRPr="00000000" w14:paraId="0000002F">
      <w:pPr>
        <w:pStyle w:val="Heading1"/>
        <w:keepNext w:val="0"/>
        <w:keepLines w:val="0"/>
        <w:spacing w:before="480" w:lineRule="auto"/>
        <w:jc w:val="both"/>
        <w:rPr>
          <w:rFonts w:ascii="Century Gothic" w:cs="Century Gothic" w:eastAsia="Century Gothic" w:hAnsi="Century Gothic"/>
          <w:b w:val="1"/>
          <w:bCs w:val="1"/>
          <w:sz w:val="26"/>
          <w:szCs w:val="26"/>
        </w:rPr>
      </w:pPr>
      <w:bookmarkStart w:colFirst="0" w:colLast="0" w:name="_kjftt0tclask" w:id="18"/>
      <w:bookmarkEnd w:id="18"/>
      <w:r w:rsidDel="00000000" w:rsidR="00000000" w:rsidRPr="00000000">
        <w:rPr>
          <w:rFonts w:ascii="Century Gothic" w:cs="Century Gothic" w:eastAsia="Century Gothic" w:hAnsi="Century Gothic"/>
          <w:b w:val="1"/>
          <w:bCs w:val="1"/>
          <w:sz w:val="26"/>
          <w:szCs w:val="26"/>
          <w:rtl w:val="0"/>
        </w:rPr>
        <w:t xml:space="preserve">Outlook</w:t>
      </w:r>
    </w:p>
    <w:p w:rsidR="00000000" w:rsidDel="00000000" w:rsidP="00000000" w:rsidRDefault="00000000" w:rsidRPr="00000000" w14:paraId="00000030">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Regional refining is steadily reshaping African fuel trade by reducing import dependency, encouraging intra-African energy commerce, and strengthening downstream value retention within the continent. The transformation underway signals the emergence of a new downstream trade architecture in which African markets increasingly refine, distribute, and consume fuel within regional supply ecosystems. </w:t>
      </w:r>
    </w:p>
    <w:p w:rsidR="00000000" w:rsidDel="00000000" w:rsidP="00000000" w:rsidRDefault="00000000" w:rsidRPr="00000000" w14:paraId="0000003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West Africa is likely to remain central to this transition due to its combination of: refining scale, market demand, crude supply availability, and strategic geographic positioning. However, the long-term success of this shift will depend on whether governments and private-sector operators can address persistent constraints involving infrastructure, security, regulation, financing, and operational performance.</w:t>
      </w:r>
    </w:p>
    <w:p w:rsidR="00000000" w:rsidDel="00000000" w:rsidP="00000000" w:rsidRDefault="00000000" w:rsidRPr="00000000" w14:paraId="00000032">
      <w:pPr>
        <w:spacing w:after="240" w:befor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spacing w:after="240" w:befor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spacing w:after="240" w:before="240" w:lineRule="auto"/>
        <w:jc w:val="both"/>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