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44"/>
          <w:szCs w:val="44"/>
          <w:rtl w:val="0"/>
        </w:rPr>
        <w:t xml:space="preserve">Côte d'Ivoire: Eni Sanctions Baleine Phase 3</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02">
      <w:pPr>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3">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6"/>
          <w:szCs w:val="26"/>
          <w:rtl w:val="0"/>
        </w:rPr>
        <w:t xml:space="preserve">Executive Summary</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04">
      <w:pPr>
        <w:spacing w:after="240" w:befor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upstream landscape of the Gulf of Guinea has reached a significant milestone with Eni and its consortium partners officially approving the Final Investment Decision (FID) for Phase 3 of the deepwater Baleine field offshore Côte d'Ivoire. Estimated at an approximate capital expenditure of $4 billion, this full-field phase represents a massive validation of West Africa's deepwater potential. </w:t>
      </w:r>
    </w:p>
    <w:p w:rsidR="00000000" w:rsidDel="00000000" w:rsidP="00000000" w:rsidRDefault="00000000" w:rsidRPr="00000000" w14:paraId="00000005">
      <w:pPr>
        <w:spacing w:after="240" w:before="240" w:lineRule="auto"/>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sz w:val="24"/>
          <w:szCs w:val="24"/>
          <w:rtl w:val="0"/>
        </w:rPr>
        <w:t xml:space="preserve">By deploying a brand-new Floating Production, Storage, and Offloading (FPSO) vessel, the project will structurally alter the host nation's macroeconomic and energy outlook. Total liquid production will jump from 60,000 barrels of oil per day (bopd) to 150,000 bopd, while domestic gas delivery will surge to 200 million cubic feet per day (200 MMscf/d). At peak production, the Baleine project is projected to achieve approximately 183,000 barrels of oil equivalent per day (boepd), placing it among the most commercially significant offshore developments in sub-Saharan Africa outside the traditional producing giants such as Nigeria and Angola.</w:t>
      </w:r>
      <w:r w:rsidDel="00000000" w:rsidR="00000000" w:rsidRPr="00000000">
        <w:rPr>
          <w:rtl w:val="0"/>
        </w:rPr>
      </w:r>
    </w:p>
    <w:p w:rsidR="00000000" w:rsidDel="00000000" w:rsidP="00000000" w:rsidRDefault="00000000" w:rsidRPr="00000000" w14:paraId="00000006">
      <w:pPr>
        <w:spacing w:after="240" w:before="240" w:lineRule="auto"/>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Field Background &amp; Discovery History</w:t>
      </w:r>
    </w:p>
    <w:p w:rsidR="00000000" w:rsidDel="00000000" w:rsidP="00000000" w:rsidRDefault="00000000" w:rsidRPr="00000000" w14:paraId="00000007">
      <w:pPr>
        <w:spacing w:after="240" w:befor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Baleine is the largest hydrocarbon discovery ever recorded in Côte d'Ivoire and the country's first commercial find in over two decades. Eni re-entered Côte d'Ivoire in 2015, securing interests in blocks CI-101 and CI-802, among others. The Baleine-1X discovery well Eni's very first in-country was spudded in September 2021 using the Saipem 10,000 drillship, confirming light oil (40° API) in two separate stratigraphic levels at a total depth of 3,445m in approximately 1,200m of water.</w:t>
      </w:r>
    </w:p>
    <w:p w:rsidR="00000000" w:rsidDel="00000000" w:rsidP="00000000" w:rsidRDefault="00000000" w:rsidRPr="00000000" w14:paraId="00000008">
      <w:pPr>
        <w:spacing w:after="240" w:befor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 second appraisal well, Baleine East-1X in the adjacent CI-802 block drilled in July 2022 extended the structure eastward and grew gross resource estimates by ~25%, estimated hydrocarbons in place of approximately 2.5 billion barrels of oil and 3.3 Tcf of associated gas. The sheer scale and quality of the resource discovered through a single exploration campaign validated Eni’s frontier deepwater thesis for the Gulf of Guinea's underexplored Ivorian shelf.</w:t>
      </w:r>
    </w:p>
    <w:p w:rsidR="00000000" w:rsidDel="00000000" w:rsidP="00000000" w:rsidRDefault="00000000" w:rsidRPr="00000000" w14:paraId="00000009">
      <w:pPr>
        <w:spacing w:after="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consortium holding the asset reflects an optimized blend of international technical operatorship, global commodity trading capability, and state-backed equity participation. The current equity breakdown following recent farm-in arrangements includes:</w:t>
      </w:r>
    </w:p>
    <w:p w:rsidR="00000000" w:rsidDel="00000000" w:rsidP="00000000" w:rsidRDefault="00000000" w:rsidRPr="00000000" w14:paraId="0000000A">
      <w:pPr>
        <w:numPr>
          <w:ilvl w:val="0"/>
          <w:numId w:val="1"/>
        </w:numPr>
        <w:spacing w:after="0" w:afterAutospacing="0" w:lineRule="auto"/>
        <w:ind w:left="720" w:hanging="360"/>
        <w:jc w:val="both"/>
        <w:rPr>
          <w:sz w:val="24"/>
          <w:szCs w:val="24"/>
        </w:rPr>
      </w:pPr>
      <w:r w:rsidDel="00000000" w:rsidR="00000000" w:rsidRPr="00000000">
        <w:rPr>
          <w:rFonts w:ascii="Century Gothic" w:cs="Century Gothic" w:eastAsia="Century Gothic" w:hAnsi="Century Gothic"/>
          <w:b w:val="1"/>
          <w:bCs w:val="1"/>
          <w:sz w:val="24"/>
          <w:szCs w:val="24"/>
          <w:rtl w:val="0"/>
        </w:rPr>
        <w:t xml:space="preserve">Eni (Operator):</w:t>
      </w:r>
      <w:r w:rsidDel="00000000" w:rsidR="00000000" w:rsidRPr="00000000">
        <w:rPr>
          <w:rFonts w:ascii="Century Gothic" w:cs="Century Gothic" w:eastAsia="Century Gothic" w:hAnsi="Century Gothic"/>
          <w:sz w:val="24"/>
          <w:szCs w:val="24"/>
          <w:rtl w:val="0"/>
        </w:rPr>
        <w:t xml:space="preserve"> 37.25%</w:t>
      </w:r>
    </w:p>
    <w:p w:rsidR="00000000" w:rsidDel="00000000" w:rsidP="00000000" w:rsidRDefault="00000000" w:rsidRPr="00000000" w14:paraId="0000000B">
      <w:pPr>
        <w:numPr>
          <w:ilvl w:val="0"/>
          <w:numId w:val="1"/>
        </w:numPr>
        <w:spacing w:after="0" w:afterAutospacing="0" w:lineRule="auto"/>
        <w:ind w:left="720" w:hanging="360"/>
        <w:jc w:val="both"/>
        <w:rPr>
          <w:sz w:val="24"/>
          <w:szCs w:val="24"/>
        </w:rPr>
      </w:pPr>
      <w:r w:rsidDel="00000000" w:rsidR="00000000" w:rsidRPr="00000000">
        <w:rPr>
          <w:rFonts w:ascii="Century Gothic" w:cs="Century Gothic" w:eastAsia="Century Gothic" w:hAnsi="Century Gothic"/>
          <w:b w:val="1"/>
          <w:bCs w:val="1"/>
          <w:sz w:val="24"/>
          <w:szCs w:val="24"/>
          <w:rtl w:val="0"/>
        </w:rPr>
        <w:t xml:space="preserve">Vitol:</w:t>
      </w:r>
      <w:r w:rsidDel="00000000" w:rsidR="00000000" w:rsidRPr="00000000">
        <w:rPr>
          <w:rFonts w:ascii="Century Gothic" w:cs="Century Gothic" w:eastAsia="Century Gothic" w:hAnsi="Century Gothic"/>
          <w:sz w:val="24"/>
          <w:szCs w:val="24"/>
          <w:rtl w:val="0"/>
        </w:rPr>
        <w:t xml:space="preserve"> 30.00%</w:t>
      </w:r>
    </w:p>
    <w:p w:rsidR="00000000" w:rsidDel="00000000" w:rsidP="00000000" w:rsidRDefault="00000000" w:rsidRPr="00000000" w14:paraId="0000000C">
      <w:pPr>
        <w:numPr>
          <w:ilvl w:val="0"/>
          <w:numId w:val="1"/>
        </w:numPr>
        <w:spacing w:after="0" w:afterAutospacing="0" w:lineRule="auto"/>
        <w:ind w:left="720" w:hanging="360"/>
        <w:jc w:val="both"/>
        <w:rPr>
          <w:sz w:val="24"/>
          <w:szCs w:val="24"/>
        </w:rPr>
      </w:pPr>
      <w:r w:rsidDel="00000000" w:rsidR="00000000" w:rsidRPr="00000000">
        <w:rPr>
          <w:rFonts w:ascii="Century Gothic" w:cs="Century Gothic" w:eastAsia="Century Gothic" w:hAnsi="Century Gothic"/>
          <w:b w:val="1"/>
          <w:bCs w:val="1"/>
          <w:sz w:val="24"/>
          <w:szCs w:val="24"/>
          <w:rtl w:val="0"/>
        </w:rPr>
        <w:t xml:space="preserve">PETROCI (National Oil Company):</w:t>
      </w:r>
      <w:r w:rsidDel="00000000" w:rsidR="00000000" w:rsidRPr="00000000">
        <w:rPr>
          <w:rFonts w:ascii="Century Gothic" w:cs="Century Gothic" w:eastAsia="Century Gothic" w:hAnsi="Century Gothic"/>
          <w:sz w:val="24"/>
          <w:szCs w:val="24"/>
          <w:rtl w:val="0"/>
        </w:rPr>
        <w:t xml:space="preserve"> 22.75%</w:t>
      </w:r>
    </w:p>
    <w:p w:rsidR="00000000" w:rsidDel="00000000" w:rsidP="00000000" w:rsidRDefault="00000000" w:rsidRPr="00000000" w14:paraId="0000000D">
      <w:pPr>
        <w:numPr>
          <w:ilvl w:val="0"/>
          <w:numId w:val="1"/>
        </w:numPr>
        <w:spacing w:after="240" w:lineRule="auto"/>
        <w:ind w:left="720" w:hanging="360"/>
        <w:jc w:val="both"/>
        <w:rPr>
          <w:sz w:val="24"/>
          <w:szCs w:val="24"/>
        </w:rPr>
      </w:pPr>
      <w:r w:rsidDel="00000000" w:rsidR="00000000" w:rsidRPr="00000000">
        <w:rPr>
          <w:rFonts w:ascii="Century Gothic" w:cs="Century Gothic" w:eastAsia="Century Gothic" w:hAnsi="Century Gothic"/>
          <w:b w:val="1"/>
          <w:bCs w:val="1"/>
          <w:sz w:val="24"/>
          <w:szCs w:val="24"/>
          <w:rtl w:val="0"/>
        </w:rPr>
        <w:t xml:space="preserve">SOCAR (State Oil Company of Azerbaijan):</w:t>
      </w:r>
      <w:r w:rsidDel="00000000" w:rsidR="00000000" w:rsidRPr="00000000">
        <w:rPr>
          <w:rFonts w:ascii="Century Gothic" w:cs="Century Gothic" w:eastAsia="Century Gothic" w:hAnsi="Century Gothic"/>
          <w:sz w:val="24"/>
          <w:szCs w:val="24"/>
          <w:rtl w:val="0"/>
        </w:rPr>
        <w:t xml:space="preserve"> 10.00%</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6735"/>
        <w:tblGridChange w:id="0">
          <w:tblGrid>
            <w:gridCol w:w="2625"/>
            <w:gridCol w:w="67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Parameters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Details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Discovery well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Baleine-1X (September 2021), Block CI-101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Water depth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Approximately 1,200m (Baleine-1X); ~1,150m (Baleine East-1X)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Total depth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3,445m MD (Baleine-1X); 3,165m MD (Baleine East-1X)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Oil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Light crude, ~40° API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Reservoir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Santonian and Cenomanian/Albian stratigraphic levels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Total resource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2.5 billion barrels oil + 3.3 Tcf associated gas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Location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Deep Tano Basin; ~50–80 km south/southwest of Abidjan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Prior Côte d'Ivoire Output (Pre-Baleine)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Approximately 34,000 </w:t>
            </w:r>
            <w:r w:rsidDel="00000000" w:rsidR="00000000" w:rsidRPr="00000000">
              <w:rPr>
                <w:rFonts w:ascii="Century Gothic" w:cs="Century Gothic" w:eastAsia="Century Gothic" w:hAnsi="Century Gothic"/>
                <w:sz w:val="24"/>
                <w:szCs w:val="24"/>
                <w:rtl w:val="0"/>
              </w:rPr>
              <w:t xml:space="preserve">bopd</w:t>
            </w:r>
            <w:r w:rsidDel="00000000" w:rsidR="00000000" w:rsidRPr="00000000">
              <w:rPr>
                <w:rFonts w:ascii="Century Gothic" w:cs="Century Gothic" w:eastAsia="Century Gothic" w:hAnsi="Century Gothic"/>
                <w:sz w:val="24"/>
                <w:szCs w:val="24"/>
                <w:rtl w:val="0"/>
              </w:rPr>
              <w:t xml:space="preserve"> (2021)</w:t>
            </w:r>
          </w:p>
        </w:tc>
      </w:tr>
    </w:tbl>
    <w:p w:rsidR="00000000" w:rsidDel="00000000" w:rsidP="00000000" w:rsidRDefault="00000000" w:rsidRPr="00000000" w14:paraId="00000020">
      <w:pPr>
        <w:spacing w:after="240" w:before="240" w:lineRule="auto"/>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Phased Development Strategy</w:t>
      </w:r>
    </w:p>
    <w:p w:rsidR="00000000" w:rsidDel="00000000" w:rsidP="00000000" w:rsidRDefault="00000000" w:rsidRPr="00000000" w14:paraId="00000021">
      <w:pPr>
        <w:spacing w:after="240" w:befor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Eni has executed a signature 'fast-track phased' development at Baleine, compressing discovery-to-production timelines that typically span a decade in deepwater environments. The three-phase build-out progressively scales infrastructure while capturing early cash flow.</w:t>
      </w:r>
    </w:p>
    <w:p w:rsidR="00000000" w:rsidDel="00000000" w:rsidP="00000000" w:rsidRDefault="00000000" w:rsidRPr="00000000" w14:paraId="00000022">
      <w:pPr>
        <w:spacing w:after="240" w:before="240" w:lineRule="auto"/>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Phase 1 — First Oil (2023)</w:t>
      </w:r>
    </w:p>
    <w:p w:rsidR="00000000" w:rsidDel="00000000" w:rsidP="00000000" w:rsidRDefault="00000000" w:rsidRPr="00000000" w14:paraId="00000023">
      <w:pPr>
        <w:spacing w:after="240" w:befor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Phase 1 achieved first oil in August 2023 less than 24 months after discovery, utilising the refurbished Firenze FPSO (renamed Baleine FPSO) to process up to 18,000 bopd of crude and approximately 25 MMscf/d of associated gas. Three production wells were tied back to the vessel, with gas piped onshore to Abidjan for domestic power generation.</w:t>
      </w:r>
    </w:p>
    <w:p w:rsidR="00000000" w:rsidDel="00000000" w:rsidP="00000000" w:rsidRDefault="00000000" w:rsidRPr="00000000" w14:paraId="00000024">
      <w:pPr>
        <w:spacing w:after="240" w:before="240" w:lineRule="auto"/>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Phase 2 — Capacity Ramp (Late 2024)</w:t>
      </w:r>
    </w:p>
    <w:p w:rsidR="00000000" w:rsidDel="00000000" w:rsidP="00000000" w:rsidRDefault="00000000" w:rsidRPr="00000000" w14:paraId="00000025">
      <w:pPr>
        <w:spacing w:after="240" w:befor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Phase 2 came on stream in late 2024, expanding throughput to approximately 50,000 </w:t>
      </w:r>
      <w:r w:rsidDel="00000000" w:rsidR="00000000" w:rsidRPr="00000000">
        <w:rPr>
          <w:rFonts w:ascii="Century Gothic" w:cs="Century Gothic" w:eastAsia="Century Gothic" w:hAnsi="Century Gothic"/>
          <w:sz w:val="24"/>
          <w:szCs w:val="24"/>
          <w:rtl w:val="0"/>
        </w:rPr>
        <w:t xml:space="preserve">bopd</w:t>
      </w:r>
      <w:r w:rsidDel="00000000" w:rsidR="00000000" w:rsidRPr="00000000">
        <w:rPr>
          <w:rFonts w:ascii="Century Gothic" w:cs="Century Gothic" w:eastAsia="Century Gothic" w:hAnsi="Century Gothic"/>
          <w:sz w:val="24"/>
          <w:szCs w:val="24"/>
          <w:rtl w:val="0"/>
        </w:rPr>
        <w:t xml:space="preserve"> and ~70 MMscf/d of gas. This phase leveraged the existing Phase 1 FPSO and seabed infrastructure while adding incremental wells and processing capacity, keeping marginal capital intensity low.</w:t>
      </w:r>
    </w:p>
    <w:p w:rsidR="00000000" w:rsidDel="00000000" w:rsidP="00000000" w:rsidRDefault="00000000" w:rsidRPr="00000000" w14:paraId="00000026">
      <w:pPr>
        <w:spacing w:after="240" w:before="240" w:lineRule="auto"/>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Phase 3 — Full-Field Development (FID: May 2026)</w:t>
      </w:r>
    </w:p>
    <w:p w:rsidR="00000000" w:rsidDel="00000000" w:rsidP="00000000" w:rsidRDefault="00000000" w:rsidRPr="00000000" w14:paraId="00000027">
      <w:pPr>
        <w:spacing w:after="240" w:befor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Phase 3, now formally sanctioned, constitutes the full-field development and represents the project's most capital-intensive tranche. A new, purpose-built FPSO will be fabricated and deployed to unlock the field's remaining productive capacity. Key technical parameters are as follows:</w:t>
      </w:r>
    </w:p>
    <w:p w:rsidR="00000000" w:rsidDel="00000000" w:rsidP="00000000" w:rsidRDefault="00000000" w:rsidRPr="00000000" w14:paraId="00000028">
      <w:pPr>
        <w:spacing w:after="240" w:befor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9">
      <w:pPr>
        <w:spacing w:after="240" w:befor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A">
      <w:pPr>
        <w:spacing w:after="240" w:before="240" w:lineRule="auto"/>
        <w:jc w:val="both"/>
        <w:rPr>
          <w:rFonts w:ascii="Century Gothic" w:cs="Century Gothic" w:eastAsia="Century Gothic" w:hAnsi="Century Gothic"/>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Parameter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Pre-phase 3 (current)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Phase 3 Target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Oil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Approximately 60,000 bopd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150,000 bopd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Gas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Approximately 80  MMscf/d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200 MMscf/d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Peak capacity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Approximately 83,000 boepd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183,000 beopd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FPSO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Refurbished Firenze FPSO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New purpose built FPSO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Gas destination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Domestic (100%)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Domestic (100%)</w:t>
            </w:r>
          </w:p>
        </w:tc>
      </w:tr>
    </w:tbl>
    <w:p w:rsidR="00000000" w:rsidDel="00000000" w:rsidP="00000000" w:rsidRDefault="00000000" w:rsidRPr="00000000" w14:paraId="0000003D">
      <w:pPr>
        <w:spacing w:after="240" w:befor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E">
      <w:pPr>
        <w:pStyle w:val="Heading2"/>
        <w:keepNext w:val="0"/>
        <w:keepLines w:val="0"/>
        <w:spacing w:after="80" w:before="0" w:lineRule="auto"/>
        <w:jc w:val="both"/>
        <w:rPr>
          <w:rFonts w:ascii="Century Gothic" w:cs="Century Gothic" w:eastAsia="Century Gothic" w:hAnsi="Century Gothic"/>
          <w:b w:val="1"/>
          <w:bCs w:val="1"/>
          <w:sz w:val="26"/>
          <w:szCs w:val="26"/>
        </w:rPr>
      </w:pPr>
      <w:bookmarkStart w:colFirst="0" w:colLast="0" w:name="_byh5z2ces9y6" w:id="0"/>
      <w:bookmarkEnd w:id="0"/>
      <w:r w:rsidDel="00000000" w:rsidR="00000000" w:rsidRPr="00000000">
        <w:rPr>
          <w:rFonts w:ascii="Century Gothic" w:cs="Century Gothic" w:eastAsia="Century Gothic" w:hAnsi="Century Gothic"/>
          <w:b w:val="1"/>
          <w:bCs w:val="1"/>
          <w:sz w:val="26"/>
          <w:szCs w:val="26"/>
          <w:rtl w:val="0"/>
        </w:rPr>
        <w:t xml:space="preserve">Gas Monetization Pathways and Domestic Market Integration</w:t>
      </w:r>
    </w:p>
    <w:p w:rsidR="00000000" w:rsidDel="00000000" w:rsidP="00000000" w:rsidRDefault="00000000" w:rsidRPr="00000000" w14:paraId="0000003F">
      <w:pPr>
        <w:spacing w:after="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 line with evolving regulatory and commercial priorities across the African continent, the consortium has structured the commercial architecture of Baleine to establish a robust dual-revenue framework. This model balances cyclical, high-margin crude oil exports with stable, regulated domestic gas sales.</w:t>
      </w:r>
    </w:p>
    <w:p w:rsidR="00000000" w:rsidDel="00000000" w:rsidP="00000000" w:rsidRDefault="00000000" w:rsidRPr="00000000" w14:paraId="00000040">
      <w:pPr>
        <w:spacing w:after="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pathways for the asset are tightly integrated into the Ivorian domestic economy rather than relying on standard liquefied natural gas (LNG) export channels. One hundred percent of the associated and non-associated gas streams produced during Phase 3 is legally assigned for the domestic Ivorian market. This stable supply will act as the anchor feedstock for the country's thermal electricity grid, facilitating the transition away from dirtier fuel oil or emergency power imports. By injecting 200 MMscf/d into thermal generation plants, the state can systematically expand its baseload electricity capacity to feed power-intensive industrial centers, notably the expanding regional cement, mining, and agro-processing hubs.</w:t>
      </w:r>
    </w:p>
    <w:p w:rsidR="00000000" w:rsidDel="00000000" w:rsidP="00000000" w:rsidRDefault="00000000" w:rsidRPr="00000000" w14:paraId="00000041">
      <w:pPr>
        <w:spacing w:after="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Furthermore, this structural security of supply provides a reliable, long-term revenue base that mitigates overall project offtake risk. It hedges the consortium against localized currency or payment fluctuations while reinforcing host-country political alignment, turning Côte d'Ivoire into a vital regional power exporter to neighboring West African nations.</w:t>
      </w:r>
    </w:p>
    <w:p w:rsidR="00000000" w:rsidDel="00000000" w:rsidP="00000000" w:rsidRDefault="00000000" w:rsidRPr="00000000" w14:paraId="00000042">
      <w:pPr>
        <w:spacing w:after="240" w:before="240" w:lineRule="auto"/>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Conclusion</w:t>
      </w:r>
    </w:p>
    <w:p w:rsidR="00000000" w:rsidDel="00000000" w:rsidP="00000000" w:rsidRDefault="00000000" w:rsidRPr="00000000" w14:paraId="00000043">
      <w:pPr>
        <w:spacing w:after="240" w:befor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Baleine Phase 3 FID is a defining moment for Côte d'Ivoire's upstream sector and for West African deepwater more broadly. It confirms the Baleine field as a world-class asset, validates the commercial and technical viability of fast-track deepwater development in frontier basins, and positions Côte d'Ivoire as an emerging regional energy hub serving both export markets and domestic energy security needs.</w:t>
      </w:r>
    </w:p>
    <w:p w:rsidR="00000000" w:rsidDel="00000000" w:rsidP="00000000" w:rsidRDefault="00000000" w:rsidRPr="00000000" w14:paraId="00000044">
      <w:pPr>
        <w:spacing w:after="240" w:befor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For energy investors and analysts, this is structural evidence that the West African deepwater basin is entering a new investment supercycle, underpinned by improved project economics, stronger host-government partnerships, and an expanding ecosystem of experienced operators. Baleine is the leading edge of that wave</w:t>
      </w:r>
    </w:p>
    <w:p w:rsidR="00000000" w:rsidDel="00000000" w:rsidP="00000000" w:rsidRDefault="00000000" w:rsidRPr="00000000" w14:paraId="00000045">
      <w:pPr>
        <w:spacing w:after="240" w:before="240" w:lineRule="auto"/>
        <w:jc w:val="both"/>
        <w:rPr>
          <w:rFonts w:ascii="Century Gothic" w:cs="Century Gothic" w:eastAsia="Century Gothic" w:hAnsi="Century Gothic"/>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