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C3A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b/>
          <w:bCs/>
          <w:i w:val="0"/>
          <w:iCs w:val="0"/>
          <w:spacing w:val="0"/>
          <w:sz w:val="24"/>
          <w:szCs w:val="24"/>
        </w:rPr>
      </w:pPr>
      <w:r>
        <w:rPr>
          <w:rFonts w:hint="default" w:ascii="Times New Roman" w:hAnsi="Times New Roman" w:eastAsia="Segoe UI" w:cs="Times New Roman"/>
          <w:b/>
          <w:bCs/>
          <w:i w:val="0"/>
          <w:iCs w:val="0"/>
          <w:spacing w:val="0"/>
          <w:kern w:val="0"/>
          <w:sz w:val="24"/>
          <w:szCs w:val="24"/>
          <w:bdr w:val="none" w:color="auto" w:sz="0" w:space="0"/>
          <w:shd w:val="clear" w:fill="FFFFFF"/>
          <w:vertAlign w:val="baseline"/>
          <w:lang w:val="en-US" w:eastAsia="zh-CN" w:bidi="ar"/>
        </w:rPr>
        <w:t>RESOURCE NATIONALISM AND CONTRACT RENEGOTIATION RISKS IN AFRICAN PETROLEUM MARKETS</w:t>
      </w:r>
    </w:p>
    <w:p w14:paraId="0C0B8D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 resurgent wave of resource nationalism across African petroleum and extractive markets poses elevated risks to international oil companies (IOCs), national oil companies (NOCs), and energy investors. This note assesses the current threat landscape, identifies high-risk jurisdictions, and evaluates contract renegotiation vulnerabilities. The current cycle differs from historical waves: it is more systematic, legally structured, and geopolitically motivated, with military juntas in the Sahel and cash-strapped governments across the continent leveraging regulatory, fiscal, and equity tools to capture greater rent from petroleum assets.</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A23AD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 SITUATION ASSESSMENT</w:t>
      </w:r>
    </w:p>
    <w:p w14:paraId="74207A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1.1 The Current Wave: Characteristics and Drivers</w:t>
      </w:r>
    </w:p>
    <w:p w14:paraId="55BF16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Contemporary African resource nationalism is driven by a dual foundation: (i) a reaction against long-standing structural inequalities in raw material export dependency, and (ii) the practical need for revenue maximisation amid fiscal stress, security expenditure inflation, and declining Western aid flows. Unlike the blanket nationalisations of the 1970s, the current phase employs more nuanced policy tools progressive taxation, mandatory state equity participation, local content requirements, and strategic mineral designations while maintaining a veneer of legal legitimacy.</w:t>
      </w:r>
    </w:p>
    <w:p w14:paraId="536120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military regimes in Burkina Faso, Mali, and Niger exemplify the most aggressive variant. Facing insurgencies and a near-total breakdown in relations with Western donors, these juntas have turned to natural resources as a primary financing mechanism. Military budgets in Burkina Faso and Niger have more than doubled since 2021, now consuming 14–17% of official government expenditure.</w:t>
      </w:r>
    </w:p>
    <w:p w14:paraId="3DA7B5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1E359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1.2 Petroleum-Specific Vulnerabilities</w:t>
      </w:r>
    </w:p>
    <w:p w14:paraId="003084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While much recent attention has focused on critical minerals (lithium, cobalt, uranium), petroleum markets exhibit comparable vulnerability:</w:t>
      </w:r>
    </w:p>
    <w:p w14:paraId="39872BE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ind w:left="-360" w:leftChars="0" w:right="0" w:rightChars="0"/>
        <w:jc w:val="both"/>
        <w:textAlignment w:val="baseline"/>
        <w:rPr>
          <w:rFonts w:hint="default" w:ascii="Times New Roman" w:hAnsi="Times New Roman" w:cs="Times New Roman"/>
          <w:sz w:val="24"/>
          <w:szCs w:val="24"/>
        </w:rPr>
      </w:pPr>
    </w:p>
    <w:p w14:paraId="6E1ADF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Niger</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Oil now accounts for the largest share of export earnings (29%) following the commencement of production via the China National Petroleum Corporation (CNPC) pipeline. However, Niamey is already on a collision course with CNPC over tax arrears, debt obligations, and salary disputes, significantly slowing production and export flows. This signals that even non-Western partners are not insulated from renegotiation risk.</w:t>
      </w:r>
    </w:p>
    <w:p w14:paraId="7270863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ind w:left="-360" w:leftChars="0" w:right="0" w:rightChars="0"/>
        <w:jc w:val="both"/>
        <w:textAlignment w:val="baseline"/>
        <w:rPr>
          <w:rFonts w:hint="default" w:ascii="Times New Roman" w:hAnsi="Times New Roman" w:cs="Times New Roman"/>
          <w:sz w:val="24"/>
          <w:szCs w:val="24"/>
        </w:rPr>
      </w:pPr>
    </w:p>
    <w:p w14:paraId="4E5FA93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ind w:left="-360" w:leftChars="0" w:right="0" w:rightChars="0"/>
        <w:jc w:val="both"/>
        <w:textAlignment w:val="baseline"/>
        <w:rPr>
          <w:rFonts w:hint="default" w:ascii="Times New Roman" w:hAnsi="Times New Roman" w:cs="Times New Roman"/>
          <w:sz w:val="24"/>
          <w:szCs w:val="24"/>
        </w:rPr>
      </w:pPr>
    </w:p>
    <w:p w14:paraId="2ADA5E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Nigeria</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As Africa’s legacy petro-state, Nigeria represents "legacy resource nationalism" where state control is central to national identity. The Nigerian National Petroleum Corporation (NNPC) still dominates the sector, and oil revenue has historically constituted 60–90% of government receipts. A sustained divestment wave by IOCs (Shell, ConocoPhillips, Chevron, BG Group) since 2010 has transferred significant onshore and shallow-water assets to NNPC and emerging-power NOCs, primarily Chinese entities.</w:t>
      </w:r>
    </w:p>
    <w:p w14:paraId="69189B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p>
    <w:p w14:paraId="360888C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4E5716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Mozambique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As a frontier gas producer, Mozambique is considering legislation to increase state equity in new Rovuma Basin LNG projects beyond the current 15% held by Empresa Nacional de Hidrocarbonetos. The government is exploring merger-and-acquisition taxes and other fiscal instruments to expand state participation without outright expropriation.</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"https://pureadmin.qub.ac.uk/ws/files/17525815/Andreasson_Resource_Nationalism_Africa_FINAL_Jan_2015.pdf"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02265B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 RISK TYPOLOGY</w:t>
      </w:r>
    </w:p>
    <w:p w14:paraId="71F925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Drawing on the Bremmer-Johnston framework, the following risk categories are active across African petroleum markets: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40"/>
        <w:gridCol w:w="2445"/>
        <w:gridCol w:w="4301"/>
      </w:tblGrid>
      <w:tr w14:paraId="1A1F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240" w:type="dxa"/>
              <w:bottom w:w="150" w:type="dxa"/>
              <w:right w:w="240" w:type="dxa"/>
            </w:tcMar>
            <w:vAlign w:val="top"/>
          </w:tcPr>
          <w:p w14:paraId="0C19658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Type</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C4DBBF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Defining Features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164D13AF">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bCs/>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African Petroleum Relevance</w:t>
            </w:r>
          </w:p>
        </w:tc>
      </w:tr>
      <w:tr w14:paraId="2D6A0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E9F427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Revolutionary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072269B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Radical restructuring via political upheaval; forced contract termination</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83A9B7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Niger (2024): cancellation of Orano uranium licence; seizure of 1,000 tonnes of stockpiled uranium (EUR 250m); nationalisation of Samira Hill gold mine (August 2025). Burkina Faso: revocation of mining licences; state acquisition of Boungou and Wahgnion gold mines below market value.</w:t>
            </w:r>
          </w:p>
          <w:p w14:paraId="64CD8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textAlignment w:val="baseline"/>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end"/>
            </w:r>
          </w:p>
        </w:tc>
      </w:tr>
      <w:tr w14:paraId="70FC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593A66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Economic</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2FDF28D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Fiscal rent maximisation through taxation, windfall levies, equity increases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CEDA14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Zambia: copper royalty rates linked to international prices. Mali (2023 Mining Law): state/local ownership increased from 20% to 35% (5% private sector, up to 30% state). Burkina Faso (2024 Mining Code): state equity in new projects raised from 10% to 15% at no cost.</w:t>
            </w:r>
          </w:p>
          <w:p w14:paraId="1D72D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textAlignment w:val="baseline"/>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end"/>
            </w:r>
          </w:p>
        </w:tc>
      </w:tr>
      <w:tr w14:paraId="13E4A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246965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Legacy</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7F0EDB6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Continuation of colonial/Cold War-era state control models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6A64EB1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Nigeria: NNPC dominance since 1971; ongoing IOC divestment creating space for state and Chinese NOC expansion.</w:t>
            </w:r>
          </w:p>
          <w:p w14:paraId="441503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textAlignment w:val="baseline"/>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instrText xml:space="preserve"> HYPERLINK "https://pureadmin.qub.ac.uk/ws/files/17525815/Andreasson_Resource_Nationalism_Africa_FINAL_Jan_2015.pdf" \t "https://www.kimi.com/chat/_blank" </w:instrText>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end"/>
            </w:r>
          </w:p>
        </w:tc>
      </w:tr>
      <w:tr w14:paraId="64A66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873991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Style w:val="6"/>
                <w:rFonts w:hint="default" w:ascii="Times New Roman" w:hAnsi="Times New Roman" w:eastAsia="SimSun" w:cs="Times New Roman"/>
                <w:b w:val="0"/>
                <w:bCs/>
                <w:color w:val="000000"/>
                <w:kern w:val="0"/>
                <w:sz w:val="24"/>
                <w:szCs w:val="24"/>
                <w:bdr w:val="none" w:color="auto" w:sz="0" w:space="0"/>
                <w:vertAlign w:val="baseline"/>
                <w:lang w:val="en-US" w:eastAsia="zh-CN" w:bidi="ar"/>
              </w:rPr>
              <w:t>Soft/Partnership</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3166019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Higher localisation, environmental, or joint-venture requirements</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top"/>
          </w:tcPr>
          <w:p w14:paraId="4D8DEAD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bdr w:val="none" w:color="auto" w:sz="0" w:space="0"/>
                <w:lang w:val="en-US" w:eastAsia="zh-CN" w:bidi="ar"/>
              </w:rPr>
              <w:t>Tanzania: preference for state-owned gas and hydropower over private renewable projects due to sovereignty concerns.</w:t>
            </w:r>
          </w:p>
          <w:p w14:paraId="6A8F83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textAlignment w:val="baseline"/>
              <w:rPr>
                <w:rFonts w:hint="default" w:ascii="Times New Roman" w:hAnsi="Times New Roman" w:cs="Times New Roman"/>
                <w:b w:val="0"/>
                <w:color w:val="000000"/>
                <w:sz w:val="24"/>
                <w:szCs w:val="24"/>
              </w:rPr>
            </w:pP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instrText xml:space="preserve"> HYPERLINK "https://www.diis.dk/en/research/resource-nationalism-and-energy-transitions-in-lower-income-countries" \t "https://www.kimi.com/chat/_blank" </w:instrText>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b w:val="0"/>
                <w:color w:val="000000"/>
                <w:kern w:val="0"/>
                <w:sz w:val="24"/>
                <w:szCs w:val="24"/>
                <w:u w:val="none"/>
                <w:bdr w:val="none" w:color="auto" w:sz="0" w:space="0"/>
                <w:vertAlign w:val="baseline"/>
                <w:lang w:val="en-US" w:eastAsia="zh-CN" w:bidi="ar"/>
              </w:rPr>
              <w:fldChar w:fldCharType="end"/>
            </w:r>
          </w:p>
        </w:tc>
      </w:tr>
    </w:tbl>
    <w:p w14:paraId="5DA5A7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 CONTRACT RENEGOTIATION RISK FACTORS</w:t>
      </w:r>
    </w:p>
    <w:p w14:paraId="287C42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3.1 Triggers for Renegotiation</w:t>
      </w:r>
    </w:p>
    <w:p w14:paraId="154D00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Historical and contemporary evidence indicates that contract renegotiation or unilateral alteration is most probable under the following conditions:</w:t>
      </w:r>
    </w:p>
    <w:p w14:paraId="5B798F5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Commodity price volatility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Sharp rises in oil or gas prices increase state incentives to capture windfall rents through royalty adjustments, profit-sharing renegotiation, or equity dilution.</w:t>
      </w:r>
    </w:p>
    <w:p w14:paraId="52F5B86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Political transitions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Coups, elections, or regime changes frequently provide the political cover for "reviewing" existing agreements. The Sahelian juntas have used anti-colonial and sovereignty rhetoric to justify abrupt contract terminations.</w:t>
      </w:r>
    </w:p>
    <w:p w14:paraId="399F22E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Fiscal distress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When aid flows decline or debt service becomes unsustainable, governments treat extractive contracts as liquid assets. Niger’s confrontation with CNPC over arrears illustrates this dynamic.</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4995B9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Geopolitical realignment</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The global competition for African resources—involving China, the United States, Gulf states, Turkey, and India—creates alternative partnership options, reducing host government dependence on any single investor and emboldening harder bargaining positions.</w:t>
      </w:r>
    </w:p>
    <w:p w14:paraId="65A100C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3C0BA3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"https://www.gisreportsonline.com/r/africa-resource-nationalism/"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033B0B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6FD6E0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3.2 Mechanisms of Renegotiation</w:t>
      </w:r>
    </w:p>
    <w:p w14:paraId="70AF287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ind w:left="-360" w:leftChars="0" w:right="0" w:rightChars="0"/>
        <w:jc w:val="both"/>
        <w:textAlignment w:val="baseline"/>
        <w:rPr>
          <w:rFonts w:hint="default" w:ascii="Times New Roman" w:hAnsi="Times New Roman" w:cs="Times New Roman"/>
          <w:sz w:val="24"/>
          <w:szCs w:val="24"/>
        </w:rPr>
      </w:pPr>
    </w:p>
    <w:p w14:paraId="6924DA3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Regulatory retroactivity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New mining or petroleum codes applied to existing operations (e.g., Mali 2023, Burkina Faso 2024).</w:t>
      </w:r>
    </w:p>
    <w:p w14:paraId="78F8DC3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Licence revocation and re-tendering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Used in Burkina Faso and Niger to transfer assets to state-controlled entities or new geopolitical partners.</w:t>
      </w:r>
    </w:p>
    <w:p w14:paraId="226F3B8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Tax and customs exemption elimination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Burkina Faso’s 2024 code removed previously granted exemptions, effectively altering project economics.</w:t>
      </w:r>
    </w:p>
    <w:p w14:paraId="0413EB5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Arbitration circumvention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Niger’s seizure of Orano uranium stockpiles proceeded despite an ICSID ruling in Orano’s favour, demonstrating limited recourse even when legal protections exist.</w:t>
      </w:r>
    </w:p>
    <w:p w14:paraId="6F31EFB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662CFC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 GEOPOLITICAL COMPETITION AND INVESTOR DYNAMICS</w:t>
      </w:r>
    </w:p>
    <w:p w14:paraId="7EB512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current environment is shaped by intensified great-power rivalry. China, rather than resisting resource nationalism, has largely adapted through compliance, collaboration, and quiet negotiation. At FOCAC 2024, Beijing formally committed to supporting downstream mineral processing in Africa, aligning with local beneficiation demands. Chinese firms have accepted 30% free state stakes (Mali), built local refineries (Guinea), and paid $800 million in royalties to settle disputes (DRC-Tenke Fungurume).</w:t>
      </w:r>
    </w:p>
    <w:p w14:paraId="06F0CF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"https://www.vifindia.org/article/2025/november/25/China-s-Response-to-Resource-Nationalism-in-Africa"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4651ED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This adaptive posture creates a competitive disadvantage for Western IOCs, which typically rely on formal arbitration and bilateral investment treaties. The result is a bifurcated investment landscape: Chinese NOCs gaining ground through flexible state-backed arrangements, while Western majors accelerate divestment from high-risk onshore assets.</w:t>
      </w:r>
    </w:p>
    <w:p w14:paraId="6CEC3D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 RISK MATRIX: PRIORITY JURISDICTIONS</w:t>
      </w:r>
      <w:bookmarkStart w:id="0" w:name="_GoBack"/>
      <w:bookmarkEnd w:id="0"/>
    </w:p>
    <w:tbl>
      <w:tblPr>
        <w:tblW w:w="91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873"/>
        <w:gridCol w:w="1725"/>
        <w:gridCol w:w="2445"/>
        <w:gridCol w:w="3105"/>
      </w:tblGrid>
      <w:tr w14:paraId="0255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5C697E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b/>
                <w:bCs/>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Jurisdiction</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4BC5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b/>
                <w:bCs/>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Risk Level</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A70A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b/>
                <w:bCs/>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Primary Vectors</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9EB0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b/>
                <w:bCs/>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Recent Indicators</w:t>
            </w:r>
          </w:p>
        </w:tc>
      </w:tr>
      <w:tr w14:paraId="27A8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4DA3B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Niger</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2D91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CRITICAL</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A7BF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Revolutionary nationalism; military junta; fiscal desperation; CNPC disputes</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774F8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Uranium nationalisation; oil tax arrears with CNPC; licence revocations</w:t>
            </w:r>
          </w:p>
          <w:p w14:paraId="463780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default" w:ascii="Times New Roman" w:hAnsi="Times New Roman" w:cs="Times New Roman"/>
                <w:sz w:val="24"/>
                <w:szCs w:val="24"/>
              </w:rPr>
            </w:pP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end"/>
            </w:r>
          </w:p>
        </w:tc>
      </w:tr>
      <w:tr w14:paraId="437A2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51D49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Burkina Faso</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45B3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CRITICAL</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AEEE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Revolutionary/economic hybrid; licence revocations; state equity grabs</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7FC91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2024 Mining Code; Boungou/Wahgnion seizures; Sarama Resources arbitration</w:t>
            </w:r>
          </w:p>
          <w:p w14:paraId="085F74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default" w:ascii="Times New Roman" w:hAnsi="Times New Roman" w:cs="Times New Roman"/>
                <w:sz w:val="24"/>
                <w:szCs w:val="24"/>
              </w:rPr>
            </w:pP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end"/>
            </w:r>
          </w:p>
        </w:tc>
      </w:tr>
      <w:tr w14:paraId="79DB0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523078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Mali</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EE12E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HIGH</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D89D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Economic nationalism; equity dilution; regulatory retroactivity</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3EA8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2023 Mining Law (35% state/local stake); progressive taxation; Chinese lithium projects under pressure</w:t>
            </w:r>
          </w:p>
          <w:p w14:paraId="7C0FDF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default" w:ascii="Times New Roman" w:hAnsi="Times New Roman" w:cs="Times New Roman"/>
                <w:sz w:val="24"/>
                <w:szCs w:val="24"/>
              </w:rPr>
            </w:pP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end"/>
            </w:r>
          </w:p>
        </w:tc>
      </w:tr>
      <w:tr w14:paraId="08A3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29810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Nigeria</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DE8F0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HIGH</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227D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Legacy nationalism; IOC divestment; NNPC expansion</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D4F7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Shell/ConocoPhillips/Chevron asset sales; NNPC upstream expansion; revenue-sharing disputes</w:t>
            </w:r>
          </w:p>
          <w:p w14:paraId="211F49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default" w:ascii="Times New Roman" w:hAnsi="Times New Roman" w:cs="Times New Roman"/>
                <w:sz w:val="24"/>
                <w:szCs w:val="24"/>
              </w:rPr>
            </w:pP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instrText xml:space="preserve"> HYPERLINK "https://pureadmin.qub.ac.uk/ws/files/17525815/Andreasson_Resource_Nationalism_Africa_FINAL_Jan_2015.pdf" \t "https://www.kimi.com/chat/_blank" </w:instrText>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end"/>
            </w:r>
          </w:p>
        </w:tc>
      </w:tr>
      <w:tr w14:paraId="62CF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6A6CC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Mozambique</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E8DD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MODERATE-HIGH</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F9DD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Economic nationalism; frontier market leverage; LNG project complexity</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0944C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ENH equity expansion plans; M&amp;A tax considerations; Rovuma Basin renegotiation potential</w:t>
            </w:r>
          </w:p>
          <w:p w14:paraId="2BF1A4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default" w:ascii="Times New Roman" w:hAnsi="Times New Roman" w:cs="Times New Roman"/>
                <w:sz w:val="24"/>
                <w:szCs w:val="24"/>
              </w:rPr>
            </w:pP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instrText xml:space="preserve"> HYPERLINK "https://pureadmin.qub.ac.uk/ws/files/17525815/Andreasson_Resource_Nationalism_Africa_FINAL_Jan_2015.pdf" \t "https://www.kimi.com/chat/_blank" </w:instrText>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end"/>
            </w:r>
          </w:p>
        </w:tc>
      </w:tr>
      <w:tr w14:paraId="3A6C6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873" w:type="dxa"/>
            <w:tcBorders>
              <w:top w:val="single" w:color="auto" w:sz="6" w:space="0"/>
              <w:left w:val="nil"/>
              <w:bottom w:val="nil"/>
              <w:right w:val="nil"/>
            </w:tcBorders>
            <w:shd w:val="clear"/>
            <w:tcMar>
              <w:top w:w="150" w:type="dxa"/>
              <w:left w:w="240" w:type="dxa"/>
              <w:bottom w:w="150" w:type="dxa"/>
              <w:right w:w="240" w:type="dxa"/>
            </w:tcMar>
            <w:vAlign w:val="top"/>
          </w:tcPr>
          <w:p w14:paraId="394874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Tanzania</w:t>
            </w:r>
          </w:p>
        </w:tc>
        <w:tc>
          <w:tcPr>
            <w:tcW w:w="172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8524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Style w:val="6"/>
                <w:rFonts w:hint="default" w:ascii="Times New Roman" w:hAnsi="Times New Roman" w:eastAsia="SimSun" w:cs="Times New Roman"/>
                <w:b/>
                <w:bCs/>
                <w:kern w:val="0"/>
                <w:sz w:val="24"/>
                <w:szCs w:val="24"/>
                <w:bdr w:val="none" w:color="auto" w:sz="0" w:space="0"/>
                <w:vertAlign w:val="baseline"/>
                <w:lang w:val="en-US" w:eastAsia="zh-CN" w:bidi="ar"/>
              </w:rPr>
              <w:t>MODERATE</w:t>
            </w:r>
          </w:p>
        </w:tc>
        <w:tc>
          <w:tcPr>
            <w:tcW w:w="244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9518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Soft nationalism; sovereignty concerns; local content requirements</w:t>
            </w:r>
          </w:p>
        </w:tc>
        <w:tc>
          <w:tcPr>
            <w:tcW w:w="310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0DF6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State preference for government-owned energy projects; draft 2024 Mining Act strategic mineral designations</w:t>
            </w:r>
          </w:p>
          <w:p w14:paraId="75B0B1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both"/>
              <w:textAlignment w:val="baseline"/>
              <w:rPr>
                <w:rFonts w:hint="default" w:ascii="Times New Roman" w:hAnsi="Times New Roman" w:cs="Times New Roman"/>
                <w:sz w:val="24"/>
                <w:szCs w:val="24"/>
              </w:rPr>
            </w:pP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begin"/>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instrText xml:space="preserve"> HYPERLINK "https://www.diis.dk/en/research/resource-nationalism-and-energy-transitions-in-lower-income-countries" \t "https://www.kimi.com/chat/_blank" </w:instrText>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separate"/>
            </w:r>
            <w:r>
              <w:rPr>
                <w:rFonts w:hint="default" w:ascii="Times New Roman" w:hAnsi="Times New Roman" w:eastAsia="SimSun" w:cs="Times New Roman"/>
                <w:color w:val="1783FF"/>
                <w:kern w:val="0"/>
                <w:sz w:val="24"/>
                <w:szCs w:val="24"/>
                <w:u w:val="none"/>
                <w:bdr w:val="none" w:color="auto" w:sz="0" w:space="0"/>
                <w:vertAlign w:val="baseline"/>
                <w:lang w:val="en-US" w:eastAsia="zh-CN" w:bidi="ar"/>
              </w:rPr>
              <w:fldChar w:fldCharType="end"/>
            </w:r>
          </w:p>
        </w:tc>
      </w:tr>
    </w:tbl>
    <w:p w14:paraId="3B7E65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 STRATEGIC IMPLICATIONS</w:t>
      </w:r>
    </w:p>
    <w:p w14:paraId="533208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6.1 For International Oil Companies</w:t>
      </w:r>
    </w:p>
    <w:p w14:paraId="1DC49F7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Portfolio rebalancing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The ongoing divestment from Nigerian onshore assets to Nigerian and Chinese entities is likely to continue. Deepwater and offshore projects retain relative insulation due to higher capital intensity and technological barriers.</w:t>
      </w:r>
    </w:p>
    <w:p w14:paraId="6317BEB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Contract resilience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Agreements negotiated during periods of low prices or political stability are most vulnerable to renegotiation during commodity upswings or regime transitions. Stabilisation clauses and international arbitration provisions offer diminishing protection when host states ignore ICSID rulings.</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"https://www.swp-berlin.org/en/publication/mta-spotlight-69-resource-nationalism-in-the-sahel"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1350777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Local content and beneficiation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Forward-looking investors should anticipate demands for downstream processing, technology transfer, and community development obligations as standard contractual features, not optional concessions.</w:t>
      </w:r>
    </w:p>
    <w:p w14:paraId="32C6B04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sz w:val="24"/>
          <w:szCs w:val="24"/>
        </w:rPr>
      </w:pPr>
    </w:p>
    <w:p w14:paraId="5E707E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6.2 For Energy-Importing Nations</w:t>
      </w:r>
    </w:p>
    <w:p w14:paraId="3F8170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Supply security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The shift from Western IOCs to Chinese NOCs and state-controlled entities alters the geopolitical risk profile of African petroleum supplies. Chinese operators may prioritise supply security for Beijing over market-based export arrangements.</w:t>
      </w:r>
    </w:p>
    <w:p w14:paraId="2D2EBB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Price volatility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State equity grabs and windfall taxation can delay project timelines and reduce investment flows, tightening medium-term supply and exerting upward pressure on global prices.</w:t>
      </w:r>
    </w:p>
    <w:p w14:paraId="36E1DC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6A4786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7. OUTLOOK AND RECOMMENDATIONS</w:t>
      </w:r>
    </w:p>
    <w:p w14:paraId="17CEF3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Resource nationalism in African petroleum markets is not a transient phenomenon but a structural feature of the current investment environment. The confluence of fiscal stress, security expenditure demands, geopolitical competition, and anti-colonial political narratives creates durable incentives for contract renegotiation and state intervention.</w:t>
      </w:r>
    </w:p>
    <w:p w14:paraId="602784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Recommended Actions:</w:t>
      </w:r>
    </w:p>
    <w:p w14:paraId="7B91F38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Enhanced Due Diligence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Prioritise political risk assessments that weight regime stability, military coup risk, and fiscal desperation indices alongside traditional geological and commercial metrics.</w:t>
      </w:r>
    </w:p>
    <w:p w14:paraId="4813A36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Contract Structuring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Build in explicit renegotiation frameworks and price-linked adjustment mechanisms to pre-empt unilateral state action.</w:t>
      </w:r>
    </w:p>
    <w:p w14:paraId="708E1B2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Diversified Partnership Models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Consider joint-venture structures with African NOCs and local private entities to align interests and reduce expropriation risk.</w:t>
      </w:r>
    </w:p>
    <w:p w14:paraId="6353310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Geopolitical Hedging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Monitor Chinese NOC entry into divested Western assets, as this reshapes competitive dynamics and may foreclose future re-entry.</w:t>
      </w:r>
    </w:p>
    <w:p w14:paraId="2FE2BEE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8"/>
          <w:sz w:val="24"/>
          <w:szCs w:val="24"/>
        </w:rPr>
      </w:pP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Arbitration Realism</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Recognise the limitations of international arbitration in jurisdictions where governments disregard rulings; prioritise negotiated settlements and political risk insurance.</w:t>
      </w:r>
    </w:p>
    <w:p w14:paraId="47FA648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Chars="0" w:right="0" w:rightChars="0"/>
        <w:jc w:val="both"/>
        <w:textAlignment w:val="baseline"/>
        <w:rPr>
          <w:rFonts w:hint="default" w:ascii="Times New Roman" w:hAnsi="Times New Roman" w:eastAsia="Segoe UI" w:cs="Times New Roman"/>
          <w:i w:val="0"/>
          <w:iCs w:val="0"/>
          <w:caps w:val="0"/>
          <w:spacing w:val="8"/>
          <w:sz w:val="24"/>
          <w:szCs w:val="24"/>
        </w:rPr>
      </w:pPr>
    </w:p>
    <w:p w14:paraId="5F3B9C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b/>
          <w:bCs/>
          <w:i w:val="0"/>
          <w:iC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b/>
          <w:bCs/>
          <w:i w:val="0"/>
          <w:iCs w:val="0"/>
          <w:spacing w:val="0"/>
          <w:kern w:val="0"/>
          <w:sz w:val="24"/>
          <w:szCs w:val="24"/>
          <w:bdr w:val="none" w:color="auto" w:sz="0" w:space="0"/>
          <w:shd w:val="clear" w:fill="FFFFFF"/>
          <w:vertAlign w:val="baseline"/>
          <w:lang w:val="en-US" w:eastAsia="zh-CN" w:bidi="ar"/>
        </w:rPr>
        <w:t>CONCLUSION</w:t>
      </w:r>
    </w:p>
    <w:p w14:paraId="3FC16D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The risk of contract renegotiation, unilateral fiscal alteration, or outright asset seizure in African petroleum markets is </w:t>
      </w: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ELEVATED</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and </w:t>
      </w:r>
      <w:r>
        <w:rPr>
          <w:rStyle w:val="6"/>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RISING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particularly in Sahelian military regimes and legacy petro-states undergoing IOC divestment. Investors should prepare for a sustained period of harder bargaining terms, reduced legal certainty, and increased state participation requirements.</w:t>
      </w:r>
    </w:p>
    <w:p w14:paraId="539392B2">
      <w:pPr>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549077"/>
    <w:multiLevelType w:val="singleLevel"/>
    <w:tmpl w:val="DD54907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F998EDB8"/>
    <w:multiLevelType w:val="singleLevel"/>
    <w:tmpl w:val="F998EDB8"/>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B479B"/>
    <w:rsid w:val="12E73814"/>
    <w:rsid w:val="418B479B"/>
    <w:rsid w:val="7A1C5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13</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2026-06-12T18:27:00Z</dcterms:created>
  <dc:creator>Admin</dc:creator>
  <cp:lastModifiedBy>Admin</cp:lastModifiedBy>
  <dcterms:modified xsi:type="dcterms:W3CDTF">2026-06-12T18:42:48Z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5422C9D8CD2644B0B7B242564E5898DF_11</vt:lpwstr>
  </property>
  <property fmtid="{D5CDD505-2E9C-101B-9397-08002B2CF9AE}" pid="4" name="KSOTemplateDocerSaveRecord">
    <vt:lpwstr>eyJoZGlkIjoiOTViZjMyNThlNzc4NjZhMTRjNzI4MWU4MzRkYzg1ZTkifQ==</vt:lpwstr>
  </property>
</Properties>
</file>