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1E302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b/>
          <w:bCs/>
          <w:i w:val="0"/>
          <w:iC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xml:space="preserve"> </w:t>
      </w:r>
      <w:bookmarkStart w:id="0" w:name="_GoBack"/>
      <w:r>
        <w:rPr>
          <w:rFonts w:hint="default" w:ascii="Times New Roman" w:hAnsi="Times New Roman" w:eastAsia="Segoe UI" w:cs="Times New Roman"/>
          <w:b/>
          <w:bCs/>
          <w:i w:val="0"/>
          <w:iCs w:val="0"/>
          <w:spacing w:val="0"/>
          <w:kern w:val="0"/>
          <w:sz w:val="24"/>
          <w:szCs w:val="24"/>
          <w:bdr w:val="none" w:color="auto" w:sz="0" w:space="0"/>
          <w:shd w:val="clear" w:fill="FFFFFF"/>
          <w:vertAlign w:val="baseline"/>
          <w:lang w:val="en-US" w:eastAsia="zh-CN" w:bidi="ar"/>
        </w:rPr>
        <w:t>COMMUNITY RELATIONS AND HOST COMMUNITY GOVERNANCE UNDER THE PETROLEUM INDUSTRY ACT (NIGERIA)</w:t>
      </w:r>
    </w:p>
    <w:bookmarkEnd w:id="0"/>
    <w:p w14:paraId="4E2AF56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pPr>
    </w:p>
    <w:p w14:paraId="0CFC26A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Nigeria's Petroleum Industry Act (PIA) 2021 introduced a fundamental restructuring of host community governance, replacing the ad hoc, conflict-prone framework with a statutory model built on Host Community Development Trusts (HCDTs). Five years post-enactment, implementation remains uneven, trust deficits persist, and the Act's community provisions have become both a compliance mandate and a political flashpoint. This note assesses the governance architecture, operational challenges, and emerging risks for operators and investors.</w:t>
      </w:r>
    </w:p>
    <w:p w14:paraId="66B3D6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7"/>
          <w:szCs w:val="27"/>
        </w:rPr>
      </w:pPr>
      <w:r>
        <w:rPr>
          <w:rFonts w:hint="default" w:ascii="Times New Roman" w:hAnsi="Times New Roman" w:eastAsia="Segoe UI" w:cs="Times New Roman"/>
          <w:b/>
          <w:bCs/>
          <w:i w:val="0"/>
          <w:iCs w:val="0"/>
          <w:caps w:val="0"/>
          <w:spacing w:val="0"/>
          <w:sz w:val="27"/>
          <w:szCs w:val="27"/>
          <w:bdr w:val="none" w:color="auto" w:sz="0" w:space="0"/>
          <w:shd w:val="clear" w:fill="FFFFFF"/>
          <w:vertAlign w:val="baseline"/>
        </w:rPr>
        <w:t>1. THE PIA GOVERNANCE ARCHITECTURE</w:t>
      </w:r>
    </w:p>
    <w:p w14:paraId="5D2D46F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1.1 Host Community Development Trusts (HCDTs)</w:t>
      </w:r>
    </w:p>
    <w:p w14:paraId="363567A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cs="Times New Roman"/>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The PIA mandates that every petroleum operation upstream, midstream, or downstream establish an HCDT for its host and impacted communities. Key structural features include:</w:t>
      </w:r>
    </w:p>
    <w:p w14:paraId="507992E0">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rPr>
      </w:pPr>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Funding</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Operators must contribute 3% of actual operating expenditure (OPEX) annually to the HCDT fund. This is a statutory floor, not a ceiling.</w:t>
      </w:r>
    </w:p>
    <w:p w14:paraId="26862140">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rPr>
      </w:pPr>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Trustee Board</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Comprises one representative from the settlor (operator), one from the host community, and one independent trustee. The community trustee is selected by community representatives, subject to ministerial guidelines.</w:t>
      </w:r>
    </w:p>
    <w:p w14:paraId="7FEE2453">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rPr>
      </w:pPr>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Management Committee</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A five-member committee (three community nominees, two from the operator) manages the trust's day-to-day affairs and project selection.</w:t>
      </w:r>
    </w:p>
    <w:p w14:paraId="7349ED79">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eastAsia="Segoe UI" w:cs="Times New Roman"/>
          <w:i w:val="0"/>
          <w:iCs w:val="0"/>
          <w:caps w:val="0"/>
          <w:spacing w:val="0"/>
          <w:sz w:val="24"/>
          <w:szCs w:val="24"/>
        </w:rPr>
      </w:pPr>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Development Plan</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Each HCDT must produce a five-year Host Community Development Plan aligned with local government and state development frameworks.</w:t>
      </w:r>
    </w:p>
    <w:p w14:paraId="2887F71F">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jc w:val="both"/>
        <w:textAlignment w:val="baseline"/>
        <w:rPr>
          <w:rFonts w:hint="default" w:ascii="Times New Roman" w:hAnsi="Times New Roman" w:cs="Times New Roman"/>
        </w:rPr>
      </w:pPr>
    </w:p>
    <w:p w14:paraId="70DC5B8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1.2 The "Frontier Exploration Fund" Tension</w:t>
      </w:r>
    </w:p>
    <w:p w14:paraId="0820914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The PIA diverts 30% of National Oil Company (NOC) profits to a Frontier Exploration Fund for basins outside the Niger Delta. Host communities view this as a direct fiscal drain from their region, exacerbating the historical grievance that the Delta bears the environmental cost while others capture the rent. This structural tension fuels political resistance to HCDT implementation.</w:t>
      </w:r>
    </w:p>
    <w:p w14:paraId="5D23505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b/>
          <w:bCs/>
          <w:i w:val="0"/>
          <w:iCs w:val="0"/>
          <w:caps w:val="0"/>
          <w:spacing w:val="0"/>
          <w:sz w:val="27"/>
          <w:szCs w:val="27"/>
        </w:rPr>
      </w:pPr>
      <w:r>
        <w:rPr>
          <w:rFonts w:hint="default" w:ascii="Times New Roman" w:hAnsi="Times New Roman" w:eastAsia="Segoe UI" w:cs="Times New Roman"/>
          <w:b/>
          <w:bCs/>
          <w:i w:val="0"/>
          <w:iCs w:val="0"/>
          <w:caps w:val="0"/>
          <w:spacing w:val="0"/>
          <w:sz w:val="27"/>
          <w:szCs w:val="27"/>
          <w:bdr w:val="none" w:color="auto" w:sz="0" w:space="0"/>
          <w:shd w:val="clear" w:fill="FFFFFF"/>
          <w:vertAlign w:val="baseline"/>
        </w:rPr>
        <w:t>2. IMPLEMENTATION STATUS (2021–2026)</w:t>
      </w:r>
    </w:p>
    <w:p w14:paraId="3BA4E1E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cs="Times New Roman"/>
        </w:rPr>
      </w:pPr>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2.1 Progress to Date</w:t>
      </w:r>
    </w:p>
    <w:p w14:paraId="2DC9B37D">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rPr>
      </w:pPr>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Trust Establishment</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Most major IOCs and indigenous operators have formally registered HCDTs in their operational areas. NNPC and its joint-venture partners have established trusts across the Niger Delta's core producing states (Rivers, Bayelsa, Delta, Akwa Ibom).</w:t>
      </w:r>
    </w:p>
    <w:p w14:paraId="5F901D72">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rPr>
      </w:pPr>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Fund Disbursement</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Initial contributions have flowed, but disbursement velocity remains slow. Community representatives frequently allege that funds are held in escrow or diverted to administrative costs rather than capital projects.</w:t>
      </w:r>
    </w:p>
    <w:p w14:paraId="1113C50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eastAsia="Segoe UI" w:cs="Times New Roman"/>
          <w:i w:val="0"/>
          <w:iCs w:val="0"/>
          <w:caps w:val="0"/>
          <w:spacing w:val="0"/>
          <w:sz w:val="24"/>
          <w:szCs w:val="24"/>
        </w:rPr>
      </w:pPr>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Project Pipeline</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Roads, health clinics, and water schemes dominate the project mix, reflecting community priorities but also a lack of strategic economic diversification.</w:t>
      </w:r>
    </w:p>
    <w:p w14:paraId="1E73356D">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jc w:val="both"/>
        <w:textAlignment w:val="baseline"/>
        <w:rPr>
          <w:rFonts w:hint="default" w:ascii="Times New Roman" w:hAnsi="Times New Roman" w:cs="Times New Roman"/>
        </w:rPr>
      </w:pPr>
    </w:p>
    <w:p w14:paraId="4D314E4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cs="Times New Roman"/>
        </w:rPr>
      </w:pPr>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2.2 Persistent Gaps</w:t>
      </w:r>
    </w:p>
    <w:p w14:paraId="3E47BDB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cs="Times New Roman"/>
        </w:rPr>
      </w:pPr>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Community Identification</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The PIA defines "host community" as a community "situated in or appurtenant to the area of operation." This has triggered intense boundary disputes among neighbouring communities, particularly where oil infrastructure straddles clan or ethnic lines. In several cases, communities have taken operators to court over exclusion from HCDT beneficiary lists.</w:t>
      </w:r>
    </w:p>
    <w:p w14:paraId="6762338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cs="Times New Roman"/>
        </w:rPr>
      </w:pPr>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Elite Capture</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Traditional rulers, youth leaders, and politically connected individuals dominate trustee and management committee selections. Grassroots participation is often ceremonial. Several state governments have attempted to insert themselves into the selection process, blurring the line between statutory governance and political patronage.</w:t>
      </w:r>
    </w:p>
    <w:p w14:paraId="19A6C41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pPr>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Transparency Deficits</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While the PIA requires annual audits and public disclosure of trust accounts, compliance is inconsistent. Community members frequently lack access to financial statements or project procurement records, undermining the trust-building function of the HCDT mode.</w:t>
      </w:r>
    </w:p>
    <w:p w14:paraId="42FAE97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pPr>
    </w:p>
    <w:p w14:paraId="046CB97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pPr>
    </w:p>
    <w:p w14:paraId="20FB14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7"/>
          <w:szCs w:val="27"/>
        </w:rPr>
      </w:pPr>
      <w:r>
        <w:rPr>
          <w:rFonts w:hint="default" w:ascii="Times New Roman" w:hAnsi="Times New Roman" w:eastAsia="Segoe UI" w:cs="Times New Roman"/>
          <w:b/>
          <w:bCs/>
          <w:i w:val="0"/>
          <w:iCs w:val="0"/>
          <w:caps w:val="0"/>
          <w:spacing w:val="0"/>
          <w:sz w:val="27"/>
          <w:szCs w:val="27"/>
          <w:bdr w:val="none" w:color="auto" w:sz="0" w:space="0"/>
          <w:shd w:val="clear" w:fill="FFFFFF"/>
          <w:vertAlign w:val="baseline"/>
        </w:rPr>
        <w:t>3. SECURITY AND OPERATIONAL RISKS</w:t>
      </w:r>
    </w:p>
    <w:p w14:paraId="1657FED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3.1 From Protest to Sabotage</w:t>
      </w:r>
    </w:p>
    <w:p w14:paraId="4C11C07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cs="Times New Roman"/>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The PIA was partly designed to reduce pipeline sabotage and production disruptions by channelling grievances into institutionalised development funding. However, the evidence is mixed:</w:t>
      </w:r>
    </w:p>
    <w:p w14:paraId="11AE51B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rPr>
      </w:pPr>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Short-term stabilisation</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In some operational areas, HCDT project commitments have reduced the frequency of community blockades and protests.</w:t>
      </w:r>
    </w:p>
    <w:p w14:paraId="7E0AF27E">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rPr>
      </w:pPr>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Entrenchment of militancy</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In others, armed groups have repositioned themselves as "community stakeholders," demanding direct HCDT representation or project contracts. The Act's requirement for local content in HCDT procurement has inadvertently created new patronage streams for militant networks.</w:t>
      </w:r>
    </w:p>
    <w:p w14:paraId="0295761C">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eastAsia="Segoe UI" w:cs="Times New Roman"/>
          <w:i w:val="0"/>
          <w:iCs w:val="0"/>
          <w:caps w:val="0"/>
          <w:spacing w:val="0"/>
          <w:sz w:val="24"/>
          <w:szCs w:val="24"/>
        </w:rPr>
      </w:pPr>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Sabotage as leverage</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Where HCDT funds are perceived as delayed or misappropriated, communities have reverted to pipeline vandalism as a bargaining tool. The 3% OPEX contribution is seen as an entitlement, not a concession, and any shortfall is treated as a breach of statutory duty.</w:t>
      </w:r>
    </w:p>
    <w:p w14:paraId="33FC55E4">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jc w:val="both"/>
        <w:textAlignment w:val="baseline"/>
        <w:rPr>
          <w:rFonts w:hint="default" w:ascii="Times New Roman" w:hAnsi="Times New Roman" w:cs="Times New Roman"/>
        </w:rPr>
      </w:pPr>
    </w:p>
    <w:p w14:paraId="0881936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3.2 The "Set-Aside" Controversy</w:t>
      </w:r>
    </w:p>
    <w:p w14:paraId="499CF07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cs="Times New Roman"/>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The PIA contains a controversial provision allowing operators to "set aside" HCDT contributions if host communities fail to meet certain security obligations—specifically, if they are complicit in sabotage or fail to prevent third-party interference. This clause was intended as a deterrent but has become a source of friction:</w:t>
      </w:r>
    </w:p>
    <w:p w14:paraId="326925A2">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Operators are reluctant to invoke it, fearing escalation.</w:t>
      </w:r>
    </w:p>
    <w:p w14:paraId="57DB71D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Communities view the threat of set-aside as punitive and inconsistent with the Act's development mandate.</w:t>
      </w:r>
    </w:p>
    <w:p w14:paraId="366911A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eastAsia="Segoe UI" w:cs="Times New Roman"/>
          <w:i w:val="0"/>
          <w:iCs w:val="0"/>
          <w:caps w:val="0"/>
          <w:spacing w:val="8"/>
          <w:sz w:val="21"/>
          <w:szCs w:val="21"/>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Legal ambiguity surrounds the evidentiary threshold for set-aside and the appeal process.</w:t>
      </w:r>
    </w:p>
    <w:p w14:paraId="67296A97">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right="0" w:rightChars="0"/>
        <w:jc w:val="both"/>
        <w:textAlignment w:val="baseline"/>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pPr>
    </w:p>
    <w:p w14:paraId="04AE1E71">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right="0" w:rightChars="0"/>
        <w:jc w:val="both"/>
        <w:textAlignment w:val="baseline"/>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pPr>
    </w:p>
    <w:p w14:paraId="3B0C608E">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right="0" w:rightChars="0"/>
        <w:jc w:val="both"/>
        <w:textAlignment w:val="baseline"/>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pPr>
    </w:p>
    <w:p w14:paraId="641EE14C">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right="0" w:rightChars="0"/>
        <w:jc w:val="both"/>
        <w:textAlignment w:val="baseline"/>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pPr>
    </w:p>
    <w:p w14:paraId="1B464A8B">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right="0" w:rightChars="0"/>
        <w:jc w:val="both"/>
        <w:textAlignment w:val="baseline"/>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pPr>
    </w:p>
    <w:p w14:paraId="3D28BB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7"/>
          <w:szCs w:val="27"/>
        </w:rPr>
      </w:pPr>
      <w:r>
        <w:rPr>
          <w:rFonts w:hint="default" w:ascii="Times New Roman" w:hAnsi="Times New Roman" w:eastAsia="Segoe UI" w:cs="Times New Roman"/>
          <w:b/>
          <w:bCs/>
          <w:i w:val="0"/>
          <w:iCs w:val="0"/>
          <w:caps w:val="0"/>
          <w:spacing w:val="0"/>
          <w:sz w:val="27"/>
          <w:szCs w:val="27"/>
          <w:bdr w:val="none" w:color="auto" w:sz="0" w:space="0"/>
          <w:shd w:val="clear" w:fill="FFFFFF"/>
          <w:vertAlign w:val="baseline"/>
        </w:rPr>
        <w:t>4. REGULATORY AND POLITICAL DYNAMICS</w:t>
      </w:r>
    </w:p>
    <w:p w14:paraId="3CE5D1B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4.1 The Role of the Nigerian Upstream Petroleum Regulatory Commission (NUPRC)</w:t>
      </w:r>
    </w:p>
    <w:p w14:paraId="3E67F2A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cs="Times New Roman"/>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The NUPRC is the primary regulator for HCDT compliance, with authority to:</w:t>
      </w:r>
    </w:p>
    <w:p w14:paraId="0A526D4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Issue guidelines on trustee selection and governance standards</w:t>
      </w:r>
    </w:p>
    <w:p w14:paraId="5A86674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Monitor fund utilisation and audit trust accounts</w:t>
      </w:r>
    </w:p>
    <w:p w14:paraId="40DFE966">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Impose sanctions for non-compliance, including operational penalties</w:t>
      </w:r>
    </w:p>
    <w:p w14:paraId="20BF871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pPr>
    </w:p>
    <w:p w14:paraId="3C23E93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However, the NUPRC's enforcement capacity is constrained by resource limitations and political sensitivity. Host community issues are electorally salient in the Niger Delta, and aggressive regulatory action against underperforming operators risks political backlash.</w:t>
      </w:r>
    </w:p>
    <w:p w14:paraId="1CBD47E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4.2 State Government Interference</w:t>
      </w:r>
    </w:p>
    <w:p w14:paraId="55A44D7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Several Niger Delta state governments have enacted or proposed parallel community development laws that overlap with the PIA framework. Rivers and Bayelsa states, in particular, have asserted authority over community land rights and environmental remediation, creating a dual-track regulatory environment. Operators face the risk of conflicting compliance obligations.</w:t>
      </w:r>
    </w:p>
    <w:p w14:paraId="6052079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4.3 Pending Legislative Amendments</w:t>
      </w:r>
    </w:p>
    <w:p w14:paraId="4551F7B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cs="Times New Roman"/>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Political pressure is building to amend the PIA's community provisions. Key proposals under consideration include:</w:t>
      </w:r>
    </w:p>
    <w:p w14:paraId="3697ABBC">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Raising the HCDT contribution from 3% to 5–7.5% of OPEX</w:t>
      </w:r>
    </w:p>
    <w:p w14:paraId="2785201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Expanding the definition of "impacted community" to include areas affected by gas flaring and oil spills, regardless of proximity to production facilities</w:t>
      </w:r>
    </w:p>
    <w:p w14:paraId="42EA7BD4">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cs="Times New Roman"/>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Removing the set-aside provision entirely</w:t>
      </w:r>
    </w:p>
    <w:p w14:paraId="02C61D47">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420" w:leftChars="0" w:right="0" w:hanging="420" w:firstLineChars="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Mandating direct cash transfers to community households rather than project-based development</w:t>
      </w:r>
    </w:p>
    <w:p w14:paraId="04603B47">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jc w:val="both"/>
        <w:textAlignment w:val="baseline"/>
        <w:rPr>
          <w:rFonts w:hint="default" w:ascii="Times New Roman" w:hAnsi="Times New Roman" w:cs="Times New Roman"/>
        </w:rPr>
      </w:pPr>
    </w:p>
    <w:p w14:paraId="43DDF28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8"/>
          <w:sz w:val="21"/>
          <w:szCs w:val="21"/>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Any of these amendments would materially alter the cost structure and governance burden for operators.</w:t>
      </w:r>
    </w:p>
    <w:p w14:paraId="77AA17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7"/>
          <w:szCs w:val="27"/>
        </w:rPr>
      </w:pPr>
      <w:r>
        <w:rPr>
          <w:rFonts w:hint="default" w:ascii="Times New Roman" w:hAnsi="Times New Roman" w:eastAsia="Segoe UI" w:cs="Times New Roman"/>
          <w:b/>
          <w:bCs/>
          <w:i w:val="0"/>
          <w:iCs w:val="0"/>
          <w:caps w:val="0"/>
          <w:spacing w:val="0"/>
          <w:sz w:val="27"/>
          <w:szCs w:val="27"/>
          <w:bdr w:val="none" w:color="auto" w:sz="0" w:space="0"/>
          <w:shd w:val="clear" w:fill="FFFFFF"/>
          <w:vertAlign w:val="baseline"/>
        </w:rPr>
        <w:t>5. STRATEGIC IMPLICATIONS</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105"/>
        <w:gridCol w:w="4634"/>
        <w:gridCol w:w="2047"/>
      </w:tblGrid>
      <w:tr w14:paraId="51B19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blHeader/>
        </w:trPr>
        <w:tc>
          <w:tcPr>
            <w:tcW w:w="0" w:type="auto"/>
            <w:tcBorders>
              <w:top w:val="single" w:color="auto" w:sz="6" w:space="0"/>
              <w:left w:val="nil"/>
              <w:bottom w:val="nil"/>
              <w:right w:val="nil"/>
            </w:tcBorders>
            <w:shd w:val="clear"/>
            <w:tcMar>
              <w:top w:w="150" w:type="dxa"/>
              <w:left w:w="240" w:type="dxa"/>
              <w:bottom w:w="150" w:type="dxa"/>
              <w:right w:w="240" w:type="dxa"/>
            </w:tcMar>
            <w:vAlign w:val="top"/>
          </w:tcPr>
          <w:p w14:paraId="5984E894">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bCs/>
                <w:sz w:val="21"/>
                <w:szCs w:val="21"/>
              </w:rPr>
            </w:pPr>
            <w:r>
              <w:rPr>
                <w:rStyle w:val="5"/>
                <w:rFonts w:hint="default" w:ascii="Times New Roman" w:hAnsi="Times New Roman" w:eastAsia="SimSun" w:cs="Times New Roman"/>
                <w:b/>
                <w:bCs/>
                <w:kern w:val="0"/>
                <w:sz w:val="21"/>
                <w:szCs w:val="21"/>
                <w:bdr w:val="none" w:color="auto" w:sz="0" w:space="0"/>
                <w:vertAlign w:val="baseline"/>
                <w:lang w:val="en-US" w:eastAsia="zh-CN" w:bidi="ar"/>
              </w:rPr>
              <w:t>Dimension</w:t>
            </w:r>
          </w:p>
        </w:tc>
        <w:tc>
          <w:tcPr>
            <w:tcW w:w="0" w:type="auto"/>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0C9FEB4B">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bCs/>
                <w:sz w:val="21"/>
                <w:szCs w:val="21"/>
              </w:rPr>
            </w:pPr>
            <w:r>
              <w:rPr>
                <w:rStyle w:val="5"/>
                <w:rFonts w:hint="default" w:ascii="Times New Roman" w:hAnsi="Times New Roman" w:eastAsia="SimSun" w:cs="Times New Roman"/>
                <w:b/>
                <w:bCs/>
                <w:kern w:val="0"/>
                <w:sz w:val="21"/>
                <w:szCs w:val="21"/>
                <w:bdr w:val="none" w:color="auto" w:sz="0" w:space="0"/>
                <w:vertAlign w:val="baseline"/>
                <w:lang w:val="en-US" w:eastAsia="zh-CN" w:bidi="ar"/>
              </w:rPr>
              <w:t>Assessment</w:t>
            </w:r>
          </w:p>
        </w:tc>
        <w:tc>
          <w:tcPr>
            <w:tcW w:w="0" w:type="auto"/>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6BC9D21E">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b/>
                <w:bCs/>
                <w:sz w:val="21"/>
                <w:szCs w:val="21"/>
              </w:rPr>
            </w:pPr>
            <w:r>
              <w:rPr>
                <w:rStyle w:val="5"/>
                <w:rFonts w:hint="default" w:ascii="Times New Roman" w:hAnsi="Times New Roman" w:eastAsia="SimSun" w:cs="Times New Roman"/>
                <w:b/>
                <w:bCs/>
                <w:kern w:val="0"/>
                <w:sz w:val="21"/>
                <w:szCs w:val="21"/>
                <w:bdr w:val="none" w:color="auto" w:sz="0" w:space="0"/>
                <w:vertAlign w:val="baseline"/>
                <w:lang w:val="en-US" w:eastAsia="zh-CN" w:bidi="ar"/>
              </w:rPr>
              <w:t>Risk Level</w:t>
            </w:r>
          </w:p>
        </w:tc>
      </w:tr>
      <w:tr w14:paraId="5D139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6" w:space="0"/>
              <w:left w:val="nil"/>
              <w:bottom w:val="nil"/>
              <w:right w:val="nil"/>
            </w:tcBorders>
            <w:shd w:val="clear"/>
            <w:tcMar>
              <w:top w:w="150" w:type="dxa"/>
              <w:left w:w="240" w:type="dxa"/>
              <w:bottom w:w="150" w:type="dxa"/>
              <w:right w:w="240" w:type="dxa"/>
            </w:tcMar>
            <w:vAlign w:val="top"/>
          </w:tcPr>
          <w:p w14:paraId="1F8A8A24">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1"/>
                <w:szCs w:val="21"/>
              </w:rPr>
            </w:pPr>
            <w:r>
              <w:rPr>
                <w:rStyle w:val="5"/>
                <w:rFonts w:hint="default" w:ascii="Times New Roman" w:hAnsi="Times New Roman" w:eastAsia="SimSun" w:cs="Times New Roman"/>
                <w:b/>
                <w:bCs/>
                <w:kern w:val="0"/>
                <w:sz w:val="21"/>
                <w:szCs w:val="21"/>
                <w:bdr w:val="none" w:color="auto" w:sz="0" w:space="0"/>
                <w:vertAlign w:val="baseline"/>
                <w:lang w:val="en-US" w:eastAsia="zh-CN" w:bidi="ar"/>
              </w:rPr>
              <w:t>Compliance Cost</w:t>
            </w:r>
          </w:p>
        </w:tc>
        <w:tc>
          <w:tcPr>
            <w:tcW w:w="0" w:type="auto"/>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24FA3154">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1"/>
                <w:szCs w:val="21"/>
              </w:rPr>
            </w:pPr>
            <w:r>
              <w:rPr>
                <w:rFonts w:hint="default" w:ascii="Times New Roman" w:hAnsi="Times New Roman" w:eastAsia="SimSun" w:cs="Times New Roman"/>
                <w:kern w:val="0"/>
                <w:sz w:val="21"/>
                <w:szCs w:val="21"/>
                <w:bdr w:val="none" w:color="auto" w:sz="0" w:space="0"/>
                <w:lang w:val="en-US" w:eastAsia="zh-CN" w:bidi="ar"/>
              </w:rPr>
              <w:t>3% OPEX floor is binding; upward revision likely</w:t>
            </w:r>
          </w:p>
        </w:tc>
        <w:tc>
          <w:tcPr>
            <w:tcW w:w="0" w:type="auto"/>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6A6CF52C">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1"/>
                <w:szCs w:val="21"/>
              </w:rPr>
            </w:pPr>
            <w:r>
              <w:rPr>
                <w:rStyle w:val="5"/>
                <w:rFonts w:hint="default" w:ascii="Times New Roman" w:hAnsi="Times New Roman" w:eastAsia="SimSun" w:cs="Times New Roman"/>
                <w:b/>
                <w:bCs/>
                <w:kern w:val="0"/>
                <w:sz w:val="21"/>
                <w:szCs w:val="21"/>
                <w:bdr w:val="none" w:color="auto" w:sz="0" w:space="0"/>
                <w:vertAlign w:val="baseline"/>
                <w:lang w:val="en-US" w:eastAsia="zh-CN" w:bidi="ar"/>
              </w:rPr>
              <w:t>HIGH</w:t>
            </w:r>
          </w:p>
        </w:tc>
      </w:tr>
      <w:tr w14:paraId="6C92D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6" w:space="0"/>
              <w:left w:val="nil"/>
              <w:bottom w:val="nil"/>
              <w:right w:val="nil"/>
            </w:tcBorders>
            <w:shd w:val="clear"/>
            <w:tcMar>
              <w:top w:w="150" w:type="dxa"/>
              <w:left w:w="240" w:type="dxa"/>
              <w:bottom w:w="150" w:type="dxa"/>
              <w:right w:w="240" w:type="dxa"/>
            </w:tcMar>
            <w:vAlign w:val="top"/>
          </w:tcPr>
          <w:p w14:paraId="61FA1199">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1"/>
                <w:szCs w:val="21"/>
              </w:rPr>
            </w:pPr>
            <w:r>
              <w:rPr>
                <w:rStyle w:val="5"/>
                <w:rFonts w:hint="default" w:ascii="Times New Roman" w:hAnsi="Times New Roman" w:eastAsia="SimSun" w:cs="Times New Roman"/>
                <w:b/>
                <w:bCs/>
                <w:kern w:val="0"/>
                <w:sz w:val="21"/>
                <w:szCs w:val="21"/>
                <w:bdr w:val="none" w:color="auto" w:sz="0" w:space="0"/>
                <w:vertAlign w:val="baseline"/>
                <w:lang w:val="en-US" w:eastAsia="zh-CN" w:bidi="ar"/>
              </w:rPr>
              <w:t>Governance Complexity</w:t>
            </w:r>
          </w:p>
        </w:tc>
        <w:tc>
          <w:tcPr>
            <w:tcW w:w="0" w:type="auto"/>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40B4264E">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1"/>
                <w:szCs w:val="21"/>
              </w:rPr>
            </w:pPr>
            <w:r>
              <w:rPr>
                <w:rFonts w:hint="default" w:ascii="Times New Roman" w:hAnsi="Times New Roman" w:eastAsia="SimSun" w:cs="Times New Roman"/>
                <w:kern w:val="0"/>
                <w:sz w:val="21"/>
                <w:szCs w:val="21"/>
                <w:bdr w:val="none" w:color="auto" w:sz="0" w:space="0"/>
                <w:lang w:val="en-US" w:eastAsia="zh-CN" w:bidi="ar"/>
              </w:rPr>
              <w:t>Multi-layered trustee structures; elite capture; boundary disputes</w:t>
            </w:r>
          </w:p>
        </w:tc>
        <w:tc>
          <w:tcPr>
            <w:tcW w:w="0" w:type="auto"/>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6A174C88">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1"/>
                <w:szCs w:val="21"/>
              </w:rPr>
            </w:pPr>
            <w:r>
              <w:rPr>
                <w:rStyle w:val="5"/>
                <w:rFonts w:hint="default" w:ascii="Times New Roman" w:hAnsi="Times New Roman" w:eastAsia="SimSun" w:cs="Times New Roman"/>
                <w:b/>
                <w:bCs/>
                <w:kern w:val="0"/>
                <w:sz w:val="21"/>
                <w:szCs w:val="21"/>
                <w:bdr w:val="none" w:color="auto" w:sz="0" w:space="0"/>
                <w:vertAlign w:val="baseline"/>
                <w:lang w:val="en-US" w:eastAsia="zh-CN" w:bidi="ar"/>
              </w:rPr>
              <w:t>HIGH</w:t>
            </w:r>
          </w:p>
        </w:tc>
      </w:tr>
      <w:tr w14:paraId="4B06A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6" w:space="0"/>
              <w:left w:val="nil"/>
              <w:bottom w:val="nil"/>
              <w:right w:val="nil"/>
            </w:tcBorders>
            <w:shd w:val="clear"/>
            <w:tcMar>
              <w:top w:w="150" w:type="dxa"/>
              <w:left w:w="240" w:type="dxa"/>
              <w:bottom w:w="150" w:type="dxa"/>
              <w:right w:w="240" w:type="dxa"/>
            </w:tcMar>
            <w:vAlign w:val="top"/>
          </w:tcPr>
          <w:p w14:paraId="0F0C5170">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1"/>
                <w:szCs w:val="21"/>
              </w:rPr>
            </w:pPr>
            <w:r>
              <w:rPr>
                <w:rStyle w:val="5"/>
                <w:rFonts w:hint="default" w:ascii="Times New Roman" w:hAnsi="Times New Roman" w:eastAsia="SimSun" w:cs="Times New Roman"/>
                <w:b/>
                <w:bCs/>
                <w:kern w:val="0"/>
                <w:sz w:val="21"/>
                <w:szCs w:val="21"/>
                <w:bdr w:val="none" w:color="auto" w:sz="0" w:space="0"/>
                <w:vertAlign w:val="baseline"/>
                <w:lang w:val="en-US" w:eastAsia="zh-CN" w:bidi="ar"/>
              </w:rPr>
              <w:t>Security of Operations</w:t>
            </w:r>
          </w:p>
        </w:tc>
        <w:tc>
          <w:tcPr>
            <w:tcW w:w="0" w:type="auto"/>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1A376E9E">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1"/>
                <w:szCs w:val="21"/>
              </w:rPr>
            </w:pPr>
            <w:r>
              <w:rPr>
                <w:rFonts w:hint="default" w:ascii="Times New Roman" w:hAnsi="Times New Roman" w:eastAsia="SimSun" w:cs="Times New Roman"/>
                <w:kern w:val="0"/>
                <w:sz w:val="21"/>
                <w:szCs w:val="21"/>
                <w:bdr w:val="none" w:color="auto" w:sz="0" w:space="0"/>
                <w:lang w:val="en-US" w:eastAsia="zh-CN" w:bidi="ar"/>
              </w:rPr>
              <w:t>HCDTs have not eliminated sabotage; may have restructured militant incentives</w:t>
            </w:r>
          </w:p>
        </w:tc>
        <w:tc>
          <w:tcPr>
            <w:tcW w:w="0" w:type="auto"/>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1E26C9BD">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1"/>
                <w:szCs w:val="21"/>
              </w:rPr>
            </w:pPr>
            <w:r>
              <w:rPr>
                <w:rStyle w:val="5"/>
                <w:rFonts w:hint="default" w:ascii="Times New Roman" w:hAnsi="Times New Roman" w:eastAsia="SimSun" w:cs="Times New Roman"/>
                <w:b/>
                <w:bCs/>
                <w:kern w:val="0"/>
                <w:sz w:val="21"/>
                <w:szCs w:val="21"/>
                <w:bdr w:val="none" w:color="auto" w:sz="0" w:space="0"/>
                <w:vertAlign w:val="baseline"/>
                <w:lang w:val="en-US" w:eastAsia="zh-CN" w:bidi="ar"/>
              </w:rPr>
              <w:t>MODERATE-HIGH</w:t>
            </w:r>
          </w:p>
        </w:tc>
      </w:tr>
      <w:tr w14:paraId="62E7F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6" w:space="0"/>
              <w:left w:val="nil"/>
              <w:bottom w:val="nil"/>
              <w:right w:val="nil"/>
            </w:tcBorders>
            <w:shd w:val="clear"/>
            <w:tcMar>
              <w:top w:w="150" w:type="dxa"/>
              <w:left w:w="240" w:type="dxa"/>
              <w:bottom w:w="150" w:type="dxa"/>
              <w:right w:w="240" w:type="dxa"/>
            </w:tcMar>
            <w:vAlign w:val="top"/>
          </w:tcPr>
          <w:p w14:paraId="469886D0">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1"/>
                <w:szCs w:val="21"/>
              </w:rPr>
            </w:pPr>
            <w:r>
              <w:rPr>
                <w:rStyle w:val="5"/>
                <w:rFonts w:hint="default" w:ascii="Times New Roman" w:hAnsi="Times New Roman" w:eastAsia="SimSun" w:cs="Times New Roman"/>
                <w:b/>
                <w:bCs/>
                <w:kern w:val="0"/>
                <w:sz w:val="21"/>
                <w:szCs w:val="21"/>
                <w:bdr w:val="none" w:color="auto" w:sz="0" w:space="0"/>
                <w:vertAlign w:val="baseline"/>
                <w:lang w:val="en-US" w:eastAsia="zh-CN" w:bidi="ar"/>
              </w:rPr>
              <w:t>Regulatory Uncertainty</w:t>
            </w:r>
          </w:p>
        </w:tc>
        <w:tc>
          <w:tcPr>
            <w:tcW w:w="0" w:type="auto"/>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48E2D479">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1"/>
                <w:szCs w:val="21"/>
              </w:rPr>
            </w:pPr>
            <w:r>
              <w:rPr>
                <w:rFonts w:hint="default" w:ascii="Times New Roman" w:hAnsi="Times New Roman" w:eastAsia="SimSun" w:cs="Times New Roman"/>
                <w:kern w:val="0"/>
                <w:sz w:val="21"/>
                <w:szCs w:val="21"/>
                <w:bdr w:val="none" w:color="auto" w:sz="0" w:space="0"/>
                <w:lang w:val="en-US" w:eastAsia="zh-CN" w:bidi="ar"/>
              </w:rPr>
              <w:t>Pending amendments; state-federal overlap; NUPRC capacity gaps</w:t>
            </w:r>
          </w:p>
        </w:tc>
        <w:tc>
          <w:tcPr>
            <w:tcW w:w="0" w:type="auto"/>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3125C923">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1"/>
                <w:szCs w:val="21"/>
              </w:rPr>
            </w:pPr>
            <w:r>
              <w:rPr>
                <w:rStyle w:val="5"/>
                <w:rFonts w:hint="default" w:ascii="Times New Roman" w:hAnsi="Times New Roman" w:eastAsia="SimSun" w:cs="Times New Roman"/>
                <w:b/>
                <w:bCs/>
                <w:kern w:val="0"/>
                <w:sz w:val="21"/>
                <w:szCs w:val="21"/>
                <w:bdr w:val="none" w:color="auto" w:sz="0" w:space="0"/>
                <w:vertAlign w:val="baseline"/>
                <w:lang w:val="en-US" w:eastAsia="zh-CN" w:bidi="ar"/>
              </w:rPr>
              <w:t>HIGH</w:t>
            </w:r>
          </w:p>
        </w:tc>
      </w:tr>
      <w:tr w14:paraId="63C2D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6" w:space="0"/>
              <w:left w:val="nil"/>
              <w:bottom w:val="nil"/>
              <w:right w:val="nil"/>
            </w:tcBorders>
            <w:shd w:val="clear"/>
            <w:tcMar>
              <w:top w:w="150" w:type="dxa"/>
              <w:left w:w="240" w:type="dxa"/>
              <w:bottom w:w="150" w:type="dxa"/>
              <w:right w:w="240" w:type="dxa"/>
            </w:tcMar>
            <w:vAlign w:val="top"/>
          </w:tcPr>
          <w:p w14:paraId="557AA883">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1"/>
                <w:szCs w:val="21"/>
              </w:rPr>
            </w:pPr>
            <w:r>
              <w:rPr>
                <w:rStyle w:val="5"/>
                <w:rFonts w:hint="default" w:ascii="Times New Roman" w:hAnsi="Times New Roman" w:eastAsia="SimSun" w:cs="Times New Roman"/>
                <w:b/>
                <w:bCs/>
                <w:kern w:val="0"/>
                <w:sz w:val="21"/>
                <w:szCs w:val="21"/>
                <w:bdr w:val="none" w:color="auto" w:sz="0" w:space="0"/>
                <w:vertAlign w:val="baseline"/>
                <w:lang w:val="en-US" w:eastAsia="zh-CN" w:bidi="ar"/>
              </w:rPr>
              <w:t>Reputational Risk</w:t>
            </w:r>
          </w:p>
        </w:tc>
        <w:tc>
          <w:tcPr>
            <w:tcW w:w="0" w:type="auto"/>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0906D921">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1"/>
                <w:szCs w:val="21"/>
              </w:rPr>
            </w:pPr>
            <w:r>
              <w:rPr>
                <w:rFonts w:hint="default" w:ascii="Times New Roman" w:hAnsi="Times New Roman" w:eastAsia="SimSun" w:cs="Times New Roman"/>
                <w:kern w:val="0"/>
                <w:sz w:val="21"/>
                <w:szCs w:val="21"/>
                <w:bdr w:val="none" w:color="auto" w:sz="0" w:space="0"/>
                <w:lang w:val="en-US" w:eastAsia="zh-CN" w:bidi="ar"/>
              </w:rPr>
              <w:t>Community grievances amplified by social media; ESG scrutiny from international investors</w:t>
            </w:r>
          </w:p>
        </w:tc>
        <w:tc>
          <w:tcPr>
            <w:tcW w:w="0" w:type="auto"/>
            <w:tcBorders>
              <w:top w:val="single" w:color="auto" w:sz="6" w:space="0"/>
              <w:left w:val="single" w:color="auto" w:sz="6" w:space="0"/>
              <w:bottom w:val="nil"/>
              <w:right w:val="nil"/>
            </w:tcBorders>
            <w:shd w:val="clear"/>
            <w:tcMar>
              <w:top w:w="150" w:type="dxa"/>
              <w:left w:w="240" w:type="dxa"/>
              <w:bottom w:w="150" w:type="dxa"/>
              <w:right w:w="240" w:type="dxa"/>
            </w:tcMar>
            <w:vAlign w:val="top"/>
          </w:tcPr>
          <w:p w14:paraId="377EE8A5">
            <w:pPr>
              <w:keepNext w:val="0"/>
              <w:keepLines w:val="0"/>
              <w:widowControl/>
              <w:suppressLineNumbers w:val="0"/>
              <w:spacing w:before="0" w:beforeAutospacing="0" w:after="0" w:afterAutospacing="0" w:line="330" w:lineRule="atLeast"/>
              <w:ind w:left="0" w:right="0"/>
              <w:jc w:val="both"/>
              <w:textAlignment w:val="top"/>
              <w:rPr>
                <w:rFonts w:hint="default" w:ascii="Times New Roman" w:hAnsi="Times New Roman" w:cs="Times New Roman"/>
                <w:sz w:val="21"/>
                <w:szCs w:val="21"/>
              </w:rPr>
            </w:pPr>
            <w:r>
              <w:rPr>
                <w:rStyle w:val="5"/>
                <w:rFonts w:hint="default" w:ascii="Times New Roman" w:hAnsi="Times New Roman" w:eastAsia="SimSun" w:cs="Times New Roman"/>
                <w:b/>
                <w:bCs/>
                <w:kern w:val="0"/>
                <w:sz w:val="21"/>
                <w:szCs w:val="21"/>
                <w:bdr w:val="none" w:color="auto" w:sz="0" w:space="0"/>
                <w:vertAlign w:val="baseline"/>
                <w:lang w:val="en-US" w:eastAsia="zh-CN" w:bidi="ar"/>
              </w:rPr>
              <w:t>MODERATE-HIGH</w:t>
            </w:r>
          </w:p>
        </w:tc>
      </w:tr>
    </w:tbl>
    <w:p w14:paraId="6D1854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240" w:afterAutospacing="0" w:line="420" w:lineRule="atLeast"/>
        <w:ind w:left="0" w:right="0" w:firstLine="0"/>
        <w:jc w:val="both"/>
        <w:textAlignment w:val="baseline"/>
        <w:rPr>
          <w:rFonts w:hint="default" w:ascii="Times New Roman" w:hAnsi="Times New Roman" w:eastAsia="Segoe UI" w:cs="Times New Roman"/>
          <w:b/>
          <w:bCs/>
          <w:i w:val="0"/>
          <w:iCs w:val="0"/>
          <w:caps w:val="0"/>
          <w:spacing w:val="0"/>
          <w:sz w:val="27"/>
          <w:szCs w:val="27"/>
        </w:rPr>
      </w:pPr>
      <w:r>
        <w:rPr>
          <w:rFonts w:hint="default" w:ascii="Times New Roman" w:hAnsi="Times New Roman" w:eastAsia="Segoe UI" w:cs="Times New Roman"/>
          <w:b/>
          <w:bCs/>
          <w:i w:val="0"/>
          <w:iCs w:val="0"/>
          <w:caps w:val="0"/>
          <w:spacing w:val="0"/>
          <w:sz w:val="27"/>
          <w:szCs w:val="27"/>
          <w:bdr w:val="none" w:color="auto" w:sz="0" w:space="0"/>
          <w:shd w:val="clear" w:fill="FFFFFF"/>
          <w:vertAlign w:val="baseline"/>
        </w:rPr>
        <w:t>6. OUTLOOK AND RECOMMENDATIONS</w:t>
      </w:r>
    </w:p>
    <w:p w14:paraId="759921E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The PIA's community governance framework represents a necessary but insufficient response to decades of Niger Delta alienation. It institutionalises corporate-community engagement but does not resolve the underlying political economy of oil dependency, environmental degradation, and youth unemployment.</w:t>
      </w:r>
    </w:p>
    <w:p w14:paraId="1E25D76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cs="Times New Roman"/>
        </w:rPr>
      </w:pPr>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Recommended Actions:</w:t>
      </w:r>
    </w:p>
    <w:p w14:paraId="7353F08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cs="Times New Roman"/>
        </w:rPr>
      </w:pPr>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Pre-emptive Community Mapping</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Invest in granular, ethnographically informed community boundary and stakeholder mapping before HCDT establishment to pre-empt exclusion disputes.</w:t>
      </w:r>
    </w:p>
    <w:p w14:paraId="0940599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cs="Times New Roman"/>
        </w:rPr>
      </w:pPr>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Transparency Infrastructure</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Deploy digital platforms for real-time HCDT financial disclosure and project tracking. Independent verification builds credibility faster than statutory audits.</w:t>
      </w:r>
    </w:p>
    <w:p w14:paraId="1EED396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cs="Times New Roman"/>
        </w:rPr>
      </w:pPr>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Security Architecture Review</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Reassess the assumption that HCDTs alone will reduce sabotage. Integrate HCDT governance with broader community security and livelihood programmes.</w:t>
      </w:r>
    </w:p>
    <w:p w14:paraId="534276E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both"/>
        <w:textAlignment w:val="baseline"/>
        <w:rPr>
          <w:rFonts w:hint="default" w:ascii="Times New Roman" w:hAnsi="Times New Roman" w:cs="Times New Roman"/>
        </w:rPr>
      </w:pPr>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Regulatory Engagement</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Actively monitor NUPRC guideline revisions and state-level legislative developments. Early engagement with regulators and legislators is more effective than reactive compliance.</w:t>
      </w:r>
    </w:p>
    <w:p w14:paraId="58A8518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390" w:lineRule="atLeast"/>
        <w:ind w:left="0" w:right="0" w:firstLine="0"/>
        <w:jc w:val="both"/>
        <w:textAlignment w:val="baseline"/>
        <w:rPr>
          <w:rFonts w:hint="default" w:ascii="Times New Roman" w:hAnsi="Times New Roman" w:eastAsia="Segoe UI" w:cs="Times New Roman"/>
          <w:i w:val="0"/>
          <w:iCs w:val="0"/>
          <w:caps w:val="0"/>
          <w:spacing w:val="0"/>
          <w:sz w:val="24"/>
          <w:szCs w:val="24"/>
        </w:rPr>
      </w:pPr>
      <w:r>
        <w:rPr>
          <w:rStyle w:val="5"/>
          <w:rFonts w:hint="default" w:ascii="Times New Roman" w:hAnsi="Times New Roman" w:eastAsia="Segoe UI" w:cs="Times New Roman"/>
          <w:b/>
          <w:bCs/>
          <w:i w:val="0"/>
          <w:iCs w:val="0"/>
          <w:caps w:val="0"/>
          <w:spacing w:val="0"/>
          <w:kern w:val="0"/>
          <w:sz w:val="24"/>
          <w:szCs w:val="24"/>
          <w:bdr w:val="none" w:color="auto" w:sz="0" w:space="0"/>
          <w:shd w:val="clear" w:fill="FFFFFF"/>
          <w:vertAlign w:val="baseline"/>
          <w:lang w:val="en-US" w:eastAsia="zh-CN" w:bidi="ar"/>
        </w:rPr>
        <w:t>Amendment Contingency Planning</w:t>
      </w:r>
      <w:r>
        <w:rPr>
          <w:rFonts w:hint="default" w:ascii="Times New Roman" w:hAnsi="Times New Roman" w:eastAsia="Segoe UI" w:cs="Times New Roman"/>
          <w:i w:val="0"/>
          <w:iCs w:val="0"/>
          <w:caps w:val="0"/>
          <w:spacing w:val="0"/>
          <w:kern w:val="0"/>
          <w:sz w:val="24"/>
          <w:szCs w:val="24"/>
          <w:bdr w:val="none" w:color="auto" w:sz="0" w:space="0"/>
          <w:shd w:val="clear" w:fill="FFFFFF"/>
          <w:vertAlign w:val="baseline"/>
          <w:lang w:val="en-US" w:eastAsia="zh-CN" w:bidi="ar"/>
        </w:rPr>
        <w:t>: Model the financial and operational impact of proposed PIA amendments (5–7.5% contribution, expanded impacted community definitions) and build flexibility into long-term project economics.</w:t>
      </w:r>
    </w:p>
    <w:p w14:paraId="32E5F5AF">
      <w:pPr>
        <w:jc w:val="both"/>
        <w:rPr>
          <w:rFonts w:hint="default" w:ascii="Times New Roman" w:hAnsi="Times New Roman" w:cs="Times New Roman"/>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Microsoft YaHei">
    <w:panose1 w:val="020B0503020204020204"/>
    <w:charset w:val="86"/>
    <w:family w:val="auto"/>
    <w:pitch w:val="default"/>
    <w:sig w:usb0="80000287" w:usb1="2ACF3C50" w:usb2="00000016" w:usb3="00000000" w:csb0="0004001F"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0EAAB4"/>
    <w:multiLevelType w:val="singleLevel"/>
    <w:tmpl w:val="120EAAB4"/>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0D6528"/>
    <w:rsid w:val="0B0D65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Strong"/>
    <w:basedOn w:val="3"/>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8</TotalTime>
  <ScaleCrop>false</ScaleCrop>
  <LinksUpToDate>false</LinksUpToDate>
  <CharactersWithSpaces>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2026-06-12T18:52:00Z</dcterms:created>
  <dc:creator>Admin</dc:creator>
  <cp:lastModifiedBy>Admin</cp:lastModifiedBy>
  <dcterms:modified xsi:type="dcterms:W3CDTF">2026-06-12T19:01:25Z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C4AB814868EE428286B8B36409818AA9_11</vt:lpwstr>
  </property>
  <property fmtid="{D5CDD505-2E9C-101B-9397-08002B2CF9AE}" pid="4" name="KSOTemplateDocerSaveRecord">
    <vt:lpwstr>eyJoZGlkIjoiOTViZjMyNThlNzc4NjZhMTRjNzI4MWU4MzRkYzg1ZTkifQ==</vt:lpwstr>
  </property>
</Properties>
</file>