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B4DC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54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bookmarkStart w:id="0" w:name="_GoBack"/>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CAPITAL ALLOCATION STRATEGIES OF INTERNATIONAL OIL COMPANIES IN NIGERIA</w:t>
      </w:r>
    </w:p>
    <w:bookmarkEnd w:id="0"/>
    <w:p w14:paraId="6A0D8C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Nigeria is experiencing the most significant restructuring of its upstream petroleum sector since the nationalization era of the 1970s. Between 2024 and 2025, international oil companies (IOCs) have divested approximately </w:t>
      </w:r>
      <w:r>
        <w:rPr>
          <w:rStyle w:val="7"/>
          <w:rFonts w:hint="default" w:ascii="Times New Roman" w:hAnsi="Times New Roman" w:eastAsia="Segoe UI" w:cs="Times New Roman"/>
          <w:b w:val="0"/>
          <w:bCs w:val="0"/>
          <w:i w:val="0"/>
          <w:iCs w:val="0"/>
          <w:caps w:val="0"/>
          <w:spacing w:val="0"/>
          <w:kern w:val="0"/>
          <w:sz w:val="24"/>
          <w:szCs w:val="24"/>
          <w:bdr w:val="none" w:color="auto" w:sz="0" w:space="0"/>
          <w:shd w:val="clear" w:fill="FFFFFF"/>
          <w:vertAlign w:val="baseline"/>
          <w:lang w:val="en-US" w:eastAsia="zh-CN" w:bidi="ar"/>
        </w:rPr>
        <w:t>$6.5 billion</w:t>
      </w:r>
      <w:r>
        <w:rPr>
          <w:rFonts w:hint="default" w:ascii="Times New Roman" w:hAnsi="Times New Roman" w:eastAsia="Segoe UI" w:cs="Times New Roman"/>
          <w:b w:val="0"/>
          <w:bCs w:val="0"/>
          <w:i w:val="0"/>
          <w:iCs w:val="0"/>
          <w:caps w:val="0"/>
          <w:spacing w:val="0"/>
          <w:kern w:val="0"/>
          <w:sz w:val="24"/>
          <w:szCs w:val="24"/>
          <w:bdr w:val="none" w:color="auto" w:sz="0" w:space="0"/>
          <w:shd w:val="clear" w:fill="FFFFFF"/>
          <w:vertAlign w:val="baseline"/>
          <w:lang w:val="en-US" w:eastAsia="zh-CN" w:bidi="ar"/>
        </w:rPr>
        <w:t xml:space="preserve"> i</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n onshore and shallow-water assets, transferring operational control to indigenous Nigerian companies. This capital reallocation is not a wholesale exit from Nigeria but a deliberate strategic pivot: IOCs are retreating from the high-risk, environmentally and socially contentious Niger Delta onshore while consolidating capital in deepwater and integrated gas positions that offer superior returns, lower operational risk, and alignment with global portfolio rationalization objectives. The consequence is a bifurcated Nigerian petroleum sector—indigenous operators dominating onshore production, and IOCs anchoring deepwater and LNG value chains.</w:t>
      </w:r>
    </w:p>
    <w:p w14:paraId="61954B3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1. THE DIVESTMENT WAVE: DEALS, BUYERS, AND DRIVERS</w:t>
      </w:r>
    </w:p>
    <w:p w14:paraId="05C87FA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1.1 Transaction Landscape (2024–2025)</w:t>
      </w:r>
    </w:p>
    <w:p w14:paraId="1E0F0A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period has witnessed five landmark divestments, representing a systematic transfer of legacy onshore and shallow-water assets from IOCs to Nigerian entities:</w:t>
      </w:r>
    </w:p>
    <w:tbl>
      <w:tblPr>
        <w:tblW w:w="9660" w:type="dxa"/>
        <w:tblInd w:w="-2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965"/>
        <w:gridCol w:w="1455"/>
        <w:gridCol w:w="1770"/>
        <w:gridCol w:w="1275"/>
        <w:gridCol w:w="1620"/>
        <w:gridCol w:w="1575"/>
      </w:tblGrid>
      <w:tr w14:paraId="15F85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Header/>
        </w:trPr>
        <w:tc>
          <w:tcPr>
            <w:tcW w:w="1965" w:type="dxa"/>
            <w:tcBorders>
              <w:top w:val="single" w:color="auto" w:sz="6" w:space="0"/>
              <w:left w:val="nil"/>
              <w:bottom w:val="nil"/>
              <w:right w:val="nil"/>
            </w:tcBorders>
            <w:shd w:val="clear"/>
            <w:tcMar>
              <w:top w:w="150" w:type="dxa"/>
              <w:left w:w="240" w:type="dxa"/>
              <w:bottom w:w="150" w:type="dxa"/>
              <w:right w:w="240" w:type="dxa"/>
            </w:tcMar>
            <w:vAlign w:val="top"/>
          </w:tcPr>
          <w:p w14:paraId="415D27AA">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bCs/>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Seller</w:t>
            </w:r>
          </w:p>
        </w:tc>
        <w:tc>
          <w:tcPr>
            <w:tcW w:w="145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359D0585">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bCs/>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Asset</w:t>
            </w:r>
          </w:p>
        </w:tc>
        <w:tc>
          <w:tcPr>
            <w:tcW w:w="1770"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210940B5">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bCs/>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Buyer</w:t>
            </w:r>
          </w:p>
        </w:tc>
        <w:tc>
          <w:tcPr>
            <w:tcW w:w="127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5A4F47B5">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bCs/>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Value</w:t>
            </w:r>
          </w:p>
        </w:tc>
        <w:tc>
          <w:tcPr>
            <w:tcW w:w="1620"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167B88D1">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bCs/>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Asset Class</w:t>
            </w:r>
          </w:p>
        </w:tc>
        <w:tc>
          <w:tcPr>
            <w:tcW w:w="157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3EA86604">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bCs/>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Status</w:t>
            </w:r>
          </w:p>
        </w:tc>
      </w:tr>
      <w:tr w14:paraId="7F7ED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65" w:type="dxa"/>
            <w:tcBorders>
              <w:top w:val="single" w:color="auto" w:sz="6" w:space="0"/>
              <w:left w:val="nil"/>
              <w:bottom w:val="nil"/>
              <w:right w:val="nil"/>
            </w:tcBorders>
            <w:shd w:val="clear"/>
            <w:tcMar>
              <w:top w:w="150" w:type="dxa"/>
              <w:left w:w="240" w:type="dxa"/>
              <w:bottom w:w="150" w:type="dxa"/>
              <w:right w:w="240" w:type="dxa"/>
            </w:tcMar>
            <w:vAlign w:val="top"/>
          </w:tcPr>
          <w:p w14:paraId="09964EEF">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Shell</w:t>
            </w:r>
          </w:p>
        </w:tc>
        <w:tc>
          <w:tcPr>
            <w:tcW w:w="145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51539A22">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SPDC (30% JV operator)</w:t>
            </w:r>
          </w:p>
        </w:tc>
        <w:tc>
          <w:tcPr>
            <w:tcW w:w="1770"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11CA73AE">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Renaissance consortium</w:t>
            </w:r>
          </w:p>
        </w:tc>
        <w:tc>
          <w:tcPr>
            <w:tcW w:w="127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184E8872">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$2.4 billion</w:t>
            </w:r>
          </w:p>
        </w:tc>
        <w:tc>
          <w:tcPr>
            <w:tcW w:w="1620"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6D5074CE">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Onshore + Shallow Water</w:t>
            </w:r>
          </w:p>
        </w:tc>
        <w:tc>
          <w:tcPr>
            <w:tcW w:w="157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2144FE16">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Completed March 2025</w:t>
            </w:r>
          </w:p>
        </w:tc>
      </w:tr>
      <w:tr w14:paraId="72800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65" w:type="dxa"/>
            <w:tcBorders>
              <w:top w:val="single" w:color="auto" w:sz="6" w:space="0"/>
              <w:left w:val="nil"/>
              <w:bottom w:val="nil"/>
              <w:right w:val="nil"/>
            </w:tcBorders>
            <w:shd w:val="clear"/>
            <w:tcMar>
              <w:top w:w="150" w:type="dxa"/>
              <w:left w:w="240" w:type="dxa"/>
              <w:bottom w:w="150" w:type="dxa"/>
              <w:right w:w="240" w:type="dxa"/>
            </w:tcMar>
            <w:vAlign w:val="top"/>
          </w:tcPr>
          <w:p w14:paraId="5E66E91E">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Eni</w:t>
            </w:r>
          </w:p>
        </w:tc>
        <w:tc>
          <w:tcPr>
            <w:tcW w:w="145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02DDA65B">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NAOC (OMLs 60–63)</w:t>
            </w:r>
          </w:p>
        </w:tc>
        <w:tc>
          <w:tcPr>
            <w:tcW w:w="1770"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67039143">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Oando PLC</w:t>
            </w:r>
          </w:p>
        </w:tc>
        <w:tc>
          <w:tcPr>
            <w:tcW w:w="127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46B4281C">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$783 million</w:t>
            </w:r>
          </w:p>
        </w:tc>
        <w:tc>
          <w:tcPr>
            <w:tcW w:w="1620"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1B1482A9">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Onshore</w:t>
            </w:r>
          </w:p>
        </w:tc>
        <w:tc>
          <w:tcPr>
            <w:tcW w:w="157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3618134F">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Completed August 2024</w:t>
            </w:r>
          </w:p>
        </w:tc>
      </w:tr>
      <w:tr w14:paraId="6AFA6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65" w:type="dxa"/>
            <w:tcBorders>
              <w:top w:val="single" w:color="auto" w:sz="6" w:space="0"/>
              <w:left w:val="nil"/>
              <w:bottom w:val="nil"/>
              <w:right w:val="nil"/>
            </w:tcBorders>
            <w:shd w:val="clear"/>
            <w:tcMar>
              <w:top w:w="150" w:type="dxa"/>
              <w:left w:w="240" w:type="dxa"/>
              <w:bottom w:w="150" w:type="dxa"/>
              <w:right w:w="240" w:type="dxa"/>
            </w:tcMar>
            <w:vAlign w:val="top"/>
          </w:tcPr>
          <w:p w14:paraId="66A222FC">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Equinor</w:t>
            </w:r>
          </w:p>
        </w:tc>
        <w:tc>
          <w:tcPr>
            <w:tcW w:w="145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513E3912">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Agbami field (20.21%)</w:t>
            </w:r>
          </w:p>
        </w:tc>
        <w:tc>
          <w:tcPr>
            <w:tcW w:w="1770"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58F19D16">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Chappal Energies</w:t>
            </w:r>
          </w:p>
        </w:tc>
        <w:tc>
          <w:tcPr>
            <w:tcW w:w="127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2883801E">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$1.2 billion</w:t>
            </w:r>
          </w:p>
        </w:tc>
        <w:tc>
          <w:tcPr>
            <w:tcW w:w="1620"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7E8F367E">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Deepwater</w:t>
            </w:r>
          </w:p>
        </w:tc>
        <w:tc>
          <w:tcPr>
            <w:tcW w:w="157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33F5D36A">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Completed November 2024</w:t>
            </w:r>
          </w:p>
        </w:tc>
      </w:tr>
      <w:tr w14:paraId="75847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65" w:type="dxa"/>
            <w:tcBorders>
              <w:top w:val="single" w:color="auto" w:sz="6" w:space="0"/>
              <w:left w:val="nil"/>
              <w:bottom w:val="nil"/>
              <w:right w:val="nil"/>
            </w:tcBorders>
            <w:shd w:val="clear"/>
            <w:tcMar>
              <w:top w:w="150" w:type="dxa"/>
              <w:left w:w="240" w:type="dxa"/>
              <w:bottom w:w="150" w:type="dxa"/>
              <w:right w:w="240" w:type="dxa"/>
            </w:tcMar>
            <w:vAlign w:val="top"/>
          </w:tcPr>
          <w:p w14:paraId="4E1E4C9E">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ExxonMobil</w:t>
            </w:r>
          </w:p>
        </w:tc>
        <w:tc>
          <w:tcPr>
            <w:tcW w:w="145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089652C8">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MPNU (OMLs 67, 68, 70, 104)</w:t>
            </w:r>
          </w:p>
        </w:tc>
        <w:tc>
          <w:tcPr>
            <w:tcW w:w="1770"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053FA276">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Seplat Energy</w:t>
            </w:r>
          </w:p>
        </w:tc>
        <w:tc>
          <w:tcPr>
            <w:tcW w:w="127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5FC75811">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$1.28 billion</w:t>
            </w:r>
          </w:p>
        </w:tc>
        <w:tc>
          <w:tcPr>
            <w:tcW w:w="1620"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389F4AAD">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Offshore/Shallow Water</w:t>
            </w:r>
          </w:p>
        </w:tc>
        <w:tc>
          <w:tcPr>
            <w:tcW w:w="157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18F20713">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Completed December 2024</w:t>
            </w:r>
          </w:p>
        </w:tc>
      </w:tr>
      <w:tr w14:paraId="2CAE2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965" w:type="dxa"/>
            <w:tcBorders>
              <w:top w:val="single" w:color="auto" w:sz="6" w:space="0"/>
              <w:left w:val="nil"/>
              <w:bottom w:val="nil"/>
              <w:right w:val="nil"/>
            </w:tcBorders>
            <w:shd w:val="clear"/>
            <w:tcMar>
              <w:top w:w="150" w:type="dxa"/>
              <w:left w:w="240" w:type="dxa"/>
              <w:bottom w:w="150" w:type="dxa"/>
              <w:right w:w="240" w:type="dxa"/>
            </w:tcMar>
            <w:vAlign w:val="top"/>
          </w:tcPr>
          <w:p w14:paraId="236CA7D1">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TotalEnergies</w:t>
            </w:r>
          </w:p>
        </w:tc>
        <w:tc>
          <w:tcPr>
            <w:tcW w:w="145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1E088809">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SPDC JV stake (10%)</w:t>
            </w:r>
          </w:p>
        </w:tc>
        <w:tc>
          <w:tcPr>
            <w:tcW w:w="1770"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40A5AEE4">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Chappal Energies</w:t>
            </w:r>
          </w:p>
        </w:tc>
        <w:tc>
          <w:tcPr>
            <w:tcW w:w="127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6E09F7ED">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$860 million</w:t>
            </w:r>
          </w:p>
        </w:tc>
        <w:tc>
          <w:tcPr>
            <w:tcW w:w="1620"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625042EC">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Onshore JV</w:t>
            </w:r>
          </w:p>
        </w:tc>
        <w:tc>
          <w:tcPr>
            <w:tcW w:w="1575" w:type="dxa"/>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7A757EC0">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Pending regulatory approval</w:t>
            </w:r>
          </w:p>
        </w:tc>
      </w:tr>
    </w:tbl>
    <w:p w14:paraId="0CE7DD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"https://www.rigzone.com/news/shell_completes_sale_of_nigerian_onshore_assets-14-mar-2025-179919-article/"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73EE853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1.2 Structural Drivers of Divestment</w:t>
      </w:r>
    </w:p>
    <w:p w14:paraId="75E3A2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exodus is driven by a convergence of operational, financial, and strategic factors:</w:t>
      </w:r>
    </w:p>
    <w:p w14:paraId="7A1BCB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Operational Risk Escalation:</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Onshore Niger Delta assets have been plagued by crude oil theft, pipeline vandalism, and community disputes. Shell's SPDC JV alone suffered decades of spills, most attributed to sabotage and theft. These above-ground risks have rendered onshore operations marginally profitable and reputationally toxic for IOCs operating under heightened ESG scrutiny.</w:t>
      </w:r>
    </w:p>
    <w:p w14:paraId="508669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"https://www.rigzone.com/news/shell_completes_sale_of_nigerian_onshore_assets-14-mar-2025-179919-article/"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3BA277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Environmental Liability:</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Nigerian regulators, particularly the Nigerian Upstream Petroleum Regulatory Commission (NUPRC), began requiring pre-divestment environmental liability assessments in 2024. Shell's SPDC deal was held up for months while regulators scrutinized the buyer's capacity to manage remediation obligations. This regulatory tightening has made onshore exits more complex but has not deterred sellers.</w:t>
      </w:r>
    </w:p>
    <w:p w14:paraId="77A0C0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"https://www.rigzone.com/news/shell_completes_sale_of_nigerian_onshore_assets-14-mar-2025-179919-article/"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202F4E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Portfolio Rationalization:</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All divesting IOCs have explicitly framed these transactions as part of global portfolio optimization. Eni stated its NAOC sale was "in line with Eni's strategy focused on the rationalization of upstream activities by rebalancing its portfolio and divesting non-strategic assets." Shell's stated intent is to "simplify its presence in Nigeria through an exit of onshore oil production and a focus on Deepwater and Integrated Gas positions."</w:t>
      </w:r>
    </w:p>
    <w:p w14:paraId="554D36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"https://www.spglobal.com/energy/en/news-research/latest-news/crude-oil/082224-eni-closes-783-million-oil-divestment-deal-with-nigerias-oando"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2FC299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Capital Efficiency:</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Divested capital is being redeployed to higher-margin, lower-risk jurisdictions. TotalEnergies' 2025 Strategy and Outlook presentation confirms a global net Capex reduction to ~$16 billion in 2026, with capital directed toward "high margin Upstream projects" in Brazil, Namibia, the U.S. Gulf of Mexico, and Qatar—not Nigeria's onshore.</w:t>
      </w:r>
    </w:p>
    <w:p w14:paraId="3C58659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2. THE RETENTION STRATEGY: WHERE IOC CAPITAL REMAINS</w:t>
      </w:r>
    </w:p>
    <w:p w14:paraId="69B18E7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2.1 Deepwater Anchors</w:t>
      </w:r>
    </w:p>
    <w:p w14:paraId="586109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IOCs that have divested onshore assets have explicitly retained deepwater positions, which offer superior reservoir quality, lower community interface, and higher per-barrel margins:</w:t>
      </w:r>
    </w:p>
    <w:p w14:paraId="552180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Shell:</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Retains full ownership of the Bonga deepwater field and its $5 billion Bonga North development. Also retains integrated gas positions including Nigeria LNG (NLNG) and the Gbaran-Ubie gas project. Shell's 2025 payments to Nigeria dropped 62% to $2.02 billion, reflecting the onshore exit, but the company has signaled a $5 billion commitment to Bonga North.</w:t>
      </w:r>
    </w:p>
    <w:p w14:paraId="375604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sz w:val="24"/>
          <w:szCs w:val="24"/>
        </w:rPr>
      </w:pPr>
    </w:p>
    <w:p w14:paraId="54BE4E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ExxonMobil:</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Retained deepwater stakes in Erha, Usan, and Bonga, which collectively produced a gross 219,000 b/d in November 2024. The company explicitly stated it will "continue to focus on our deepwater operations as we maximize value for all stakeholders."</w:t>
      </w:r>
    </w:p>
    <w:p w14:paraId="6104BE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sz w:val="24"/>
          <w:szCs w:val="24"/>
        </w:rPr>
      </w:pPr>
    </w:p>
    <w:p w14:paraId="220C0E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Chevron:</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Rather than divesting, Chevron is scaling up its Nigerian deepwater presence. In January 2024, President Tinubu was briefed on Chevron's plans, which include a 20-year renewal of three deepwater leases, seismic acquisition in multiple deepwater blocks, expansion of the Agbami field, acquisition of an interest in OPL 215 (joining TotalEnergies, which holds 40%), and a $1.4 billion infill drilling program in the Escravos area through 2026. Chevron is Nigeria's third-largest producer and appears to be the only major IOC increasing, rather than reducing, its Nigerian footprint.</w:t>
      </w:r>
    </w:p>
    <w:p w14:paraId="3F3496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3A108A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TotalEnergies:</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While divesting its 10% SPDC JV stake, TotalEnergies retains its operated onshore OML 58 (Obite gas hub) and its deepwater portfolio, including Egina, Ikike, and Ofon Phase 2. The company is Nigeria's largest producer, managing ~450,000 boe/d in 2024—approximately 20% of national output. TotalEnergies has been the largest investor in Nigeria over the past 15 years, contributing 20–25% of national hydrocarbon investment.</w:t>
      </w:r>
    </w:p>
    <w:p w14:paraId="5A9D6CD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2.2 Integrated Gas &amp; LNG</w:t>
      </w:r>
    </w:p>
    <w:p w14:paraId="685E36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Gas monetization remains the most defensible IOC position in Nigeria. TotalEnergies eliminated routine flaring across all Nigerian operations by end-2023 (seven years ahead of schedule) and retains its NLNG supply role. Shell's retained gas infrastructure and Chevron's Escravos gas-to-liquids complex represent long-life, cash-generative assets insulated from crude theft. The domestic gas market, underpinned by the Petroleum Industry Act (PIA) pricing reforms, offers a regulated revenue stream that onshore crude cannot match.</w:t>
      </w:r>
    </w:p>
    <w:p w14:paraId="2F2A9BA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3. THE INDIGENOUS ASCENT: BUYERS, CAPACITY, AND RISKS</w:t>
      </w:r>
    </w:p>
    <w:p w14:paraId="25297DE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3.1 The New Operators</w:t>
      </w:r>
    </w:p>
    <w:p w14:paraId="0F732A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divestment wave has created Nigeria's largest indigenous energy companies, but their capacity to manage these assets remains an open question:</w:t>
      </w:r>
    </w:p>
    <w:p w14:paraId="278E11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Seplat Energy:</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Following the $1.28 billion MPNU acquisition (completed December 2024), Seplat has become Nigeria's leading independent. The deal more than doubled production from 48,000 boe/d to ~120,000 boe/d pro forma, increased 2P reserves by 86% to 887 MMboe, and added the Qua Iboe and Bonny River terminals. Seplat now holds equity in 11 blocks, 48 producing fields, and 5 gas processing facilities. The company has committed to ending routine flaring by end-2025 and is pursuing a 100,000 bopd / 1.5 tcf gas target by 2029.</w:t>
      </w:r>
    </w:p>
    <w:p w14:paraId="6CA631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"https://www.seplatenergy.com/news-insights/news/seplat-energy-s-acquisition-deal-gets-industry-recognition-at-nies/"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29B2A9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Oando PLC:</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The $783 million NAOC acquisition (closed August 2024) doubled Oando's working interest to 40% in OMLs 60–63 and lifted 2P reserves from 500 MMboe to 1 billion boe. Oando produced ~24,000 boe/d in 2024 and targets 30,000–40,000 boe/d in 2025, with an ambition of 100,000 bopd by 2029. CEO Wale Tinubu (nephew of President Bola Tinubu) has acknowledged the need for a "revamped security framework" to curb persistent oil theft.</w:t>
      </w:r>
    </w:p>
    <w:p w14:paraId="513E38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"https://www.rigzone.com/news/oando_annual_revenue_nearly_doubles_after_acquisition_from_eni-05-jun-2025-180764-article/"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52C077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Renaissance Africa Energy Holdings:</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The Shell SPDC acquirer is a consortium of ND Western, Aradel Energy, First E&amp;P, Waltersmith, and Petrolin. The $2.4 billion deal gives Renaissance a 30% operating stake in 15 onshore and 3 shallow-water OMLs. The consortium's technical and financial capacity was the subject of extended regulatory scrutiny before NUPRC approval.</w:t>
      </w:r>
    </w:p>
    <w:p w14:paraId="472633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"https://www.energyconnects.com/news/oil/2025/march/shell-completes-sale-of-nigerian-onshore-subsidiary-spdc/"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6F0002F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3.2 Capacity and Risk Assessment</w:t>
      </w:r>
    </w:p>
    <w:p w14:paraId="73A4A1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indigenous ascent carries three critical risks:</w:t>
      </w:r>
    </w:p>
    <w:p w14:paraId="2B4760E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5" w:leftChars="0" w:right="0" w:hanging="425" w:firstLineChars="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Technical Capacity:</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None of the acquiring companies have operated assets at the scale of SPDC or MPNU. Seplat's track record is the strongest, but Renaissance's consortium structure raises governance questions.</w:t>
      </w:r>
    </w:p>
    <w:p w14:paraId="4901210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5" w:leftChars="0" w:right="0" w:hanging="425" w:firstLineChars="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Security and Above-Ground Risk:</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Indigenous operators may lack the political leverage and security infrastructure that IOCs deployed. Oando has explicitly flagged "above-ground security risks" as a priority.</w:t>
      </w:r>
    </w:p>
    <w:p w14:paraId="178B462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5" w:leftChars="0" w:right="0" w:hanging="425" w:firstLineChars="0"/>
        <w:jc w:val="both"/>
        <w:textAlignment w:val="baseline"/>
        <w:rPr>
          <w:rFonts w:hint="default" w:ascii="Times New Roman" w:hAnsi="Times New Roman" w:eastAsia="Segoe UI" w:cs="Times New Roman"/>
          <w:i w:val="0"/>
          <w:iCs w:val="0"/>
          <w:caps w:val="0"/>
          <w:spacing w:val="0"/>
          <w:sz w:val="24"/>
          <w:szCs w:val="24"/>
        </w:rPr>
      </w:pPr>
      <w:r>
        <w:rPr>
          <w:rStyle w:val="7"/>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Environmental Liability:</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The transfer of decades of spill liability to under-capitalized indigenous firms could result in further environmental degradation and future state liability. NUPRC's pre-divestment assessment regime is an attempt to mitigate this, but enforcement capacity is uncertain.</w:t>
      </w:r>
    </w:p>
    <w:p w14:paraId="7B6F25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4. PRODUCTION DYNAMICS AND MARKET IMPLICATIONS</w:t>
      </w:r>
    </w:p>
    <w:p w14:paraId="19D24EE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4.1 The Output Gap</w:t>
      </w:r>
    </w:p>
    <w:p w14:paraId="732F08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Nigeria's crude production has fallen from a 2005 peak of 2.45 mb/d to ~1.47–1.53 mb/d in 2024–2025, well below its 2.2 mb/d capacity and OPEC quota. The divestment transition has contributed to this underperformance, as asset handovers disrupt operations and indigenous operators require time to ramp up investment.</w:t>
      </w:r>
    </w:p>
    <w:p w14:paraId="5D9A9E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"https://www.spglobal.com/energy/en/news-research/latest-news/crude-oil/121224-nigerias-seplat-completes-acquisition-of-exxonmobil-oil-assets"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528DA5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However, the indigenous sector is growing. Seplat's MPNU acquisition alone added ~71,000 boe/d. If Oando and Renaissance execute their production targets, indigenous output could rise from ~200,000 boe/d in 2023 to 800,000+ boe/d by 2028—potentially offsetting IOC declines and stabilizing national production at ~1.5–1.6 mb/d.</w:t>
      </w:r>
    </w:p>
    <w:p w14:paraId="073105C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4.2 Fiscal Impact</w:t>
      </w:r>
    </w:p>
    <w:p w14:paraId="6EB8AD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Shell's 2025 payments to Nigeria collapsed 62% to $2.02 billion (from $5.34 billion in 2024), comprising $1.24 billion in production entitlements, $237 million in taxes, $454 million in royalties, and $88 million in fees. This fiscal shock underscores the government's exposure to IOC portfolio decisions. As more production shifts to indigenous operators with less transparent tax structures and higher cost bases, federal revenue collection may face structural headwinds.</w:t>
      </w:r>
    </w:p>
    <w:p w14:paraId="7B355C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"https://www.arise.tv/shells-nigeria-payments-drop-62-after-onshore-asset-sale/"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6D4AF5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5. CAPITAL REALLOCATION: WHERE THE MONEY IS GOING</w:t>
      </w:r>
    </w:p>
    <w:p w14:paraId="4FE7F7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~$6.5 billion divested from Nigeria is flowing into three primary channels:</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002"/>
        <w:gridCol w:w="3339"/>
        <w:gridCol w:w="3445"/>
      </w:tblGrid>
      <w:tr w14:paraId="27320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Header/>
        </w:trPr>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524853E2">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bCs/>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Destination</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00687FC9">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bCs/>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Examples</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472B12E2">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bCs/>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Rationale</w:t>
            </w:r>
          </w:p>
        </w:tc>
      </w:tr>
      <w:tr w14:paraId="4615D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789E3247">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Frontier Basins</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31B8ED4B">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Namibia (TotalEnergies, Shell, Chevron), Guyana (ExxonMobil)</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6C565867">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Higher exploration upside, lower above-ground risk, superior fiscal terms</w:t>
            </w:r>
          </w:p>
        </w:tc>
      </w:tr>
      <w:tr w14:paraId="74043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2314A9AD">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Deepwater Nigeria</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128FE3D1">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Bonga North ($5B Shell), Agbami expansion (Chevron)</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1389361C">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Retained high-margin, low-risk positions with existing infrastructure</w:t>
            </w:r>
          </w:p>
        </w:tc>
      </w:tr>
      <w:tr w14:paraId="4068D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2ABE6E6D">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Style w:val="7"/>
                <w:rFonts w:hint="default" w:ascii="Times New Roman" w:hAnsi="Times New Roman" w:eastAsia="SimSun" w:cs="Times New Roman"/>
                <w:b/>
                <w:bCs/>
                <w:kern w:val="0"/>
                <w:sz w:val="24"/>
                <w:szCs w:val="24"/>
                <w:bdr w:val="none" w:color="auto" w:sz="0" w:space="0"/>
                <w:vertAlign w:val="baseline"/>
                <w:lang w:val="en-US" w:eastAsia="zh-CN" w:bidi="ar"/>
              </w:rPr>
              <w:t>Shareholder Returns</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2A9EA58D">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TotalEnergies buybacks ($7.5B in 2025), Eni dividends</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4C3A5D9B">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4"/>
                <w:szCs w:val="24"/>
              </w:rPr>
            </w:pPr>
            <w:r>
              <w:rPr>
                <w:rFonts w:hint="default" w:ascii="Times New Roman" w:hAnsi="Times New Roman" w:eastAsia="SimSun" w:cs="Times New Roman"/>
                <w:kern w:val="0"/>
                <w:sz w:val="24"/>
                <w:szCs w:val="24"/>
                <w:bdr w:val="none" w:color="auto" w:sz="0" w:space="0"/>
                <w:lang w:val="en-US" w:eastAsia="zh-CN" w:bidi="ar"/>
              </w:rPr>
              <w:t>Capital discipline and shareholder payout commitments (&gt;40% of CFFO)</w:t>
            </w:r>
          </w:p>
        </w:tc>
      </w:tr>
    </w:tbl>
    <w:p w14:paraId="2CDB73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"https://totalenergies.com/newsroom/2025-strategy-and-outlook-presentation/?lang=eng"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78B581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8"/>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TotalEnergies' 2025 Strategy and Outlook explicitly confirms this logic: the company plans to increase energy production by ~4% per year through 2030 while reducing net Capex to $15–17 billion annually. Growth is driven by "high-margin oil projects" in Brazil, Iraq, Uganda, and the U.S. Gulf of Mexico—not Nigeria's onshore. The company's $7.5 billion savings program (2026–2030) and &gt;40% shareholder payout target leave no room for high-risk, capital-intensive onshore Nigerian projects.</w: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begin"/>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instrText xml:space="preserve"> HYPERLINK "https://totalenergies.com/newsroom/2025-strategy-and-outlook-presentation/?lang=eng" \t "https://www.kimi.com/chat/_blank" </w:instrText>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separate"/>
      </w:r>
      <w:r>
        <w:rPr>
          <w:rFonts w:hint="default" w:ascii="Times New Roman" w:hAnsi="Times New Roman" w:eastAsia="Segoe UI" w:cs="Times New Roman"/>
          <w:i w:val="0"/>
          <w:iCs w:val="0"/>
          <w:caps w:val="0"/>
          <w:color w:val="1783FF"/>
          <w:spacing w:val="0"/>
          <w:kern w:val="0"/>
          <w:sz w:val="24"/>
          <w:szCs w:val="24"/>
          <w:u w:val="none"/>
          <w:bdr w:val="none" w:color="auto" w:sz="0" w:space="0"/>
          <w:shd w:val="clear" w:fill="FFFFFF"/>
          <w:vertAlign w:val="baseline"/>
          <w:lang w:val="en-US" w:eastAsia="zh-CN" w:bidi="ar"/>
        </w:rPr>
        <w:fldChar w:fldCharType="end"/>
      </w:r>
    </w:p>
    <w:p w14:paraId="7262B38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8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6. STRATEGIC IMPLICATIONS AND OUTLOOK</w:t>
      </w:r>
    </w:p>
    <w:p w14:paraId="638D209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6.1 For Nigeria</w:t>
      </w:r>
    </w:p>
    <w:p w14:paraId="12AD96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restructuring is a double-edged sword. Indigenous ownership addresses historical grievances over resource control and creates local economic participation, but it risks accelerating production decline if new operators under-invest. The government's challenge is to ensure that indigenous buyers have the capital, technical partnerships, and security frameworks to maintain—and grow—output. The PIA's fiscal terms, designed to attract IOC investment, may need recalibration for a sector increasingly dominated by local players with different cost structures.</w:t>
      </w:r>
    </w:p>
    <w:p w14:paraId="47DBC67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6.2 For IOCs</w:t>
      </w:r>
    </w:p>
    <w:p w14:paraId="7DD07C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Nigeria is being repositioned from a "core holding" to a "selective deepwater play" in IOC portfolios. The country remains attractive for integrated gas and deepwater oil, but the onshore Niger Delta is effectively being ceded to indigenous operators. This mirrors the global trend of IOCs retreating from mature, high-risk basins to frontier deepwater and LNG.</w:t>
      </w:r>
    </w:p>
    <w:p w14:paraId="6C07A5A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pPr>
      <w:r>
        <w:rPr>
          <w:rFonts w:hint="default" w:ascii="Times New Roman" w:hAnsi="Times New Roman" w:eastAsia="Segoe UI" w:cs="Times New Roman"/>
          <w:b/>
          <w:bCs/>
          <w:i w:val="0"/>
          <w:iCs w:val="0"/>
          <w:caps w:val="0"/>
          <w:spacing w:val="0"/>
          <w:sz w:val="24"/>
          <w:szCs w:val="24"/>
          <w:bdr w:val="none" w:color="auto" w:sz="0" w:space="0"/>
          <w:shd w:val="clear" w:fill="FFFFFF"/>
          <w:vertAlign w:val="baseline"/>
        </w:rPr>
        <w:t>6.3 For Capital Allocators</w:t>
      </w:r>
    </w:p>
    <w:p w14:paraId="1A3C5AE0">
      <w:pPr>
        <w:rPr>
          <w:rFonts w:hint="default"/>
        </w:rPr>
      </w:pPr>
    </w:p>
    <w:p w14:paraId="4279FE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sz w:val="24"/>
          <w:szCs w:val="24"/>
        </w:rPr>
      </w:pPr>
      <w:r>
        <w:rPr>
          <w:rFonts w:hint="default" w:ascii="Times New Roman" w:hAnsi="Times New Roman" w:eastAsia="Segoe UI" w:cs="Times New Roman"/>
          <w:i w:val="0"/>
          <w:iCs w:val="0"/>
          <w:caps w:val="0"/>
          <w:spacing w:val="0"/>
          <w:kern w:val="0"/>
          <w:sz w:val="24"/>
          <w:szCs w:val="24"/>
          <w:shd w:val="clear" w:fill="FFFFFF"/>
          <w:vertAlign w:val="baseline"/>
          <w:lang w:val="en-US" w:eastAsia="zh-CN" w:bidi="ar"/>
        </w:rPr>
        <w:t xml:space="preserve">The intelligence assessment is clear: </w:t>
      </w:r>
      <w:r>
        <w:rPr>
          <w:rStyle w:val="7"/>
          <w:rFonts w:hint="default" w:ascii="Times New Roman" w:hAnsi="Times New Roman" w:eastAsia="Segoe UI" w:cs="Times New Roman"/>
          <w:b/>
          <w:bCs/>
          <w:i w:val="0"/>
          <w:iCs w:val="0"/>
          <w:caps w:val="0"/>
          <w:spacing w:val="0"/>
          <w:kern w:val="0"/>
          <w:sz w:val="24"/>
          <w:szCs w:val="24"/>
          <w:shd w:val="clear" w:fill="FFFFFF"/>
          <w:vertAlign w:val="baseline"/>
          <w:lang w:val="en-US" w:eastAsia="zh-CN" w:bidi="ar"/>
        </w:rPr>
        <w:t>Nigeria's upstream sector is undergoing irreversible structural change.</w:t>
      </w:r>
      <w:r>
        <w:rPr>
          <w:rFonts w:hint="default" w:ascii="Times New Roman" w:hAnsi="Times New Roman" w:eastAsia="Segoe UI" w:cs="Times New Roman"/>
          <w:i w:val="0"/>
          <w:iCs w:val="0"/>
          <w:caps w:val="0"/>
          <w:spacing w:val="0"/>
          <w:kern w:val="0"/>
          <w:sz w:val="24"/>
          <w:szCs w:val="24"/>
          <w:shd w:val="clear" w:fill="FFFFFF"/>
          <w:vertAlign w:val="baseline"/>
          <w:lang w:val="en-US" w:eastAsia="zh-CN" w:bidi="ar"/>
        </w:rPr>
        <w:t xml:space="preserve"> The investment thesis for Nigerian petroleum is now bifurcated:</w:t>
      </w:r>
    </w:p>
    <w:p w14:paraId="1C29C7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sz w:val="24"/>
          <w:szCs w:val="24"/>
        </w:rPr>
      </w:pPr>
      <w:r>
        <w:rPr>
          <w:rStyle w:val="7"/>
          <w:rFonts w:hint="default" w:ascii="Times New Roman" w:hAnsi="Times New Roman" w:eastAsia="Segoe UI" w:cs="Times New Roman"/>
          <w:b/>
          <w:bCs/>
          <w:i w:val="0"/>
          <w:iCs w:val="0"/>
          <w:caps w:val="0"/>
          <w:spacing w:val="0"/>
          <w:kern w:val="0"/>
          <w:sz w:val="24"/>
          <w:szCs w:val="24"/>
          <w:shd w:val="clear" w:fill="FFFFFF"/>
          <w:vertAlign w:val="baseline"/>
          <w:lang w:val="en-US" w:eastAsia="zh-CN" w:bidi="ar"/>
        </w:rPr>
        <w:t>Deepwater / LNG:</w:t>
      </w:r>
      <w:r>
        <w:rPr>
          <w:rFonts w:hint="default" w:ascii="Times New Roman" w:hAnsi="Times New Roman" w:eastAsia="Segoe UI" w:cs="Times New Roman"/>
          <w:i w:val="0"/>
          <w:iCs w:val="0"/>
          <w:caps w:val="0"/>
          <w:spacing w:val="0"/>
          <w:kern w:val="0"/>
          <w:sz w:val="24"/>
          <w:szCs w:val="24"/>
          <w:shd w:val="clear" w:fill="FFFFFF"/>
          <w:vertAlign w:val="baseline"/>
          <w:lang w:val="en-US" w:eastAsia="zh-CN" w:bidi="ar"/>
        </w:rPr>
        <w:t xml:space="preserve"> Defensible, cash-generative, IOC-dominated. Suitable for long-dated, infrastructure-style capital.</w:t>
      </w:r>
    </w:p>
    <w:p w14:paraId="7AA851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7"/>
          <w:rFonts w:hint="default" w:ascii="Times New Roman" w:hAnsi="Times New Roman" w:eastAsia="Segoe UI" w:cs="Times New Roman"/>
          <w:b/>
          <w:bCs/>
          <w:i w:val="0"/>
          <w:iCs w:val="0"/>
          <w:caps w:val="0"/>
          <w:spacing w:val="0"/>
          <w:kern w:val="0"/>
          <w:sz w:val="24"/>
          <w:szCs w:val="24"/>
          <w:shd w:val="clear" w:fill="FFFFFF"/>
          <w:vertAlign w:val="baseline"/>
          <w:lang w:val="en-US" w:eastAsia="zh-CN" w:bidi="ar"/>
        </w:rPr>
        <w:t>Onshore / Shallow Water:</w:t>
      </w:r>
      <w:r>
        <w:rPr>
          <w:rFonts w:hint="default" w:ascii="Times New Roman" w:hAnsi="Times New Roman" w:eastAsia="Segoe UI" w:cs="Times New Roman"/>
          <w:i w:val="0"/>
          <w:iCs w:val="0"/>
          <w:caps w:val="0"/>
          <w:spacing w:val="0"/>
          <w:kern w:val="0"/>
          <w:sz w:val="24"/>
          <w:szCs w:val="24"/>
          <w:shd w:val="clear" w:fill="FFFFFF"/>
          <w:vertAlign w:val="baseline"/>
          <w:lang w:val="en-US" w:eastAsia="zh-CN" w:bidi="ar"/>
        </w:rPr>
        <w:t xml:space="preserve"> High-risk, indigenous-dominated, operationally challenged. Suitable only for specialist EM operators with local partnerships and high risk tolerance.</w:t>
      </w:r>
    </w:p>
    <w:p w14:paraId="2C554B2A">
      <w:pPr>
        <w:rPr>
          <w:rFonts w:hint="default"/>
        </w:rPr>
        <w:sectPr>
          <w:pgSz w:w="11906" w:h="16838"/>
          <w:pgMar w:top="1440" w:right="1800" w:bottom="1440" w:left="1800" w:header="720" w:footer="720" w:gutter="0"/>
          <w:cols w:space="720" w:num="1"/>
          <w:docGrid w:linePitch="360" w:charSpace="0"/>
        </w:sectPr>
      </w:pPr>
    </w:p>
    <w:p w14:paraId="3435B1F2">
      <w:pPr>
        <w:jc w:val="center"/>
        <w:rPr>
          <w:rFonts w:hint="default" w:ascii="Times New Roman" w:hAnsi="Times New Roman" w:cs="Times New Roman"/>
          <w:sz w:val="24"/>
          <w:szCs w:val="24"/>
        </w:rPr>
      </w:pPr>
      <w:r>
        <w:rPr>
          <w:rFonts w:hint="default"/>
          <w:lang w:val="en-US"/>
        </w:rPr>
        <w:drawing>
          <wp:inline distT="0" distB="0" distL="114300" distR="114300">
            <wp:extent cx="6977380" cy="5245100"/>
            <wp:effectExtent l="0" t="0" r="13970" b="12700"/>
            <wp:docPr id="2" name="Picture 2" descr="nigeria_ioc_capital_allocation_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igeria_ioc_capital_allocation_dashboard"/>
                    <pic:cNvPicPr>
                      <a:picLocks noChangeAspect="1"/>
                    </pic:cNvPicPr>
                  </pic:nvPicPr>
                  <pic:blipFill>
                    <a:blip r:embed="rId4"/>
                    <a:stretch>
                      <a:fillRect/>
                    </a:stretch>
                  </pic:blipFill>
                  <pic:spPr>
                    <a:xfrm>
                      <a:off x="0" y="0"/>
                      <a:ext cx="6977380" cy="5245100"/>
                    </a:xfrm>
                    <a:prstGeom prst="rect">
                      <a:avLst/>
                    </a:prstGeom>
                  </pic:spPr>
                </pic:pic>
              </a:graphicData>
            </a:graphic>
          </wp:inline>
        </w:drawing>
      </w:r>
    </w:p>
    <w:sectPr>
      <w:pgSz w:w="16838" w:h="11906" w:orient="landscape"/>
      <w:pgMar w:top="1800" w:right="1440" w:bottom="180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939B5D"/>
    <w:multiLevelType w:val="singleLevel"/>
    <w:tmpl w:val="79939B5D"/>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C46435"/>
    <w:rsid w:val="2BC46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Strong"/>
    <w:basedOn w:val="5"/>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2026-06-13T07:23:00Z</dcterms:created>
  <dc:creator>Admin</dc:creator>
  <cp:lastModifiedBy>Admin</cp:lastModifiedBy>
  <dcterms:modified xsi:type="dcterms:W3CDTF">2026-06-13T07:34:29Z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33CF07201C9A406EB6D8D459BC53ED40_11</vt:lpwstr>
  </property>
  <property fmtid="{D5CDD505-2E9C-101B-9397-08002B2CF9AE}" pid="4" name="KSOTemplateDocerSaveRecord">
    <vt:lpwstr>eyJoZGlkIjoiOTViZjMyNThlNzc4NjZhMTRjNzI4MWU4MzRkYzg1ZTkifQ==</vt:lpwstr>
  </property>
</Properties>
</file>