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entury Gothic" w:cs="Century Gothic" w:eastAsia="Century Gothic" w:hAnsi="Century Gothic"/>
          <w:sz w:val="44"/>
          <w:szCs w:val="44"/>
        </w:rPr>
      </w:pPr>
      <w:r w:rsidDel="00000000" w:rsidR="00000000" w:rsidRPr="00000000">
        <w:rPr>
          <w:rFonts w:ascii="Century Gothic" w:cs="Century Gothic" w:eastAsia="Century Gothic" w:hAnsi="Century Gothic"/>
          <w:b w:val="1"/>
          <w:bCs w:val="1"/>
          <w:sz w:val="44"/>
          <w:szCs w:val="44"/>
          <w:rtl w:val="0"/>
        </w:rPr>
        <w:t xml:space="preserve">Mauritius Energy Country Briefing</w:t>
      </w:r>
      <w:r w:rsidDel="00000000" w:rsidR="00000000" w:rsidRPr="00000000">
        <w:rPr>
          <w:rFonts w:ascii="Century Gothic" w:cs="Century Gothic" w:eastAsia="Century Gothic" w:hAnsi="Century Gothic"/>
          <w:sz w:val="44"/>
          <w:szCs w:val="44"/>
          <w:rtl w:val="0"/>
        </w:rPr>
        <w:t xml:space="preserve"> </w:t>
      </w:r>
    </w:p>
    <w:p w:rsidR="00000000" w:rsidDel="00000000" w:rsidP="00000000" w:rsidRDefault="00000000" w:rsidRPr="00000000" w14:paraId="00000002">
      <w:pPr>
        <w:spacing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Mauritius is a small island nation in the Indian Ocean with limited indigenous energy resources and a high dependence on imported fuels. Historically characterized by near-total reliance on imported fossil fuels to drive its industrializing economy, the country is navigating acute macroeconomic exposure to volatile global commodity markets. In 2025, the Total Primary Energy Requirement (TPER) reached approximately 1,631,400 tonnes of oil equivalent (toe), with 90.8% sourced from imported petroleum products and coal. To mitigate this extreme structural vulnerability, the Mauritian government has codified an aggressive decarbonization framework, targeting a 60% renewable energy share in the electricity generation mix and the complete phase-out of coal by 2030. Achieving this target requires a fundamental overhaul of utility operations, aggressive deployment of grid-stabilizing assets, and massive capital mobilization into biomass, utility-scale solar PV, and battery storage networks.</w:t>
      </w:r>
    </w:p>
    <w:p w:rsidR="00000000" w:rsidDel="00000000" w:rsidP="00000000" w:rsidRDefault="00000000" w:rsidRPr="00000000" w14:paraId="00000004">
      <w:pPr>
        <w:spacing w:after="200"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Energy Overview &amp; Supply Structure</w:t>
      </w:r>
    </w:p>
    <w:p w:rsidR="00000000" w:rsidDel="00000000" w:rsidP="00000000" w:rsidRDefault="00000000" w:rsidRPr="00000000" w14:paraId="00000005">
      <w:pPr>
        <w:numPr>
          <w:ilvl w:val="0"/>
          <w:numId w:val="5"/>
        </w:numPr>
        <w:spacing w:after="200" w:before="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Primary Energy Supply &amp; Consumption Architecture</w:t>
      </w:r>
    </w:p>
    <w:p w:rsidR="00000000" w:rsidDel="00000000" w:rsidP="00000000" w:rsidRDefault="00000000" w:rsidRPr="00000000" w14:paraId="00000006">
      <w:pPr>
        <w:spacing w:after="200"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core structural dynamic of the Mauritian energy matrix is extreme import dependency. Local energy sources (primarily sugarcane bagasse, localized hydro, wind, landfill gas, and rooftop solar) account for a mere 9.2% of the aggregate primary supply. In 2024, imported fossil fuels accounted for 90.9% of total primary energy requirements, with petroleum products representing 61.1% and coal 29.8%. While total primary energy requirements rose by a modest 1.0% in 2025, Total Final Energy Consumption rose more sharply by 2.5% to 1,037,042 toe, indicating rapid consumer demand growth across the transport and commercial sectors. A positive structural trend is the 10.5% contraction in coal imports, though this was unfortunately offset by a compensatory 6.4% expansion in heavy fuel oil and diesel combustion.</w:t>
      </w:r>
    </w:p>
    <w:p w:rsidR="00000000" w:rsidDel="00000000" w:rsidP="00000000" w:rsidRDefault="00000000" w:rsidRPr="00000000" w14:paraId="00000007">
      <w:pPr>
        <w:spacing w:after="200" w:before="20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8">
      <w:pPr>
        <w:spacing w:after="200" w:before="20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9">
      <w:pPr>
        <w:spacing w:after="200" w:before="200" w:lineRule="auto"/>
        <w:jc w:val="both"/>
        <w:rPr>
          <w:rFonts w:ascii="Century Gothic" w:cs="Century Gothic" w:eastAsia="Century Gothic" w:hAnsi="Century Gothic"/>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2145"/>
        <w:gridCol w:w="1950"/>
        <w:gridCol w:w="1725"/>
        <w:tblGridChange w:id="0">
          <w:tblGrid>
            <w:gridCol w:w="3540"/>
            <w:gridCol w:w="2145"/>
            <w:gridCol w:w="1950"/>
            <w:gridCol w:w="1725"/>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Energy Source (TPER 2025)</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Volume (toe)</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 Share</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YoY Change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431,243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26.4%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Fuel Oil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360,539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Gasolene (Petrol)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233,290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Diesel Oil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228,396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Kerosene (Dual 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120,724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+8.3%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Liquefied Petroleum Gas (LPG)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106,041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Renewables &amp; Indigenous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151,167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 TPER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1,631,400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w:t>
            </w:r>
          </w:p>
        </w:tc>
      </w:tr>
    </w:tbl>
    <w:p w:rsidR="00000000" w:rsidDel="00000000" w:rsidP="00000000" w:rsidRDefault="00000000" w:rsidRPr="00000000" w14:paraId="0000002E">
      <w:pPr>
        <w:ind w:left="72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F">
      <w:pPr>
        <w:numPr>
          <w:ilvl w:val="0"/>
          <w:numId w:val="7"/>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Power Sector Dynamics &amp; Grid Operations</w:t>
      </w:r>
    </w:p>
    <w:p w:rsidR="00000000" w:rsidDel="00000000" w:rsidP="00000000" w:rsidRDefault="00000000" w:rsidRPr="00000000" w14:paraId="00000030">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2025, Mauritian power generation reached 3,551.6 GWh, representing a 3.9% year-on-year expansion. Power system operations are split between the state-owned utility, the Central Electricity Board (CEB), which produced 40-45% of output, and Independent Power Producers (IPPs), which supplied 55-60%. IPPs are closely tied to the island's historical agricultural structure, operating heavy cogenerating plants that burn sugarcane bagasse during the harvest crop season and transition to imported coal during the off-crop season. The island's electricity generation mix remains heavily carbonized: non-renewable fossil fuels generated 82.2% (2,919.1 GWh) of the network's supply in 2025.</w:t>
      </w:r>
    </w:p>
    <w:p w:rsidR="00000000" w:rsidDel="00000000" w:rsidP="00000000" w:rsidRDefault="00000000" w:rsidRPr="00000000" w14:paraId="00000031">
      <w:pPr>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2">
      <w:pPr>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Renewable Energy Development</w:t>
      </w:r>
    </w:p>
    <w:p w:rsidR="00000000" w:rsidDel="00000000" w:rsidP="00000000" w:rsidRDefault="00000000" w:rsidRPr="00000000" w14:paraId="00000033">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transition toward indigenous renewables is no longer an environmental ideal but a fiscal imperative. As shown in the analytical trend below, progress has temporarily stalled, with the renewable electricity share declining slightly from 17.6% in 2023 to 18.2% in 2024. This contraction was driven primarily by an unseasonal 16.6% drop in regional rainfall, which depressed hydroelectric generation, alongside localized contractions in the volume of bagasse available for industrial burning. </w:t>
      </w:r>
    </w:p>
    <w:p w:rsidR="00000000" w:rsidDel="00000000" w:rsidP="00000000" w:rsidRDefault="00000000" w:rsidRPr="00000000" w14:paraId="00000034">
      <w:pPr>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5">
      <w:pPr>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6">
      <w:pPr>
        <w:numPr>
          <w:ilvl w:val="0"/>
          <w:numId w:val="4"/>
        </w:numPr>
        <w:ind w:left="720" w:hanging="360"/>
        <w:jc w:val="both"/>
        <w:rPr>
          <w:rFonts w:ascii="Century Gothic" w:cs="Century Gothic" w:eastAsia="Century Gothic" w:hAnsi="Century Gothic"/>
          <w:b w:val="1"/>
          <w:bCs w:val="1"/>
          <w:sz w:val="22"/>
          <w:szCs w:val="22"/>
          <w:u w:val="none"/>
        </w:rPr>
      </w:pPr>
      <w:r w:rsidDel="00000000" w:rsidR="00000000" w:rsidRPr="00000000">
        <w:rPr>
          <w:rFonts w:ascii="Century Gothic" w:cs="Century Gothic" w:eastAsia="Century Gothic" w:hAnsi="Century Gothic"/>
          <w:b w:val="1"/>
          <w:bCs w:val="1"/>
          <w:sz w:val="22"/>
          <w:szCs w:val="22"/>
          <w:rtl w:val="0"/>
        </w:rPr>
        <w:t xml:space="preserve">Solar Energy</w:t>
      </w:r>
    </w:p>
    <w:p w:rsidR="00000000" w:rsidDel="00000000" w:rsidP="00000000" w:rsidRDefault="00000000" w:rsidRPr="00000000" w14:paraId="00000037">
      <w:pPr>
        <w:spacing w:after="80" w:before="8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Solar PV is the fastest-growing renewable source and the cornerstone of the energy transition strategy. The 2025–2026 National Budget unlocks MUR 30 billion for solar and biomass projects, with an additional 376 MW of renewable capacity targeted by 2028. Government schemes support large utility-scale projects, medium distributed generators, and residential rooftop installations.</w:t>
      </w:r>
    </w:p>
    <w:p w:rsidR="00000000" w:rsidDel="00000000" w:rsidP="00000000" w:rsidRDefault="00000000" w:rsidRPr="00000000" w14:paraId="00000038">
      <w:pPr>
        <w:numPr>
          <w:ilvl w:val="0"/>
          <w:numId w:val="3"/>
        </w:numPr>
        <w:spacing w:after="8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Bioenergy (Bagasse &amp; Biomass)</w:t>
      </w:r>
    </w:p>
    <w:p w:rsidR="00000000" w:rsidDel="00000000" w:rsidP="00000000" w:rsidRDefault="00000000" w:rsidRPr="00000000" w14:paraId="00000039">
      <w:pPr>
        <w:spacing w:after="80" w:before="8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Bioenergy from sugarcane bagasse has historically been the largest renewable source, contributing approximately 10% of total generation. However, declining sugar production has reduced bagasse availability, causing the renewable share to dip from ~22% in 2020 to 18.2% in 2024. The 2025–2026 budget targets biomass expansion to compensate for bagasse decline.</w:t>
      </w:r>
    </w:p>
    <w:p w:rsidR="00000000" w:rsidDel="00000000" w:rsidP="00000000" w:rsidRDefault="00000000" w:rsidRPr="00000000" w14:paraId="0000003A">
      <w:pPr>
        <w:numPr>
          <w:ilvl w:val="0"/>
          <w:numId w:val="6"/>
        </w:numPr>
        <w:spacing w:after="8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Hydropower</w:t>
      </w:r>
    </w:p>
    <w:p w:rsidR="00000000" w:rsidDel="00000000" w:rsidP="00000000" w:rsidRDefault="00000000" w:rsidRPr="00000000" w14:paraId="0000003B">
      <w:pPr>
        <w:spacing w:after="80" w:before="8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CEB operates 10 hydroelectric plants contributes approximately 3–4% of annual electricity generation. of generation. Given the island's limited topography and rainfall patterns, significant hydropower expansion is constrained; the sector is expected to remain a stable but modest contributor.</w:t>
      </w:r>
    </w:p>
    <w:p w:rsidR="00000000" w:rsidDel="00000000" w:rsidP="00000000" w:rsidRDefault="00000000" w:rsidRPr="00000000" w14:paraId="0000003C">
      <w:pPr>
        <w:numPr>
          <w:ilvl w:val="0"/>
          <w:numId w:val="1"/>
        </w:numPr>
        <w:spacing w:after="80" w:lineRule="auto"/>
        <w:ind w:left="720" w:hanging="360"/>
        <w:jc w:val="both"/>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bCs w:val="1"/>
          <w:rtl w:val="0"/>
        </w:rPr>
        <w:t xml:space="preserve">Wind Energy</w:t>
      </w:r>
    </w:p>
    <w:p w:rsidR="00000000" w:rsidDel="00000000" w:rsidP="00000000" w:rsidRDefault="00000000" w:rsidRPr="00000000" w14:paraId="0000003D">
      <w:pPr>
        <w:spacing w:after="80" w:before="8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rtl w:val="0"/>
        </w:rPr>
        <w:t xml:space="preserve">Wind contributes less than 1% of generation and remains a minor component of the electricity mix</w:t>
      </w:r>
      <w:r w:rsidDel="00000000" w:rsidR="00000000" w:rsidRPr="00000000">
        <w:rPr>
          <w:rFonts w:ascii="Century Gothic" w:cs="Century Gothic" w:eastAsia="Century Gothic" w:hAnsi="Century Gothic"/>
          <w:rtl w:val="0"/>
        </w:rPr>
        <w:t xml:space="preserve">, hampered by the island's topography and competitive land-use pressures. Offshore wind presents a potential long-term opportunity but no firm projects are currently under active development.</w:t>
      </w:r>
      <w:r w:rsidDel="00000000" w:rsidR="00000000" w:rsidRPr="00000000">
        <w:rPr>
          <w:rtl w:val="0"/>
        </w:rPr>
      </w:r>
    </w:p>
    <w:p w:rsidR="00000000" w:rsidDel="00000000" w:rsidP="00000000" w:rsidRDefault="00000000" w:rsidRPr="00000000" w14:paraId="0000003E">
      <w:pPr>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26"/>
          <w:szCs w:val="26"/>
          <w:rtl w:val="0"/>
        </w:rPr>
        <w:t xml:space="preserve">Policy Framework</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3F">
      <w:pPr>
        <w:ind w:left="0" w:firstLine="0"/>
        <w:jc w:val="both"/>
        <w:rPr>
          <w:rFonts w:ascii="Century Gothic" w:cs="Century Gothic" w:eastAsia="Century Gothic" w:hAnsi="Century Gothic"/>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2505"/>
        <w:gridCol w:w="4035"/>
        <w:tblGridChange w:id="0">
          <w:tblGrid>
            <w:gridCol w:w="2820"/>
            <w:gridCol w:w="2505"/>
            <w:gridCol w:w="4035"/>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b w:val="1"/>
                <w:bCs w:val="1"/>
                <w:color w:val="ffffff"/>
                <w:rtl w:val="0"/>
              </w:rPr>
              <w:t xml:space="preserve">Instrument</w:t>
            </w:r>
            <w:r w:rsidDel="00000000" w:rsidR="00000000" w:rsidRPr="00000000">
              <w:rPr>
                <w:rFonts w:ascii="Century Gothic" w:cs="Century Gothic" w:eastAsia="Century Gothic" w:hAnsi="Century Gothic"/>
                <w:color w:val="ffffff"/>
                <w:rtl w:val="0"/>
              </w:rPr>
              <w:t xml:space="preserve">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b w:val="1"/>
                <w:bCs w:val="1"/>
                <w:color w:val="ffffff"/>
                <w:rtl w:val="0"/>
              </w:rPr>
              <w:t xml:space="preserve">Year</w:t>
            </w:r>
            <w:r w:rsidDel="00000000" w:rsidR="00000000" w:rsidRPr="00000000">
              <w:rPr>
                <w:rFonts w:ascii="Century Gothic" w:cs="Century Gothic" w:eastAsia="Century Gothic" w:hAnsi="Century Gothic"/>
                <w:color w:val="ffffff"/>
                <w:rtl w:val="0"/>
              </w:rPr>
              <w:t xml:space="preserve">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b w:val="1"/>
                <w:bCs w:val="1"/>
                <w:color w:val="ffffff"/>
                <w:rtl w:val="0"/>
              </w:rPr>
              <w:t xml:space="preserve">Key Provision</w:t>
            </w:r>
            <w:r w:rsidDel="00000000" w:rsidR="00000000" w:rsidRPr="00000000">
              <w:rPr>
                <w:rFonts w:ascii="Century Gothic" w:cs="Century Gothic" w:eastAsia="Century Gothic" w:hAnsi="Century Gothic"/>
                <w:color w:val="ffffff"/>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Nationally Determined Contribution (NDC)</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2016</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40% GHG reduction by 2030 vs. BAU</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Renewable Energy Roadmap 2030</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2019</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60% RE in electricity mix by 2030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Long-Term Energy Strategy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2011–2025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Diversification; demand-side management</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Renewable Energy Strategic Plan (RESP)</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2025–2030</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376 MW additional RE capacity by 2028</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National Budget 2025–2026</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MUR 30bn (USD 662m) for solar &amp; biomass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EV Incentive Framework</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2024–2025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Zero excise duty on EVs; negative excise of 10%</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55">
      <w:pPr>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6">
      <w:pPr>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26"/>
          <w:szCs w:val="26"/>
          <w:rtl w:val="0"/>
        </w:rPr>
        <w:t xml:space="preserve">Investment Landscape</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57">
      <w:pPr>
        <w:spacing w:after="80" w:before="8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Mauritius has attracted multilateral support for its energy transition. A USD 191 million project supported by the Green Climate Fund (GCF) and UNDP targets fossil fuel import reduction and scale-up of renewables over a 20-year horizon. The India-Mauritius CECPA and other trade frameworks provide access to technology and finance. The table below outlines the key energy investment programs in Mauritius.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1800"/>
        <w:gridCol w:w="3060"/>
        <w:gridCol w:w="1620"/>
        <w:tblGridChange w:id="0">
          <w:tblGrid>
            <w:gridCol w:w="2880"/>
            <w:gridCol w:w="1800"/>
            <w:gridCol w:w="3060"/>
            <w:gridCol w:w="1620"/>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b w:val="1"/>
                <w:bCs w:val="1"/>
                <w:color w:val="ffffff"/>
                <w:rtl w:val="0"/>
              </w:rPr>
              <w:t xml:space="preserve">Program / Funder</w:t>
            </w:r>
            <w:r w:rsidDel="00000000" w:rsidR="00000000" w:rsidRPr="00000000">
              <w:rPr>
                <w:rFonts w:ascii="Century Gothic" w:cs="Century Gothic" w:eastAsia="Century Gothic" w:hAnsi="Century Gothic"/>
                <w:color w:val="ffffff"/>
                <w:rtl w:val="0"/>
              </w:rPr>
              <w:t xml:space="preserve">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b w:val="1"/>
                <w:bCs w:val="1"/>
                <w:color w:val="ffffff"/>
                <w:rtl w:val="0"/>
              </w:rPr>
              <w:t xml:space="preserve">Amount</w:t>
            </w:r>
            <w:r w:rsidDel="00000000" w:rsidR="00000000" w:rsidRPr="00000000">
              <w:rPr>
                <w:rFonts w:ascii="Century Gothic" w:cs="Century Gothic" w:eastAsia="Century Gothic" w:hAnsi="Century Gothic"/>
                <w:color w:val="ffffff"/>
                <w:rtl w:val="0"/>
              </w:rPr>
              <w:t xml:space="preserve">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b w:val="1"/>
                <w:bCs w:val="1"/>
                <w:color w:val="ffffff"/>
                <w:rtl w:val="0"/>
              </w:rPr>
              <w:t xml:space="preserve">Focus Area</w:t>
            </w:r>
            <w:r w:rsidDel="00000000" w:rsidR="00000000" w:rsidRPr="00000000">
              <w:rPr>
                <w:rFonts w:ascii="Century Gothic" w:cs="Century Gothic" w:eastAsia="Century Gothic" w:hAnsi="Century Gothic"/>
                <w:color w:val="ffffff"/>
                <w:rtl w:val="0"/>
              </w:rPr>
              <w:t xml:space="preserve">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b w:val="1"/>
                <w:bCs w:val="1"/>
                <w:color w:val="ffffff"/>
                <w:rtl w:val="0"/>
              </w:rPr>
              <w:t xml:space="preserve">Timeline</w:t>
            </w:r>
            <w:r w:rsidDel="00000000" w:rsidR="00000000" w:rsidRPr="00000000">
              <w:rPr>
                <w:rFonts w:ascii="Century Gothic" w:cs="Century Gothic" w:eastAsia="Century Gothic" w:hAnsi="Century Gothic"/>
                <w:color w:val="ffffff"/>
                <w:rtl w:val="0"/>
              </w:rPr>
              <w:t xml:space="preserv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GCF / UNDP Grant</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USD 28.2m</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Regulatory reform &amp; RE scale-up</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2020–2028</w:t>
            </w:r>
            <w:r w:rsidDel="00000000" w:rsidR="00000000" w:rsidRPr="00000000">
              <w:rPr>
                <w:rFonts w:ascii="Century Gothic" w:cs="Century Gothic" w:eastAsia="Century Gothic" w:hAnsi="Century Gothic"/>
                <w:rtl w:val="0"/>
              </w:rPr>
              <w:t xml:space="preserve"> </w:t>
            </w:r>
          </w:p>
        </w:tc>
      </w:tr>
      <w:tr>
        <w:trPr>
          <w:cantSplit w:val="0"/>
          <w:trHeight w:val="85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Agence française de Dev. (AFD)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USD 18.7m</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CEB grid modernization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2022–2026</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National Budget RE Program</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USD 662m</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Solar &amp; biomass capacity addition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2025–2030</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Battery Energy Storage (BESS 2)</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TBD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Grid stabilization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2026–2027</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EV Bus Fleet Renewal</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TBD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Transport electrification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2024–2026</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70">
      <w:pPr>
        <w:spacing w:after="80" w:before="8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1">
      <w:pPr>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Risk </w:t>
      </w:r>
    </w:p>
    <w:p w:rsidR="00000000" w:rsidDel="00000000" w:rsidP="00000000" w:rsidRDefault="00000000" w:rsidRPr="00000000" w14:paraId="00000072">
      <w:pPr>
        <w:numPr>
          <w:ilvl w:val="0"/>
          <w:numId w:val="2"/>
        </w:numPr>
        <w:spacing w:after="200" w:before="8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Import Dependency </w:t>
      </w:r>
    </w:p>
    <w:p w:rsidR="00000000" w:rsidDel="00000000" w:rsidP="00000000" w:rsidRDefault="00000000" w:rsidRPr="00000000" w14:paraId="00000073">
      <w:pPr>
        <w:numPr>
          <w:ilvl w:val="0"/>
          <w:numId w:val="2"/>
        </w:numPr>
        <w:spacing w:after="200" w:before="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Fuel Price Volatility </w:t>
      </w:r>
    </w:p>
    <w:p w:rsidR="00000000" w:rsidDel="00000000" w:rsidP="00000000" w:rsidRDefault="00000000" w:rsidRPr="00000000" w14:paraId="00000074">
      <w:pPr>
        <w:numPr>
          <w:ilvl w:val="0"/>
          <w:numId w:val="2"/>
        </w:numPr>
        <w:spacing w:after="200" w:before="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Grid Stability During Transition </w:t>
      </w:r>
    </w:p>
    <w:p w:rsidR="00000000" w:rsidDel="00000000" w:rsidP="00000000" w:rsidRDefault="00000000" w:rsidRPr="00000000" w14:paraId="00000075">
      <w:pPr>
        <w:numPr>
          <w:ilvl w:val="0"/>
          <w:numId w:val="2"/>
        </w:numPr>
        <w:spacing w:after="200" w:before="8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Climate Vulnerability </w:t>
      </w:r>
    </w:p>
    <w:p w:rsidR="00000000" w:rsidDel="00000000" w:rsidP="00000000" w:rsidRDefault="00000000" w:rsidRPr="00000000" w14:paraId="00000076">
      <w:pPr>
        <w:numPr>
          <w:ilvl w:val="0"/>
          <w:numId w:val="2"/>
        </w:numPr>
        <w:spacing w:after="200" w:before="8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Declining Bagasse Feedstock </w:t>
      </w:r>
    </w:p>
    <w:p w:rsidR="00000000" w:rsidDel="00000000" w:rsidP="00000000" w:rsidRDefault="00000000" w:rsidRPr="00000000" w14:paraId="00000077">
      <w:pPr>
        <w:spacing w:after="240" w:befor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Conclusion</w:t>
      </w:r>
    </w:p>
    <w:p w:rsidR="00000000" w:rsidDel="00000000" w:rsidP="00000000" w:rsidRDefault="00000000" w:rsidRPr="00000000" w14:paraId="00000078">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Mauritius' energy future is likely to be defined less by hydrocarbon development and more by its ability to execute a successful clean energy transition. The country's strong governance framework, stable investment climate, and ambitious renewable energy targets provide a solid foundation for transformation. Over the next decade, the most attractive investment opportunities are expected to be concentrated in: Utility-scale solar PV, Battery Energy Storage Systems (BESS), Biomass and waste-to-energy projects, Smart grid infrastructure, Electric mobility and charging networks, and Green finance and sustainable investment vehicles.</w:t>
      </w:r>
    </w:p>
    <w:p w:rsidR="00000000" w:rsidDel="00000000" w:rsidP="00000000" w:rsidRDefault="00000000" w:rsidRPr="00000000" w14:paraId="00000079">
      <w:pPr>
        <w:spacing w:after="240" w:befor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For investors and energy developers, Mauritius represents one of Africa's most promising renewable energy growth markets, with long-term value creation likely to be driven by decarbonization, energy security enhancement, and technology-led modernization rather than traditional oil and gas development.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