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456" w:rsidRDefault="00E55E8F">
      <w:pPr>
        <w:pStyle w:val="FirstParagraph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X9cd391cdeb1b201246b50b02ee1aa3be38c0e1e"/>
      <w:bookmarkStart w:id="1" w:name="intelligence-note"/>
      <w:r>
        <w:rPr>
          <w:rFonts w:ascii="Times New Roman" w:hAnsi="Times New Roman" w:cs="Times New Roman"/>
          <w:b/>
          <w:bCs/>
          <w:sz w:val="28"/>
          <w:szCs w:val="28"/>
        </w:rPr>
        <w:t>The Emergence of Carbon Capture and Storage (CCS) Opportunities in African Hydrocarbon Basins</w:t>
      </w:r>
    </w:p>
    <w:p w:rsidR="00980456" w:rsidRDefault="00980456">
      <w:pPr>
        <w:jc w:val="both"/>
        <w:rPr>
          <w:rFonts w:ascii="Times New Roman" w:hAnsi="Times New Roman" w:cs="Times New Roman"/>
        </w:rPr>
      </w:pPr>
    </w:p>
    <w:p w:rsidR="00980456" w:rsidRDefault="00E55E8F">
      <w:pPr>
        <w:pStyle w:val="Heading2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bookmarkStart w:id="2" w:name="executive-summary"/>
      <w:bookmarkEnd w:id="0"/>
      <w:r>
        <w:rPr>
          <w:rFonts w:ascii="Times New Roman" w:hAnsi="Times New Roman" w:cs="Times New Roman"/>
          <w:b/>
          <w:bCs/>
          <w:sz w:val="24"/>
          <w:szCs w:val="28"/>
        </w:rPr>
        <w:t>Executive summary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Africa’s hydrocarbon basins represent one of the most significant, yet underexplored, frontiers for Carbon Capture and Storage (CCS) deployment globally. With an estimated combined geological storage potential </w:t>
      </w:r>
      <w:r>
        <w:rPr>
          <w:rFonts w:ascii="Times New Roman" w:hAnsi="Times New Roman" w:cs="Times New Roman"/>
        </w:rPr>
        <w:t xml:space="preserve">exceeding 30 </w:t>
      </w:r>
      <w:proofErr w:type="spellStart"/>
      <w:r>
        <w:rPr>
          <w:rFonts w:ascii="Times New Roman" w:hAnsi="Times New Roman" w:cs="Times New Roman"/>
        </w:rPr>
        <w:t>gigatonnes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Gt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across depleted o</w:t>
      </w:r>
      <w:r>
        <w:rPr>
          <w:rFonts w:ascii="Times New Roman" w:hAnsi="Times New Roman" w:cs="Times New Roman"/>
        </w:rPr>
        <w:t>il and gas fields and deep saline aquifers, the continent possesses subsurface capacity sufficient to accommodate centuries of regional CO₂ emissions. However, CCS development remains nascent: only one industrial-scale project has operated (Algeria’s In Sa</w:t>
      </w:r>
      <w:r>
        <w:rPr>
          <w:rFonts w:ascii="Times New Roman" w:hAnsi="Times New Roman" w:cs="Times New Roman"/>
        </w:rPr>
        <w:t>lah, now suspended), and no African nation has enacted CCS-specific legislation.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Key Judgments:</w:t>
      </w:r>
    </w:p>
    <w:p w:rsidR="00980456" w:rsidRDefault="00E55E8F">
      <w:pPr>
        <w:pStyle w:val="Compac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Geological Advantage:</w:t>
      </w:r>
      <w:r>
        <w:rPr>
          <w:rFonts w:ascii="Times New Roman" w:hAnsi="Times New Roman" w:cs="Times New Roman"/>
        </w:rPr>
        <w:t xml:space="preserve"> North and West African sedimentary basins offer world-class CO₂ storage potential with proven seal integrity demonstrated by millions of y</w:t>
      </w:r>
      <w:r>
        <w:rPr>
          <w:rFonts w:ascii="Times New Roman" w:hAnsi="Times New Roman" w:cs="Times New Roman"/>
        </w:rPr>
        <w:t>ears of hydrocarbon containment.</w:t>
      </w:r>
    </w:p>
    <w:p w:rsidR="00980456" w:rsidRDefault="00E55E8F">
      <w:pPr>
        <w:pStyle w:val="Compac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Economic Catalyst:</w:t>
      </w:r>
      <w:r>
        <w:rPr>
          <w:rFonts w:ascii="Times New Roman" w:hAnsi="Times New Roman" w:cs="Times New Roman"/>
        </w:rPr>
        <w:t xml:space="preserve"> Declining oilfield production, South Africa’s escalating carbon tax (reaching R462/</w:t>
      </w:r>
      <w:proofErr w:type="spellStart"/>
      <w:r>
        <w:rPr>
          <w:rFonts w:ascii="Times New Roman" w:hAnsi="Times New Roman" w:cs="Times New Roman"/>
        </w:rPr>
        <w:t>tCO₂e</w:t>
      </w:r>
      <w:proofErr w:type="spellEnd"/>
      <w:r>
        <w:rPr>
          <w:rFonts w:ascii="Times New Roman" w:hAnsi="Times New Roman" w:cs="Times New Roman"/>
        </w:rPr>
        <w:t xml:space="preserve"> by 2030), and international climate finance are creating a compelling investment case for CCS-Enhanced Oil Recovery</w:t>
      </w:r>
      <w:r>
        <w:rPr>
          <w:rFonts w:ascii="Times New Roman" w:hAnsi="Times New Roman" w:cs="Times New Roman"/>
        </w:rPr>
        <w:t xml:space="preserve"> (EOR) and pure storage.</w:t>
      </w:r>
    </w:p>
    <w:p w:rsidR="00980456" w:rsidRDefault="00E55E8F">
      <w:pPr>
        <w:pStyle w:val="Compac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Regulatory Gap:</w:t>
      </w:r>
      <w:r>
        <w:rPr>
          <w:rFonts w:ascii="Times New Roman" w:hAnsi="Times New Roman" w:cs="Times New Roman"/>
        </w:rPr>
        <w:t xml:space="preserve"> The absence of CCS-specific legal frameworks across all major African hydrocarbon producers is the single greatest barrier to near-term deployment.</w:t>
      </w:r>
    </w:p>
    <w:p w:rsidR="00980456" w:rsidRDefault="00E55E8F">
      <w:pPr>
        <w:pStyle w:val="Compac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Strategic Opportunity:</w:t>
      </w:r>
      <w:r>
        <w:rPr>
          <w:rFonts w:ascii="Times New Roman" w:hAnsi="Times New Roman" w:cs="Times New Roman"/>
        </w:rPr>
        <w:t xml:space="preserve"> First-mover nations (Egypt, Nigeria, </w:t>
      </w:r>
      <w:r w:rsidR="00AC4FFC">
        <w:rPr>
          <w:rFonts w:ascii="Times New Roman" w:hAnsi="Times New Roman" w:cs="Times New Roman"/>
        </w:rPr>
        <w:t>and South</w:t>
      </w:r>
      <w:r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frica) are positioning to capture regional CCS hub status and monetize carbon credits through the Africa Carbon Markets Initiative (ACMI).</w:t>
      </w:r>
    </w:p>
    <w:p w:rsidR="00980456" w:rsidRDefault="00980456">
      <w:pPr>
        <w:jc w:val="both"/>
        <w:rPr>
          <w:rFonts w:ascii="Times New Roman" w:hAnsi="Times New Roman" w:cs="Times New Roman"/>
        </w:rPr>
      </w:pPr>
    </w:p>
    <w:p w:rsidR="00980456" w:rsidRDefault="00980456">
      <w:pPr>
        <w:jc w:val="both"/>
        <w:rPr>
          <w:rFonts w:ascii="Times New Roman" w:hAnsi="Times New Roman" w:cs="Times New Roman"/>
        </w:rPr>
      </w:pPr>
    </w:p>
    <w:p w:rsidR="00980456" w:rsidRDefault="007D12D0">
      <w:pPr>
        <w:pStyle w:val="Heading2"/>
        <w:jc w:val="both"/>
        <w:rPr>
          <w:rFonts w:ascii="Times New Roman" w:hAnsi="Times New Roman" w:cs="Times New Roman"/>
          <w:b/>
          <w:bCs/>
        </w:rPr>
      </w:pPr>
      <w:bookmarkStart w:id="3" w:name="X37614f7f1bd77235e7b9898b85e7dfd1d0b9bb1"/>
      <w:bookmarkEnd w:id="2"/>
      <w:r>
        <w:rPr>
          <w:rFonts w:ascii="Times New Roman" w:hAnsi="Times New Roman" w:cs="Times New Roman"/>
          <w:b/>
          <w:bCs/>
        </w:rPr>
        <w:lastRenderedPageBreak/>
        <w:t>Geological Storage Potential a</w:t>
      </w:r>
      <w:r w:rsidR="00E55E8F">
        <w:rPr>
          <w:rFonts w:ascii="Times New Roman" w:hAnsi="Times New Roman" w:cs="Times New Roman"/>
          <w:b/>
          <w:bCs/>
        </w:rPr>
        <w:t>nd Case Studie</w:t>
      </w:r>
      <w:r w:rsidR="00E55E8F">
        <w:rPr>
          <w:rFonts w:ascii="Times New Roman" w:hAnsi="Times New Roman" w:cs="Times New Roman"/>
          <w:b/>
          <w:bCs/>
        </w:rPr>
        <w:t>s</w:t>
      </w:r>
    </w:p>
    <w:p w:rsidR="00980456" w:rsidRDefault="00E55E8F">
      <w:pPr>
        <w:pStyle w:val="Heading3"/>
        <w:jc w:val="both"/>
        <w:rPr>
          <w:rFonts w:ascii="Times New Roman" w:hAnsi="Times New Roman" w:cs="Times New Roman"/>
        </w:rPr>
      </w:pPr>
      <w:bookmarkStart w:id="4" w:name="storage-resource-overview"/>
      <w:r>
        <w:rPr>
          <w:rFonts w:ascii="Times New Roman" w:hAnsi="Times New Roman" w:cs="Times New Roman"/>
        </w:rPr>
        <w:t>1.1 Storage Resource Overview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Africa’s major sedimentary basins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</w:t>
      </w:r>
      <w:proofErr w:type="spellStart"/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irte</w:t>
      </w:r>
      <w:proofErr w:type="spellEnd"/>
      <w:r>
        <w:rPr>
          <w:rFonts w:ascii="Times New Roman" w:hAnsi="Times New Roman" w:cs="Times New Roman"/>
        </w:rPr>
        <w:t xml:space="preserve"> (Libya), Niger Delta (Nigeria), </w:t>
      </w:r>
      <w:proofErr w:type="spellStart"/>
      <w:r>
        <w:rPr>
          <w:rFonts w:ascii="Times New Roman" w:hAnsi="Times New Roman" w:cs="Times New Roman"/>
        </w:rPr>
        <w:t>Ghadames</w:t>
      </w:r>
      <w:proofErr w:type="spellEnd"/>
      <w:r>
        <w:rPr>
          <w:rFonts w:ascii="Times New Roman" w:hAnsi="Times New Roman" w:cs="Times New Roman"/>
        </w:rPr>
        <w:t xml:space="preserve"> (Algeria/Libya), Western Desert (Egypt), and Karoo (South Africa)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host extensive Paleozoic and Mesozoic sandstone formations with suitable porosity, permeability, and </w:t>
      </w:r>
      <w:proofErr w:type="spellStart"/>
      <w:r>
        <w:rPr>
          <w:rFonts w:ascii="Times New Roman" w:hAnsi="Times New Roman" w:cs="Times New Roman"/>
        </w:rPr>
        <w:t>caprock</w:t>
      </w:r>
      <w:proofErr w:type="spellEnd"/>
      <w:r>
        <w:rPr>
          <w:rFonts w:ascii="Times New Roman" w:hAnsi="Times New Roman" w:cs="Times New Roman"/>
        </w:rPr>
        <w:t xml:space="preserve"> integrity. Depleted reservoirs are </w:t>
      </w:r>
      <w:r>
        <w:rPr>
          <w:rFonts w:ascii="Times New Roman" w:hAnsi="Times New Roman" w:cs="Times New Roman"/>
        </w:rPr>
        <w:t>particularly attractive due to proven containment history, existing infrastructure, and decades of subsurface data.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Country-Level Capacity:</w:t>
      </w:r>
    </w:p>
    <w:tbl>
      <w:tblPr>
        <w:tblStyle w:val="Table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595"/>
        <w:gridCol w:w="2503"/>
        <w:gridCol w:w="2370"/>
        <w:gridCol w:w="2388"/>
      </w:tblGrid>
      <w:tr w:rsidR="00980456" w:rsidTr="0098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Country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Theoretical Capacity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Key Basins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Status</w:t>
            </w:r>
          </w:p>
        </w:tc>
      </w:tr>
      <w:tr w:rsidR="00980456" w:rsidTr="00980456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Nigeria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10.7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GtCO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₂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Niger Delta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Largest in sub-Saharan Africa; 80 </w:t>
            </w:r>
            <w:r>
              <w:rPr>
                <w:rFonts w:ascii="Times New Roman" w:hAnsi="Times New Roman" w:cs="Times New Roman"/>
                <w:color w:val="000000"/>
              </w:rPr>
              <w:t>years of current emissions</w:t>
            </w:r>
          </w:p>
        </w:tc>
      </w:tr>
      <w:tr w:rsidR="00980456" w:rsidTr="00980456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Libya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~10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GtCO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₂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Sirte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Murzuq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Ghadames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Sabratah</w:t>
            </w:r>
            <w:proofErr w:type="spellEnd"/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200 years of current emissions; 3.4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EOR potential</w:t>
            </w:r>
          </w:p>
        </w:tc>
      </w:tr>
      <w:tr w:rsidR="00980456" w:rsidTr="00980456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Algeria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1–5+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GtCO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₂</w:t>
            </w:r>
            <w:r>
              <w:rPr>
                <w:rFonts w:ascii="Times New Roman" w:hAnsi="Times New Roman" w:cs="Times New Roman"/>
                <w:color w:val="000000"/>
              </w:rPr>
              <w:t xml:space="preserve"> (saline)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Ahnet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Gourara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Trias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Ghadames</w:t>
            </w:r>
            <w:proofErr w:type="spellEnd"/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In Salah demonstrated feasibility; 1.7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Gt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EOR potential</w:t>
            </w:r>
          </w:p>
        </w:tc>
      </w:tr>
      <w:tr w:rsidR="00980456" w:rsidTr="00980456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Egypt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Under assessment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Western Desert, Nile Delta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Kharita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Formation screening active; 350,000 t/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yr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target</w:t>
            </w:r>
          </w:p>
        </w:tc>
      </w:tr>
      <w:tr w:rsidR="00980456" w:rsidTr="00980456"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South Africa</w:t>
            </w:r>
          </w:p>
        </w:tc>
        <w:tc>
          <w:tcPr>
            <w:tcW w:w="1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Under assessment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Karoo, Durban Basin</w:t>
            </w:r>
          </w:p>
        </w:tc>
        <w:tc>
          <w:tcPr>
            <w:tcW w:w="1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Demand-driven; coal-dependent economy</w:t>
            </w:r>
          </w:p>
        </w:tc>
      </w:tr>
    </w:tbl>
    <w:p w:rsidR="00980456" w:rsidRDefault="00980456">
      <w:pPr>
        <w:pStyle w:val="Heading3"/>
        <w:jc w:val="both"/>
        <w:rPr>
          <w:rFonts w:ascii="Times New Roman" w:hAnsi="Times New Roman" w:cs="Times New Roman"/>
        </w:rPr>
      </w:pPr>
      <w:bookmarkStart w:id="5" w:name="case-study-in-salah-algeria-20042011"/>
      <w:bookmarkEnd w:id="4"/>
    </w:p>
    <w:p w:rsidR="00980456" w:rsidRDefault="00E55E8F">
      <w:pPr>
        <w:pStyle w:val="Heading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 Case Study: In Salah, Algeria (2004–2011)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In Salah CCS Project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operated by BP, </w:t>
      </w:r>
      <w:proofErr w:type="spellStart"/>
      <w:r>
        <w:rPr>
          <w:rFonts w:ascii="Times New Roman" w:hAnsi="Times New Roman" w:cs="Times New Roman"/>
        </w:rPr>
        <w:t>Sonatrach</w:t>
      </w:r>
      <w:proofErr w:type="spellEnd"/>
      <w:r>
        <w:rPr>
          <w:rFonts w:ascii="Times New Roman" w:hAnsi="Times New Roman" w:cs="Times New Roman"/>
        </w:rPr>
        <w:t>, and Statoil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remains Africa’s only industrial-sc</w:t>
      </w:r>
      <w:r>
        <w:rPr>
          <w:rFonts w:ascii="Times New Roman" w:hAnsi="Times New Roman" w:cs="Times New Roman"/>
        </w:rPr>
        <w:t xml:space="preserve">ale CCS demonstration. It captured CO₂ from gas processing at </w:t>
      </w:r>
      <w:proofErr w:type="spellStart"/>
      <w:r>
        <w:rPr>
          <w:rFonts w:ascii="Times New Roman" w:hAnsi="Times New Roman" w:cs="Times New Roman"/>
        </w:rPr>
        <w:t>Krechba</w:t>
      </w:r>
      <w:proofErr w:type="spellEnd"/>
      <w:r>
        <w:rPr>
          <w:rFonts w:ascii="Times New Roman" w:hAnsi="Times New Roman" w:cs="Times New Roman"/>
        </w:rPr>
        <w:t xml:space="preserve"> and injected </w:t>
      </w:r>
      <w:r>
        <w:rPr>
          <w:rFonts w:ascii="Times New Roman" w:hAnsi="Times New Roman" w:cs="Times New Roman"/>
        </w:rPr>
        <w:t>3.8 Mt</w:t>
      </w:r>
      <w:r>
        <w:rPr>
          <w:rFonts w:ascii="Times New Roman" w:hAnsi="Times New Roman" w:cs="Times New Roman"/>
        </w:rPr>
        <w:t xml:space="preserve"> into a Carboniferous sandstone reservoir at 1,900 m depth via three ho</w:t>
      </w:r>
      <w:r>
        <w:rPr>
          <w:rFonts w:ascii="Times New Roman" w:hAnsi="Times New Roman" w:cs="Times New Roman"/>
        </w:rPr>
        <w:t>rizontal wells.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Critical Lessons: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Geomechanical</w:t>
      </w:r>
      <w:proofErr w:type="spellEnd"/>
      <w:r>
        <w:rPr>
          <w:rFonts w:ascii="Times New Roman" w:hAnsi="Times New Roman" w:cs="Times New Roman"/>
        </w:rPr>
        <w:t xml:space="preserve"> risk: </w:t>
      </w:r>
      <w:proofErr w:type="spellStart"/>
      <w:r>
        <w:rPr>
          <w:rFonts w:ascii="Times New Roman" w:hAnsi="Times New Roman" w:cs="Times New Roman"/>
        </w:rPr>
        <w:t>InSAR</w:t>
      </w:r>
      <w:proofErr w:type="spellEnd"/>
      <w:r>
        <w:rPr>
          <w:rFonts w:ascii="Times New Roman" w:hAnsi="Times New Roman" w:cs="Times New Roman"/>
        </w:rPr>
        <w:t xml:space="preserve"> detected surface deformation from pressure changes, prompting injection suspension in 2011.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Legacy well integrity: A minor leak through 1980-vintage well KB-5 highlighted the need for pre-injection wellbore assessment.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Monitoring necessity: Comprehensive baseline data and flexible operational design are essential.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remaining 13.2 Mt of </w:t>
      </w:r>
      <w:proofErr w:type="spellStart"/>
      <w:r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rechba</w:t>
      </w:r>
      <w:proofErr w:type="spellEnd"/>
      <w:r>
        <w:rPr>
          <w:rFonts w:ascii="Times New Roman" w:hAnsi="Times New Roman" w:cs="Times New Roman"/>
        </w:rPr>
        <w:t xml:space="preserve"> capacity is classified as “Contingent—Not Viable” due to the absence of reinjection plans and Algeria’s lack of CCS-specific regulatio</w:t>
      </w:r>
      <w:r>
        <w:rPr>
          <w:rFonts w:ascii="Times New Roman" w:hAnsi="Times New Roman" w:cs="Times New Roman"/>
        </w:rPr>
        <w:t>n.</w:t>
      </w:r>
    </w:p>
    <w:p w:rsidR="00980456" w:rsidRDefault="00980456">
      <w:pPr>
        <w:pStyle w:val="Heading3"/>
        <w:jc w:val="both"/>
        <w:rPr>
          <w:rFonts w:ascii="Times New Roman" w:hAnsi="Times New Roman" w:cs="Times New Roman"/>
        </w:rPr>
      </w:pPr>
      <w:bookmarkStart w:id="6" w:name="emerging-projects"/>
      <w:bookmarkEnd w:id="5"/>
    </w:p>
    <w:p w:rsidR="00980456" w:rsidRDefault="00E55E8F">
      <w:pPr>
        <w:pStyle w:val="Heading3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1.3 Emerging Projects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Egypt: Amended its Investment Law (2022) for unified CCS project approval. OGCI is assess</w:t>
      </w:r>
      <w:r>
        <w:rPr>
          <w:rFonts w:ascii="Times New Roman" w:hAnsi="Times New Roman" w:cs="Times New Roman"/>
        </w:rPr>
        <w:t xml:space="preserve">ing Northern Egypt CCS hubs. SLB identified the </w:t>
      </w:r>
      <w:proofErr w:type="spellStart"/>
      <w:r>
        <w:rPr>
          <w:rFonts w:ascii="Times New Roman" w:hAnsi="Times New Roman" w:cs="Times New Roman"/>
        </w:rPr>
        <w:t>Kharita</w:t>
      </w:r>
      <w:proofErr w:type="spellEnd"/>
      <w:r>
        <w:rPr>
          <w:rFonts w:ascii="Times New Roman" w:hAnsi="Times New Roman" w:cs="Times New Roman"/>
        </w:rPr>
        <w:t xml:space="preserve"> Formation for 350,000 t/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sequestration. However, CO₂ classification (waste vs. commodity) remains unresolved.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Libya: </w:t>
      </w:r>
      <w:proofErr w:type="spellStart"/>
      <w:r>
        <w:rPr>
          <w:rFonts w:ascii="Times New Roman" w:hAnsi="Times New Roman" w:cs="Times New Roman"/>
        </w:rPr>
        <w:t>Eni</w:t>
      </w:r>
      <w:proofErr w:type="spellEnd"/>
      <w:r>
        <w:rPr>
          <w:rFonts w:ascii="Times New Roman" w:hAnsi="Times New Roman" w:cs="Times New Roman"/>
        </w:rPr>
        <w:t xml:space="preserve"> and NOC signed a 2023 agreement for offshore gas development (Area D) with pl</w:t>
      </w:r>
      <w:r>
        <w:rPr>
          <w:rFonts w:ascii="Times New Roman" w:hAnsi="Times New Roman" w:cs="Times New Roman"/>
        </w:rPr>
        <w:t xml:space="preserve">anned CCS integration at </w:t>
      </w:r>
      <w:proofErr w:type="spellStart"/>
      <w:r>
        <w:rPr>
          <w:rFonts w:ascii="Times New Roman" w:hAnsi="Times New Roman" w:cs="Times New Roman"/>
        </w:rPr>
        <w:t>Mellitah</w:t>
      </w:r>
      <w:proofErr w:type="spellEnd"/>
      <w:r>
        <w:rPr>
          <w:rFonts w:ascii="Times New Roman" w:hAnsi="Times New Roman" w:cs="Times New Roman"/>
        </w:rPr>
        <w:t xml:space="preserve">. NOC has committed to zero routine flaring by 2030. Combined basin capacity exceeds 6 </w:t>
      </w:r>
      <w:proofErr w:type="spellStart"/>
      <w:r>
        <w:rPr>
          <w:rFonts w:ascii="Times New Roman" w:hAnsi="Times New Roman" w:cs="Times New Roman"/>
        </w:rPr>
        <w:t>GtCO</w:t>
      </w:r>
      <w:proofErr w:type="spellEnd"/>
      <w:r>
        <w:rPr>
          <w:rFonts w:ascii="Times New Roman" w:hAnsi="Times New Roman" w:cs="Times New Roman"/>
        </w:rPr>
        <w:t>₂ effective storage.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Nigeria: Launching a $2.5 billion carbon market plan under ACMI and establishing a CCUS Centre of Excellence. E</w:t>
      </w:r>
      <w:r>
        <w:rPr>
          <w:rFonts w:ascii="Times New Roman" w:hAnsi="Times New Roman" w:cs="Times New Roman"/>
        </w:rPr>
        <w:t>xisting oil/gas infrastructure provides a foundation for clustered capture and shared transport.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South Africa: The Climate Change Act (2024) mandates carbon budgets and </w:t>
      </w:r>
      <w:proofErr w:type="spellStart"/>
      <w:r>
        <w:rPr>
          <w:rFonts w:ascii="Times New Roman" w:hAnsi="Times New Roman" w:cs="Times New Roman"/>
        </w:rPr>
        <w:t>sectoral</w:t>
      </w:r>
      <w:proofErr w:type="spellEnd"/>
      <w:r>
        <w:rPr>
          <w:rFonts w:ascii="Times New Roman" w:hAnsi="Times New Roman" w:cs="Times New Roman"/>
        </w:rPr>
        <w:t xml:space="preserve"> emission targets. Carbon tax escalates from R190 to R462/</w:t>
      </w:r>
      <w:proofErr w:type="spellStart"/>
      <w:r>
        <w:rPr>
          <w:rFonts w:ascii="Times New Roman" w:hAnsi="Times New Roman" w:cs="Times New Roman"/>
        </w:rPr>
        <w:t>tCO₂e</w:t>
      </w:r>
      <w:proofErr w:type="spellEnd"/>
      <w:r>
        <w:rPr>
          <w:rFonts w:ascii="Times New Roman" w:hAnsi="Times New Roman" w:cs="Times New Roman"/>
        </w:rPr>
        <w:t xml:space="preserve"> by 2030, creati</w:t>
      </w:r>
      <w:r>
        <w:rPr>
          <w:rFonts w:ascii="Times New Roman" w:hAnsi="Times New Roman" w:cs="Times New Roman"/>
        </w:rPr>
        <w:t>ng direct economic demand for CCS. SACCCS has mapped storage atlas sites.</w:t>
      </w:r>
      <w:bookmarkStart w:id="7" w:name="X1848325bcc85831679353a767d7fea4aa3576fc"/>
      <w:bookmarkEnd w:id="3"/>
      <w:bookmarkEnd w:id="6"/>
    </w:p>
    <w:p w:rsidR="00980456" w:rsidRDefault="00980456">
      <w:pPr>
        <w:pStyle w:val="Heading2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80456" w:rsidRDefault="00980456">
      <w:pPr>
        <w:pStyle w:val="Heading2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980456" w:rsidRDefault="00980456">
      <w:pPr>
        <w:pStyle w:val="BodyText"/>
        <w:rPr>
          <w:rFonts w:ascii="Times New Roman" w:hAnsi="Times New Roman" w:cs="Times New Roman"/>
          <w:b/>
          <w:bCs/>
          <w:szCs w:val="28"/>
        </w:rPr>
      </w:pPr>
    </w:p>
    <w:p w:rsidR="00980456" w:rsidRDefault="00980456">
      <w:pPr>
        <w:pStyle w:val="BodyText"/>
        <w:rPr>
          <w:rFonts w:ascii="Times New Roman" w:hAnsi="Times New Roman" w:cs="Times New Roman"/>
          <w:b/>
          <w:bCs/>
          <w:szCs w:val="28"/>
        </w:rPr>
      </w:pPr>
    </w:p>
    <w:p w:rsidR="00980456" w:rsidRDefault="00E55E8F">
      <w:pPr>
        <w:pStyle w:val="Heading2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lastRenderedPageBreak/>
        <w:t xml:space="preserve">Regulatory, Economic, </w:t>
      </w:r>
      <w:r>
        <w:rPr>
          <w:rFonts w:ascii="Times New Roman" w:hAnsi="Times New Roman" w:cs="Times New Roman"/>
          <w:b/>
          <w:bCs/>
          <w:sz w:val="24"/>
          <w:szCs w:val="28"/>
        </w:rPr>
        <w:t>a</w:t>
      </w:r>
      <w:r>
        <w:rPr>
          <w:rFonts w:ascii="Times New Roman" w:hAnsi="Times New Roman" w:cs="Times New Roman"/>
          <w:b/>
          <w:bCs/>
          <w:sz w:val="24"/>
          <w:szCs w:val="28"/>
        </w:rPr>
        <w:t>nd Strategic Assessment</w:t>
      </w:r>
    </w:p>
    <w:p w:rsidR="00980456" w:rsidRDefault="00980456">
      <w:pPr>
        <w:pStyle w:val="Heading3"/>
        <w:jc w:val="both"/>
        <w:rPr>
          <w:rFonts w:ascii="Times New Roman" w:hAnsi="Times New Roman" w:cs="Times New Roman"/>
        </w:rPr>
      </w:pPr>
      <w:bookmarkStart w:id="8" w:name="regulatory-landscape-the-critical-gap"/>
    </w:p>
    <w:p w:rsidR="00980456" w:rsidRDefault="00E55E8F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Regulatory Landscape: The Critical Gap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African hydrocarbon producer has enacted CCS-specific legislation. The table below s</w:t>
      </w:r>
      <w:r>
        <w:rPr>
          <w:rFonts w:ascii="Times New Roman" w:hAnsi="Times New Roman" w:cs="Times New Roman"/>
        </w:rPr>
        <w:t>ummarizes the regulatory status:</w:t>
      </w:r>
    </w:p>
    <w:tbl>
      <w:tblPr>
        <w:tblStyle w:val="Table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877"/>
        <w:gridCol w:w="2310"/>
        <w:gridCol w:w="4669"/>
      </w:tblGrid>
      <w:tr w:rsidR="00980456" w:rsidTr="0098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Country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CCS Framework</w:t>
            </w:r>
          </w:p>
        </w:tc>
        <w:tc>
          <w:tcPr>
            <w:tcW w:w="2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Key Gap</w:t>
            </w:r>
          </w:p>
        </w:tc>
      </w:tr>
      <w:tr w:rsidR="00980456" w:rsidTr="00980456"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Algeria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None</w:t>
            </w:r>
          </w:p>
        </w:tc>
        <w:tc>
          <w:tcPr>
            <w:tcW w:w="2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Hydrocarbon Law (19-13) only; no pore space ownership defined</w:t>
            </w:r>
          </w:p>
        </w:tc>
      </w:tr>
      <w:tr w:rsidR="00980456" w:rsidTr="00980456"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Nigeria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 development</w:t>
            </w:r>
          </w:p>
        </w:tc>
        <w:tc>
          <w:tcPr>
            <w:tcW w:w="2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CCUS Centre planned; no fiscal incentives enacted</w:t>
            </w:r>
          </w:p>
        </w:tc>
      </w:tr>
      <w:tr w:rsidR="00980456" w:rsidTr="00980456"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Libya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None</w:t>
            </w:r>
          </w:p>
        </w:tc>
        <w:tc>
          <w:tcPr>
            <w:tcW w:w="2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No comprehensive legislation; </w:t>
            </w:r>
            <w:r>
              <w:rPr>
                <w:rFonts w:ascii="Times New Roman" w:hAnsi="Times New Roman" w:cs="Times New Roman"/>
                <w:color w:val="000000"/>
              </w:rPr>
              <w:t>NOC commitments only</w:t>
            </w:r>
          </w:p>
        </w:tc>
      </w:tr>
      <w:tr w:rsidR="00980456" w:rsidTr="00980456"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Egypt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Partial</w:t>
            </w:r>
          </w:p>
        </w:tc>
        <w:tc>
          <w:tcPr>
            <w:tcW w:w="2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Investment Law amendment; CO₂ classification unresolved</w:t>
            </w:r>
          </w:p>
        </w:tc>
      </w:tr>
      <w:tr w:rsidR="00980456" w:rsidTr="00980456"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 Africa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Most advanced</w:t>
            </w:r>
          </w:p>
        </w:tc>
        <w:tc>
          <w:tcPr>
            <w:tcW w:w="2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Carbon Tax Act + Climate Change Act; no CCS-specific law</w:t>
            </w:r>
          </w:p>
        </w:tc>
      </w:tr>
    </w:tbl>
    <w:p w:rsidR="00980456" w:rsidRDefault="00980456">
      <w:pPr>
        <w:pStyle w:val="BodyText"/>
        <w:jc w:val="both"/>
        <w:rPr>
          <w:rFonts w:ascii="Times New Roman" w:hAnsi="Times New Roman" w:cs="Times New Roman"/>
          <w:b/>
          <w:bCs/>
        </w:rPr>
      </w:pP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Five critical regulatory gaps persist across the continent:</w:t>
      </w:r>
      <w:r>
        <w:rPr>
          <w:rFonts w:ascii="Times New Roman" w:hAnsi="Times New Roman" w:cs="Times New Roman"/>
        </w:rPr>
        <w:t xml:space="preserve"> </w:t>
      </w:r>
    </w:p>
    <w:p w:rsidR="00980456" w:rsidRDefault="00E55E8F">
      <w:pPr>
        <w:pStyle w:val="Body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Pore space owner</w:t>
      </w:r>
      <w:r>
        <w:rPr>
          <w:rFonts w:ascii="Times New Roman" w:hAnsi="Times New Roman" w:cs="Times New Roman"/>
        </w:rPr>
        <w:t xml:space="preserve">ship — undefined in all jurisdictions </w:t>
      </w:r>
    </w:p>
    <w:p w:rsidR="00980456" w:rsidRDefault="00E55E8F">
      <w:pPr>
        <w:pStyle w:val="Body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Long-term liability — post-closure responsibility unallocated </w:t>
      </w:r>
    </w:p>
    <w:p w:rsidR="00980456" w:rsidRDefault="00E55E8F">
      <w:pPr>
        <w:pStyle w:val="Body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CO₂ classification — waste, commodity, or regulated substance?</w:t>
      </w:r>
    </w:p>
    <w:p w:rsidR="00980456" w:rsidRDefault="00E55E8F">
      <w:pPr>
        <w:pStyle w:val="BodyTex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MRV standards — no standardized monitoring, reporting, verification protocols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Cross-bor</w:t>
      </w:r>
      <w:r>
        <w:rPr>
          <w:rFonts w:ascii="Times New Roman" w:hAnsi="Times New Roman" w:cs="Times New Roman"/>
        </w:rPr>
        <w:t xml:space="preserve">der transport </w:t>
      </w:r>
      <w:r>
        <w:rPr>
          <w:rFonts w:ascii="Times New Roman" w:hAnsi="Times New Roman" w:cs="Times New Roman"/>
        </w:rPr>
        <w:t>— no legal frameworks for regional hub development</w:t>
      </w:r>
    </w:p>
    <w:p w:rsidR="00980456" w:rsidRDefault="00980456">
      <w:pPr>
        <w:pStyle w:val="Heading3"/>
        <w:jc w:val="both"/>
        <w:rPr>
          <w:rFonts w:ascii="Times New Roman" w:hAnsi="Times New Roman" w:cs="Times New Roman"/>
        </w:rPr>
      </w:pPr>
      <w:bookmarkStart w:id="9" w:name="economic-viability"/>
      <w:bookmarkEnd w:id="8"/>
    </w:p>
    <w:p w:rsidR="00980456" w:rsidRDefault="00E55E8F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Economic Viability</w:t>
      </w:r>
    </w:p>
    <w:tbl>
      <w:tblPr>
        <w:tblStyle w:val="Table"/>
        <w:tblW w:w="5000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2566"/>
        <w:gridCol w:w="6290"/>
      </w:tblGrid>
      <w:tr w:rsidR="00980456" w:rsidTr="0098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Cost/Revenue Element</w:t>
            </w:r>
          </w:p>
        </w:tc>
        <w:tc>
          <w:tcPr>
            <w:tcW w:w="3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Range</w:t>
            </w:r>
          </w:p>
        </w:tc>
      </w:tr>
      <w:tr w:rsidR="00980456" w:rsidTr="00980456"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Capture</w:t>
            </w:r>
          </w:p>
        </w:tc>
        <w:tc>
          <w:tcPr>
            <w:tcW w:w="3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$50–$120/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tCO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₂ (post-combustion); lower for high-concentration streams</w:t>
            </w:r>
          </w:p>
        </w:tc>
      </w:tr>
      <w:tr w:rsidR="00980456" w:rsidTr="00980456"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Transport</w:t>
            </w:r>
          </w:p>
        </w:tc>
        <w:tc>
          <w:tcPr>
            <w:tcW w:w="3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Variable; existing pipelines can be repurposed</w:t>
            </w:r>
          </w:p>
        </w:tc>
      </w:tr>
      <w:tr w:rsidR="00980456" w:rsidTr="00980456"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Storage/Injection</w:t>
            </w:r>
          </w:p>
        </w:tc>
        <w:tc>
          <w:tcPr>
            <w:tcW w:w="3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$5–$30/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tCO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₂</w:t>
            </w:r>
          </w:p>
        </w:tc>
      </w:tr>
      <w:tr w:rsidR="00980456" w:rsidTr="00980456"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EOR Revenue Offset</w:t>
            </w:r>
          </w:p>
        </w:tc>
        <w:tc>
          <w:tcPr>
            <w:tcW w:w="3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$30–$80/barrel incremental oil</w:t>
            </w:r>
          </w:p>
        </w:tc>
      </w:tr>
      <w:tr w:rsidR="00980456" w:rsidTr="00980456">
        <w:tc>
          <w:tcPr>
            <w:tcW w:w="1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South Africa Carbon Tax (2030)</w:t>
            </w:r>
          </w:p>
        </w:tc>
        <w:tc>
          <w:tcPr>
            <w:tcW w:w="3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R462/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tCO₂e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(~$27/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tCO₂e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</w:tr>
    </w:tbl>
    <w:p w:rsidR="00980456" w:rsidRDefault="00980456">
      <w:pPr>
        <w:pStyle w:val="BodyText"/>
        <w:jc w:val="both"/>
        <w:rPr>
          <w:rFonts w:ascii="Times New Roman" w:hAnsi="Times New Roman" w:cs="Times New Roman"/>
          <w:b/>
          <w:bCs/>
        </w:rPr>
      </w:pP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Revenue streams:</w:t>
      </w:r>
      <w:r>
        <w:rPr>
          <w:rFonts w:ascii="Times New Roman" w:hAnsi="Times New Roman" w:cs="Times New Roman"/>
        </w:rPr>
        <w:t xml:space="preserve"> Carbon credits (voluntary and compliance markets), EOR production, low-carbon product premiums (blue hydrogen, low-carbon LNG), climate finance (World Bank CCS Trust Fund, GCF), and carbon tax avoidance (South Africa).</w:t>
      </w:r>
    </w:p>
    <w:p w:rsidR="00980456" w:rsidRDefault="00980456">
      <w:pPr>
        <w:pStyle w:val="Heading3"/>
        <w:jc w:val="both"/>
        <w:rPr>
          <w:rFonts w:ascii="Times New Roman" w:hAnsi="Times New Roman" w:cs="Times New Roman"/>
        </w:rPr>
      </w:pPr>
      <w:bookmarkStart w:id="10" w:name="strategic-risks-and-opportunities"/>
      <w:bookmarkEnd w:id="9"/>
    </w:p>
    <w:p w:rsidR="00980456" w:rsidRDefault="00E55E8F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 Strategic Risks and Opportuniti</w:t>
      </w:r>
      <w:r>
        <w:rPr>
          <w:rFonts w:ascii="Times New Roman" w:hAnsi="Times New Roman" w:cs="Times New Roman"/>
          <w:sz w:val="24"/>
          <w:szCs w:val="24"/>
        </w:rPr>
        <w:t>es</w:t>
      </w:r>
    </w:p>
    <w:p w:rsidR="00980456" w:rsidRDefault="00980456">
      <w:pPr>
        <w:pStyle w:val="FirstParagraph"/>
        <w:jc w:val="both"/>
        <w:rPr>
          <w:rFonts w:ascii="Times New Roman" w:hAnsi="Times New Roman" w:cs="Times New Roman"/>
          <w:b/>
          <w:bCs/>
        </w:rPr>
      </w:pP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Risks:</w:t>
      </w:r>
      <w:r>
        <w:rPr>
          <w:rFonts w:ascii="Times New Roman" w:hAnsi="Times New Roman" w:cs="Times New Roman"/>
        </w:rPr>
        <w:t xml:space="preserve"> 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Geological: Inadequate characterization can trigger </w:t>
      </w:r>
      <w:proofErr w:type="spellStart"/>
      <w:r>
        <w:rPr>
          <w:rFonts w:ascii="Times New Roman" w:hAnsi="Times New Roman" w:cs="Times New Roman"/>
        </w:rPr>
        <w:t>geomechanical</w:t>
      </w:r>
      <w:proofErr w:type="spellEnd"/>
      <w:r>
        <w:rPr>
          <w:rFonts w:ascii="Times New Roman" w:hAnsi="Times New Roman" w:cs="Times New Roman"/>
        </w:rPr>
        <w:t xml:space="preserve"> failure (In Salah precedent).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Regulatory: Absence of CCS laws creates permitting delays and liability uncertainty. 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Political/Security: Niger Delta, </w:t>
      </w:r>
      <w:proofErr w:type="spellStart"/>
      <w:r>
        <w:rPr>
          <w:rFonts w:ascii="Times New Roman" w:hAnsi="Times New Roman" w:cs="Times New Roman"/>
        </w:rPr>
        <w:t>Sirte</w:t>
      </w:r>
      <w:proofErr w:type="spellEnd"/>
      <w:r>
        <w:rPr>
          <w:rFonts w:ascii="Times New Roman" w:hAnsi="Times New Roman" w:cs="Times New Roman"/>
        </w:rPr>
        <w:t xml:space="preserve"> Basin, and </w:t>
      </w:r>
      <w:proofErr w:type="spellStart"/>
      <w:r>
        <w:rPr>
          <w:rFonts w:ascii="Times New Roman" w:hAnsi="Times New Roman" w:cs="Times New Roman"/>
        </w:rPr>
        <w:t>Cabo</w:t>
      </w:r>
      <w:proofErr w:type="spellEnd"/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 xml:space="preserve">elgado face operational disruption risks. 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Economic: Low oil or carbon prices below break-even render projects unviable.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Reputational: “Carbon colonialism” concerns—developed nations using African storage without local benefit. 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Capacity:</w:t>
      </w:r>
      <w:r>
        <w:rPr>
          <w:rFonts w:ascii="Times New Roman" w:hAnsi="Times New Roman" w:cs="Times New Roman"/>
        </w:rPr>
        <w:t xml:space="preserve"> Limited local CCS expertise necessitates costly international contractors.</w:t>
      </w:r>
    </w:p>
    <w:p w:rsidR="00980456" w:rsidRDefault="00980456">
      <w:pPr>
        <w:pStyle w:val="BodyText"/>
        <w:jc w:val="both"/>
        <w:rPr>
          <w:rFonts w:ascii="Times New Roman" w:hAnsi="Times New Roman" w:cs="Times New Roman"/>
          <w:b/>
          <w:bCs/>
        </w:rPr>
      </w:pPr>
    </w:p>
    <w:p w:rsidR="00980456" w:rsidRDefault="00E55E8F">
      <w:pPr>
        <w:pStyle w:val="BodyTex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Opportunities: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Regional hub leadership: Egypt (Mediterranean), Nigeria (Gulf of Guinea), and South Africa (industrial) can establish first-mover hub status.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Transition finance: CCS qualifies for green bonds, sustainability-linked loans, and climate fund grants.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CBAM resilience: Industrial CCS enables African exporters to maintain EU market access under the Carbon Border Adjustment Mechanism.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- Blue hydro</w:t>
      </w:r>
      <w:r>
        <w:rPr>
          <w:rFonts w:ascii="Times New Roman" w:hAnsi="Times New Roman" w:cs="Times New Roman"/>
        </w:rPr>
        <w:t xml:space="preserve">gen exports: CCS-enabled hydrogen from natural gas targets European demand.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Field life extension: CO₂-EOR can extend mature fields by 10–20 years.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Carbon credit monetization: A</w:t>
      </w:r>
      <w:r>
        <w:rPr>
          <w:rFonts w:ascii="Times New Roman" w:hAnsi="Times New Roman" w:cs="Times New Roman"/>
        </w:rPr>
        <w:t xml:space="preserve">CMI targets </w:t>
      </w:r>
      <w:r>
        <w:rPr>
          <w:rFonts w:ascii="Times New Roman" w:hAnsi="Times New Roman" w:cs="Times New Roman"/>
        </w:rPr>
        <w:t>$2.5 billion</w:t>
      </w:r>
      <w:r>
        <w:rPr>
          <w:rFonts w:ascii="Times New Roman" w:hAnsi="Times New Roman" w:cs="Times New Roman"/>
        </w:rPr>
        <w:t xml:space="preserve"> in African carbon credit value; CCS projects are </w:t>
      </w:r>
      <w:r>
        <w:rPr>
          <w:rFonts w:ascii="Times New Roman" w:hAnsi="Times New Roman" w:cs="Times New Roman"/>
        </w:rPr>
        <w:t>eligible.</w:t>
      </w:r>
    </w:p>
    <w:p w:rsidR="00980456" w:rsidRDefault="00980456">
      <w:pPr>
        <w:jc w:val="both"/>
        <w:rPr>
          <w:rFonts w:ascii="Times New Roman" w:hAnsi="Times New Roman" w:cs="Times New Roman"/>
        </w:rPr>
      </w:pPr>
    </w:p>
    <w:p w:rsidR="00980456" w:rsidRDefault="00AC4FFC">
      <w:pPr>
        <w:pStyle w:val="Heading2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bookmarkStart w:id="11" w:name="forecast-and-recommendations"/>
      <w:bookmarkEnd w:id="7"/>
      <w:bookmarkEnd w:id="10"/>
      <w:r>
        <w:rPr>
          <w:rFonts w:ascii="Times New Roman" w:hAnsi="Times New Roman" w:cs="Times New Roman"/>
          <w:b/>
          <w:bCs/>
          <w:sz w:val="24"/>
          <w:szCs w:val="28"/>
        </w:rPr>
        <w:t>3. Forecast a</w:t>
      </w:r>
      <w:r w:rsidR="00E55E8F">
        <w:rPr>
          <w:rFonts w:ascii="Times New Roman" w:hAnsi="Times New Roman" w:cs="Times New Roman"/>
          <w:b/>
          <w:bCs/>
          <w:sz w:val="24"/>
          <w:szCs w:val="28"/>
        </w:rPr>
        <w:t>nd Recommendations</w:t>
      </w:r>
    </w:p>
    <w:p w:rsidR="00980456" w:rsidRDefault="00E55E8F">
      <w:pPr>
        <w:pStyle w:val="Heading3"/>
        <w:jc w:val="both"/>
        <w:rPr>
          <w:rFonts w:ascii="Times New Roman" w:hAnsi="Times New Roman" w:cs="Times New Roman"/>
        </w:rPr>
      </w:pPr>
      <w:bookmarkStart w:id="12" w:name="scenario-outlook-20262030"/>
      <w:r>
        <w:rPr>
          <w:rFonts w:ascii="Times New Roman" w:hAnsi="Times New Roman" w:cs="Times New Roman"/>
          <w:sz w:val="24"/>
          <w:szCs w:val="24"/>
        </w:rPr>
        <w:t>3.1 Scenario Outlook (2026–2030)</w:t>
      </w:r>
    </w:p>
    <w:tbl>
      <w:tblPr>
        <w:tblStyle w:val="Table"/>
        <w:tblW w:w="4999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1674"/>
        <w:gridCol w:w="2215"/>
        <w:gridCol w:w="2054"/>
        <w:gridCol w:w="2911"/>
      </w:tblGrid>
      <w:tr w:rsidR="00980456" w:rsidTr="00980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Scenario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Projects to FID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Capacity by 2030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Drivers</w:t>
            </w:r>
          </w:p>
        </w:tc>
      </w:tr>
      <w:tr w:rsidR="00980456" w:rsidTr="00980456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Base Case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1–2 (Egypt, Nigeria)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1–2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MtCO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₂/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yr</w:t>
            </w:r>
            <w:proofErr w:type="spellEnd"/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Pilot studies advance; regulations drafted but not enacted</w:t>
            </w:r>
          </w:p>
        </w:tc>
      </w:tr>
      <w:tr w:rsidR="00980456" w:rsidTr="00980456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Upside Case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3–5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5–8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MtCO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₂/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yr</w:t>
            </w:r>
            <w:proofErr w:type="spellEnd"/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Accelerated climate finance + EU CBAM pressure; Egypt hub operational</w:t>
            </w:r>
          </w:p>
        </w:tc>
      </w:tr>
      <w:tr w:rsidR="00980456" w:rsidTr="00980456"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Downside Case</w:t>
            </w:r>
          </w:p>
        </w:tc>
        <w:tc>
          <w:tcPr>
            <w:tcW w:w="1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0–1</w:t>
            </w:r>
          </w:p>
        </w:tc>
        <w:tc>
          <w:tcPr>
            <w:tcW w:w="11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&lt;0.5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MtCO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₂/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yr</w:t>
            </w:r>
            <w:proofErr w:type="spellEnd"/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0456" w:rsidRDefault="00E55E8F">
            <w:pPr>
              <w:pStyle w:val="Compac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Regulatory delays, security disruptions, low carbon prices</w:t>
            </w:r>
          </w:p>
        </w:tc>
      </w:tr>
    </w:tbl>
    <w:p w:rsidR="00980456" w:rsidRDefault="00980456">
      <w:pPr>
        <w:pStyle w:val="BodyText"/>
        <w:jc w:val="both"/>
        <w:rPr>
          <w:rFonts w:ascii="Times New Roman" w:hAnsi="Times New Roman" w:cs="Times New Roman"/>
          <w:b/>
          <w:bCs/>
        </w:rPr>
      </w:pP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Medium-term (2030–2040): Africa could host 10–20 </w:t>
      </w:r>
      <w:proofErr w:type="spellStart"/>
      <w:r>
        <w:rPr>
          <w:rFonts w:ascii="Times New Roman" w:hAnsi="Times New Roman" w:cs="Times New Roman"/>
        </w:rPr>
        <w:t>MtCO</w:t>
      </w:r>
      <w:proofErr w:type="spellEnd"/>
      <w:r>
        <w:rPr>
          <w:rFonts w:ascii="Times New Roman" w:hAnsi="Times New Roman" w:cs="Times New Roman"/>
        </w:rPr>
        <w:t>₂/</w:t>
      </w:r>
      <w:proofErr w:type="spellStart"/>
      <w:r>
        <w:rPr>
          <w:rFonts w:ascii="Times New Roman" w:hAnsi="Times New Roman" w:cs="Times New Roman"/>
        </w:rPr>
        <w:t>yr</w:t>
      </w:r>
      <w:proofErr w:type="spellEnd"/>
      <w:r>
        <w:rPr>
          <w:rFonts w:ascii="Times New Roman" w:hAnsi="Times New Roman" w:cs="Times New Roman"/>
        </w:rPr>
        <w:t xml:space="preserve"> if CCS laws are enacted i</w:t>
      </w:r>
      <w:r>
        <w:rPr>
          <w:rFonts w:ascii="Times New Roman" w:hAnsi="Times New Roman" w:cs="Times New Roman"/>
        </w:rPr>
        <w:t>n 5+ nations, carbon prices exceed $50/</w:t>
      </w:r>
      <w:proofErr w:type="spellStart"/>
      <w:r>
        <w:rPr>
          <w:rFonts w:ascii="Times New Roman" w:hAnsi="Times New Roman" w:cs="Times New Roman"/>
        </w:rPr>
        <w:t>tCO₂e</w:t>
      </w:r>
      <w:proofErr w:type="spellEnd"/>
      <w:r>
        <w:rPr>
          <w:rFonts w:ascii="Times New Roman" w:hAnsi="Times New Roman" w:cs="Times New Roman"/>
        </w:rPr>
        <w:t>, and CO₂-EOR is proven viable in 2–3 basins.</w:t>
      </w:r>
    </w:p>
    <w:p w:rsidR="00980456" w:rsidRDefault="00980456">
      <w:pPr>
        <w:pStyle w:val="Heading3"/>
        <w:jc w:val="both"/>
        <w:rPr>
          <w:rFonts w:ascii="Times New Roman" w:hAnsi="Times New Roman" w:cs="Times New Roman"/>
        </w:rPr>
      </w:pPr>
      <w:bookmarkStart w:id="13" w:name="recommendations"/>
      <w:bookmarkEnd w:id="12"/>
    </w:p>
    <w:p w:rsidR="00980456" w:rsidRDefault="00E55E8F">
      <w:pPr>
        <w:pStyle w:val="Heading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Recommendations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For African Governments and NOCs:</w:t>
      </w:r>
      <w:r>
        <w:rPr>
          <w:rFonts w:ascii="Times New Roman" w:hAnsi="Times New Roman" w:cs="Times New Roman"/>
        </w:rPr>
        <w:t xml:space="preserve"> </w:t>
      </w:r>
    </w:p>
    <w:p w:rsidR="00980456" w:rsidRDefault="00E55E8F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Expedite CCS-specific legislation addressing pore space ownership, long-term liability, MRV standards, and per</w:t>
      </w:r>
      <w:r>
        <w:rPr>
          <w:rFonts w:ascii="Times New Roman" w:hAnsi="Times New Roman" w:cs="Times New Roman"/>
        </w:rPr>
        <w:t xml:space="preserve">mitting—model on the EU CCS Directive. </w:t>
      </w:r>
    </w:p>
    <w:p w:rsidR="00980456" w:rsidRDefault="00E55E8F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Leverage existing infrastructure (wells, pipelines, </w:t>
      </w:r>
      <w:r w:rsidR="00AC4FFC">
        <w:rPr>
          <w:rFonts w:ascii="Times New Roman" w:hAnsi="Times New Roman" w:cs="Times New Roman"/>
        </w:rPr>
        <w:t>and processing</w:t>
      </w:r>
      <w:r>
        <w:rPr>
          <w:rFonts w:ascii="Times New Roman" w:hAnsi="Times New Roman" w:cs="Times New Roman"/>
        </w:rPr>
        <w:t xml:space="preserve"> facilities) to minimize capital costs.</w:t>
      </w:r>
    </w:p>
    <w:p w:rsidR="00980456" w:rsidRDefault="00E55E8F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Integrate CCS into carbon market frameworks to monetize emissions reductions via ACMI and domestic compliance </w:t>
      </w:r>
      <w:r>
        <w:rPr>
          <w:rFonts w:ascii="Times New Roman" w:hAnsi="Times New Roman" w:cs="Times New Roman"/>
        </w:rPr>
        <w:t>markets.</w:t>
      </w:r>
    </w:p>
    <w:p w:rsidR="00980456" w:rsidRDefault="00E55E8F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Fund baseline geological characterization before injection begins. </w:t>
      </w:r>
    </w:p>
    <w:p w:rsidR="00980456" w:rsidRDefault="00E55E8F">
      <w:pPr>
        <w:pStyle w:val="Fir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Establish regional cooperation</w:t>
      </w:r>
      <w:r>
        <w:rPr>
          <w:rFonts w:ascii="Times New Roman" w:hAnsi="Times New Roman" w:cs="Times New Roman"/>
        </w:rPr>
        <w:t xml:space="preserve"> for cross-border transport and shared storage hubs.</w:t>
      </w:r>
    </w:p>
    <w:p w:rsidR="00980456" w:rsidRDefault="00980456">
      <w:pPr>
        <w:pStyle w:val="BodyText"/>
      </w:pP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For International Investors and IOCs:</w:t>
      </w:r>
      <w:r>
        <w:rPr>
          <w:rFonts w:ascii="Times New Roman" w:hAnsi="Times New Roman" w:cs="Times New Roman"/>
        </w:rPr>
        <w:t xml:space="preserve"> </w:t>
      </w:r>
    </w:p>
    <w:p w:rsidR="00980456" w:rsidRDefault="00E55E8F">
      <w:pPr>
        <w:pStyle w:val="BodyTex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Prioritize EOR-integrated projects to improve economics </w:t>
      </w:r>
      <w:r>
        <w:rPr>
          <w:rFonts w:ascii="Times New Roman" w:hAnsi="Times New Roman" w:cs="Times New Roman"/>
        </w:rPr>
        <w:t xml:space="preserve">and reduce risk. </w:t>
      </w:r>
    </w:p>
    <w:p w:rsidR="00980456" w:rsidRDefault="00E55E8F">
      <w:pPr>
        <w:pStyle w:val="BodyTex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Engage early in regulatory development to shape rules balancing environmental integrity and commercial viability. </w:t>
      </w:r>
    </w:p>
    <w:p w:rsidR="00980456" w:rsidRDefault="00E55E8F">
      <w:pPr>
        <w:pStyle w:val="BodyTex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Pursue blended finance combining commercial capital, climate finance, and carbon credit revenues.</w:t>
      </w:r>
    </w:p>
    <w:p w:rsidR="00980456" w:rsidRDefault="00E55E8F">
      <w:pPr>
        <w:pStyle w:val="BodyTex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Invest in local capacity </w:t>
      </w:r>
      <w:r>
        <w:rPr>
          <w:rFonts w:ascii="Times New Roman" w:hAnsi="Times New Roman" w:cs="Times New Roman"/>
        </w:rPr>
        <w:t>building</w:t>
      </w:r>
      <w:r>
        <w:rPr>
          <w:rFonts w:ascii="Times New Roman" w:hAnsi="Times New Roman" w:cs="Times New Roman"/>
        </w:rPr>
        <w:t xml:space="preserve"> through partnerships with African universities and technical institutes.</w:t>
      </w:r>
    </w:p>
    <w:p w:rsidR="00980456" w:rsidRDefault="00980456">
      <w:pPr>
        <w:pStyle w:val="BodyText"/>
        <w:jc w:val="both"/>
        <w:rPr>
          <w:rFonts w:ascii="Times New Roman" w:hAnsi="Times New Roman" w:cs="Times New Roman"/>
        </w:rPr>
      </w:pPr>
    </w:p>
    <w:p w:rsidR="00980456" w:rsidRDefault="00E55E8F">
      <w:pPr>
        <w:pStyle w:val="BodyTex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 Multilateral Institutions:</w:t>
      </w:r>
    </w:p>
    <w:p w:rsidR="00980456" w:rsidRDefault="00E55E8F">
      <w:pPr>
        <w:pStyle w:val="BodyTex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Scale CCS Trust Fund support for site characterization, regulatory development, and pilot projects. </w:t>
      </w:r>
    </w:p>
    <w:p w:rsidR="00980456" w:rsidRDefault="00E55E8F">
      <w:pPr>
        <w:pStyle w:val="BodyTex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Standardize Africa-specific MRV protocols</w:t>
      </w:r>
      <w:r>
        <w:rPr>
          <w:rFonts w:ascii="Times New Roman" w:hAnsi="Times New Roman" w:cs="Times New Roman"/>
        </w:rPr>
        <w:t xml:space="preserve"> to enable verified carbon credit generation. 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Establish an African CCS Knowledge Hub t</w:t>
      </w:r>
      <w:r>
        <w:rPr>
          <w:rFonts w:ascii="Times New Roman" w:hAnsi="Times New Roman" w:cs="Times New Roman"/>
        </w:rPr>
        <w:t>o disseminate In Salah lessons and international best practice.</w:t>
      </w:r>
    </w:p>
    <w:p w:rsidR="00980456" w:rsidRDefault="00980456">
      <w:pPr>
        <w:jc w:val="both"/>
        <w:rPr>
          <w:rFonts w:ascii="Times New Roman" w:hAnsi="Times New Roman" w:cs="Times New Roman"/>
        </w:rPr>
      </w:pPr>
    </w:p>
    <w:p w:rsidR="00980456" w:rsidRDefault="00E55E8F">
      <w:pPr>
        <w:rPr>
          <w:rFonts w:ascii="Times New Roman" w:hAnsi="Times New Roman" w:cs="Times New Roman"/>
          <w:b/>
          <w:bCs/>
        </w:rPr>
      </w:pPr>
      <w:bookmarkStart w:id="14" w:name="conclusion"/>
      <w:bookmarkEnd w:id="11"/>
      <w:bookmarkEnd w:id="13"/>
      <w:r>
        <w:rPr>
          <w:rFonts w:ascii="Times New Roman" w:hAnsi="Times New Roman" w:cs="Times New Roman"/>
          <w:b/>
          <w:bCs/>
        </w:rPr>
        <w:t>Conclusion</w:t>
      </w:r>
    </w:p>
    <w:p w:rsidR="00980456" w:rsidRDefault="00E55E8F">
      <w:pPr>
        <w:pStyle w:val="FirstParagraph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Africa’s hydrocarbon basins offer geological storage potential sufficient for decades of r</w:t>
      </w:r>
      <w:r>
        <w:rPr>
          <w:rFonts w:ascii="Times New Roman" w:hAnsi="Times New Roman" w:cs="Times New Roman"/>
        </w:rPr>
        <w:t>egional emissions. The In Salah project proved technical feasibility but also demonstrated that geo</w:t>
      </w:r>
      <w:r w:rsidR="00B567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mechanical characterization, comprehensive monitoring, and flexible operations are non-negotiable. The convergence of declining production, maturing carbon p</w:t>
      </w:r>
      <w:r>
        <w:rPr>
          <w:rFonts w:ascii="Times New Roman" w:hAnsi="Times New Roman" w:cs="Times New Roman"/>
        </w:rPr>
        <w:t>ricing, climate finance, and NOC interest crea</w:t>
      </w:r>
      <w:r w:rsidR="00B567C6">
        <w:rPr>
          <w:rFonts w:ascii="Times New Roman" w:hAnsi="Times New Roman" w:cs="Times New Roman"/>
        </w:rPr>
        <w:t xml:space="preserve">tes a compelling near-term case </w:t>
      </w:r>
      <w:r>
        <w:rPr>
          <w:rFonts w:ascii="Times New Roman" w:hAnsi="Times New Roman" w:cs="Times New Roman"/>
        </w:rPr>
        <w:t>but the absence of CCS-specific regulatory frameworks remains the binding constraint.</w:t>
      </w:r>
    </w:p>
    <w:p w:rsidR="00980456" w:rsidRDefault="00E55E8F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Nations that move first to establish clear legal regimes, leverage existing infrastructure, </w:t>
      </w:r>
      <w:r>
        <w:rPr>
          <w:rFonts w:ascii="Times New Roman" w:hAnsi="Times New Roman" w:cs="Times New Roman"/>
        </w:rPr>
        <w:t xml:space="preserve">and integrate EOR revenue will capture disproportionate value as regional CCS hubs. </w:t>
      </w:r>
      <w:r>
        <w:rPr>
          <w:rFonts w:ascii="Times New Roman" w:hAnsi="Times New Roman" w:cs="Times New Roman"/>
        </w:rPr>
        <w:lastRenderedPageBreak/>
        <w:t>The window for leadership is narrow; delay risks ceding the opportunity to regions with more advanced policy ecosystems.</w:t>
      </w:r>
    </w:p>
    <w:p w:rsidR="00B567C6" w:rsidRDefault="00B567C6">
      <w:pPr>
        <w:pStyle w:val="BodyText"/>
        <w:jc w:val="both"/>
        <w:rPr>
          <w:rFonts w:ascii="Times New Roman" w:hAnsi="Times New Roman" w:cs="Times New Roman"/>
        </w:rPr>
      </w:pPr>
    </w:p>
    <w:p w:rsidR="00B567C6" w:rsidRDefault="00B567C6" w:rsidP="00B567C6"/>
    <w:p w:rsidR="00B567C6" w:rsidRDefault="00B567C6" w:rsidP="00B567C6"/>
    <w:p w:rsidR="00980456" w:rsidRPr="00B567C6" w:rsidRDefault="00B567C6" w:rsidP="00B567C6">
      <w:pPr>
        <w:tabs>
          <w:tab w:val="left" w:pos="7455"/>
        </w:tabs>
      </w:pPr>
      <w:r>
        <w:tab/>
      </w:r>
      <w:bookmarkStart w:id="15" w:name="_GoBack"/>
      <w:bookmarkEnd w:id="1"/>
      <w:bookmarkEnd w:id="14"/>
      <w:bookmarkEnd w:id="15"/>
    </w:p>
    <w:sectPr w:rsidR="00980456" w:rsidRPr="00B567C6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Sect"/>
      </w:footnotePr>
      <w:pgSz w:w="12240" w:h="15840"/>
      <w:pgMar w:top="1440" w:right="1800" w:bottom="1440" w:left="1800" w:header="720" w:footer="10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E8F" w:rsidRDefault="00E55E8F">
      <w:pPr>
        <w:spacing w:line="240" w:lineRule="auto"/>
      </w:pPr>
      <w:r>
        <w:separator/>
      </w:r>
    </w:p>
  </w:endnote>
  <w:endnote w:type="continuationSeparator" w:id="0">
    <w:p w:rsidR="00E55E8F" w:rsidRDefault="00E55E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Segoe UI"/>
    <w:charset w:val="00"/>
    <w:family w:val="swiss"/>
    <w:pitch w:val="default"/>
    <w:sig w:usb0="00000000" w:usb1="00000000" w:usb2="00000000" w:usb3="00000000" w:csb0="0000019F" w:csb1="00000000"/>
  </w:font>
  <w:font w:name="等线">
    <w:altName w:val="Arial Unicode MS"/>
    <w:charset w:val="86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SimSun"/>
    <w:charset w:val="86"/>
    <w:family w:val="roman"/>
    <w:pitch w:val="default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 (标题 CS)">
    <w:altName w:val="SimSun"/>
    <w:charset w:val="86"/>
    <w:family w:val="roman"/>
    <w:pitch w:val="default"/>
  </w:font>
  <w:font w:name="等线 Light">
    <w:altName w:val="SimSun"/>
    <w:charset w:val="86"/>
    <w:family w:val="auto"/>
    <w:pitch w:val="default"/>
    <w:sig w:usb0="00000000" w:usb1="00000000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altName w:val="Segoe UI"/>
    <w:charset w:val="00"/>
    <w:family w:val="swiss"/>
    <w:pitch w:val="default"/>
    <w:sig w:usb0="00000000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56" w:rsidRDefault="009804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56" w:rsidRDefault="00980456">
    <w:pPr>
      <w:pStyle w:val="Footer"/>
      <w:wordWrap w:val="0"/>
      <w:jc w:val="right"/>
      <w:rPr>
        <w:sz w:val="24"/>
        <w:szCs w:val="24"/>
        <w:lang w:eastAsia="zh-C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56" w:rsidRDefault="009804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E8F" w:rsidRDefault="00E55E8F">
      <w:r>
        <w:separator/>
      </w:r>
    </w:p>
  </w:footnote>
  <w:footnote w:type="continuationSeparator" w:id="0">
    <w:p w:rsidR="00E55E8F" w:rsidRDefault="00E5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56" w:rsidRDefault="009804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56" w:rsidRDefault="009804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C2AFA7B"/>
    <w:multiLevelType w:val="singleLevel"/>
    <w:tmpl w:val="8C2AFA7B"/>
    <w:lvl w:ilvl="0">
      <w:start w:val="1"/>
      <w:numFmt w:val="decimal"/>
      <w:suff w:val="space"/>
      <w:lvlText w:val="%1."/>
      <w:lvlJc w:val="left"/>
    </w:lvl>
  </w:abstractNum>
  <w:abstractNum w:abstractNumId="1">
    <w:nsid w:val="F87953AB"/>
    <w:multiLevelType w:val="singleLevel"/>
    <w:tmpl w:val="F87953AB"/>
    <w:lvl w:ilvl="0">
      <w:start w:val="1"/>
      <w:numFmt w:val="decimal"/>
      <w:suff w:val="space"/>
      <w:lvlText w:val="%1."/>
      <w:lvlJc w:val="left"/>
    </w:lvl>
  </w:abstractNum>
  <w:abstractNum w:abstractNumId="2">
    <w:nsid w:val="00A99411"/>
    <w:multiLevelType w:val="multilevel"/>
    <w:tmpl w:val="00A99411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>
    <w:nsid w:val="01C0BB07"/>
    <w:multiLevelType w:val="singleLevel"/>
    <w:tmpl w:val="01C0BB07"/>
    <w:lvl w:ilvl="0">
      <w:start w:val="1"/>
      <w:numFmt w:val="decimal"/>
      <w:suff w:val="space"/>
      <w:lvlText w:val="%1."/>
      <w:lvlJc w:val="left"/>
    </w:lvl>
  </w:abstractNum>
  <w:abstractNum w:abstractNumId="4">
    <w:nsid w:val="786DA751"/>
    <w:multiLevelType w:val="singleLevel"/>
    <w:tmpl w:val="786DA751"/>
    <w:lvl w:ilvl="0">
      <w:start w:val="1"/>
      <w:numFmt w:val="decimal"/>
      <w:suff w:val="space"/>
      <w:lvlText w:val="%1."/>
      <w:lvlJc w:val="left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C7A67"/>
    <w:rsid w:val="00196211"/>
    <w:rsid w:val="001C7A67"/>
    <w:rsid w:val="003054F1"/>
    <w:rsid w:val="004825C6"/>
    <w:rsid w:val="0051628A"/>
    <w:rsid w:val="005464E3"/>
    <w:rsid w:val="005F6CBF"/>
    <w:rsid w:val="00643110"/>
    <w:rsid w:val="00746C97"/>
    <w:rsid w:val="007D12D0"/>
    <w:rsid w:val="008708D9"/>
    <w:rsid w:val="00977478"/>
    <w:rsid w:val="00980456"/>
    <w:rsid w:val="00AC4FFC"/>
    <w:rsid w:val="00AF517C"/>
    <w:rsid w:val="00B567C6"/>
    <w:rsid w:val="00BF08D0"/>
    <w:rsid w:val="00CF7597"/>
    <w:rsid w:val="00D90F1F"/>
    <w:rsid w:val="00E55E8F"/>
    <w:rsid w:val="00EC61BB"/>
    <w:rsid w:val="00FA401C"/>
    <w:rsid w:val="00FD76EA"/>
    <w:rsid w:val="00FE619A"/>
    <w:rsid w:val="0B7F7B23"/>
    <w:rsid w:val="0FEE34C9"/>
    <w:rsid w:val="12130C68"/>
    <w:rsid w:val="19855330"/>
    <w:rsid w:val="1BD01CD5"/>
    <w:rsid w:val="21354AB4"/>
    <w:rsid w:val="53643063"/>
    <w:rsid w:val="5447395C"/>
    <w:rsid w:val="6B6D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86E6FD-2C31-4177-B28C-6EF54429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footnote text" w:uiPriority="9" w:unhideWhenUsed="1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</w:pPr>
    <w:rPr>
      <w:rFonts w:ascii="Arial" w:eastAsia="SimSun" w:hAnsi="Arial" w:cs="Times New Roman (正文 CS 字体)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pPr>
      <w:keepNext/>
      <w:keepLines/>
      <w:outlineLvl w:val="0"/>
    </w:pPr>
    <w:rPr>
      <w:rFonts w:eastAsia="SimHei" w:cs="Times New Roman (标题 CS)"/>
      <w:sz w:val="3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pPr>
      <w:keepNext/>
      <w:keepLines/>
      <w:outlineLvl w:val="1"/>
    </w:pPr>
    <w:rPr>
      <w:rFonts w:eastAsia="SimHei" w:cs="Times New Roman (标题 CS)"/>
      <w:sz w:val="28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pPr>
      <w:keepNext/>
      <w:keepLines/>
      <w:outlineLvl w:val="2"/>
    </w:pPr>
    <w:rPr>
      <w:rFonts w:eastAsia="SimHei" w:cs="Times New Roman (标题 CS)"/>
      <w:sz w:val="26"/>
      <w:szCs w:val="28"/>
    </w:rPr>
  </w:style>
  <w:style w:type="paragraph" w:styleId="Heading4">
    <w:name w:val="heading 4"/>
    <w:basedOn w:val="Heading3"/>
    <w:next w:val="BodyText"/>
    <w:link w:val="Heading4Char"/>
    <w:uiPriority w:val="9"/>
    <w:unhideWhenUsed/>
    <w:qFormat/>
    <w:pPr>
      <w:outlineLvl w:val="3"/>
    </w:pPr>
  </w:style>
  <w:style w:type="paragraph" w:styleId="Heading5">
    <w:name w:val="heading 5"/>
    <w:basedOn w:val="Heading4"/>
    <w:next w:val="BodyText"/>
    <w:link w:val="Heading5Char"/>
    <w:uiPriority w:val="9"/>
    <w:unhideWhenUsed/>
    <w:qFormat/>
    <w:pPr>
      <w:outlineLvl w:val="4"/>
    </w:pPr>
  </w:style>
  <w:style w:type="paragraph" w:styleId="Heading6">
    <w:name w:val="heading 6"/>
    <w:basedOn w:val="Heading5"/>
    <w:next w:val="BodyText"/>
    <w:link w:val="Heading6Char"/>
    <w:uiPriority w:val="9"/>
    <w:unhideWhenUsed/>
    <w:qFormat/>
    <w:pPr>
      <w:outlineLvl w:val="5"/>
    </w:pPr>
  </w:style>
  <w:style w:type="paragraph" w:styleId="Heading7">
    <w:name w:val="heading 7"/>
    <w:basedOn w:val="Heading6"/>
    <w:next w:val="BodyText"/>
    <w:link w:val="Heading7Char"/>
    <w:uiPriority w:val="9"/>
    <w:unhideWhenUsed/>
    <w:qFormat/>
    <w:pPr>
      <w:outlineLvl w:val="6"/>
    </w:pPr>
  </w:style>
  <w:style w:type="paragraph" w:styleId="Heading8">
    <w:name w:val="heading 8"/>
    <w:basedOn w:val="Heading7"/>
    <w:next w:val="BodyText"/>
    <w:link w:val="Heading8Char"/>
    <w:uiPriority w:val="9"/>
    <w:unhideWhenUsed/>
    <w:qFormat/>
    <w:pPr>
      <w:outlineLvl w:val="7"/>
    </w:pPr>
  </w:style>
  <w:style w:type="paragraph" w:styleId="Heading9">
    <w:name w:val="heading 9"/>
    <w:basedOn w:val="Heading8"/>
    <w:next w:val="BodyText"/>
    <w:link w:val="Heading9Char"/>
    <w:uiPriority w:val="9"/>
    <w:unhideWhenUsed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Title">
    <w:name w:val="Title"/>
    <w:basedOn w:val="Normal"/>
    <w:next w:val="BodyText"/>
    <w:link w:val="TitleChar"/>
    <w:uiPriority w:val="10"/>
    <w:qFormat/>
    <w:pPr>
      <w:contextualSpacing/>
      <w:jc w:val="center"/>
    </w:pPr>
    <w:rPr>
      <w:rFonts w:eastAsia="SimHei" w:cs="Times New Roman (标题 CS)"/>
      <w:sz w:val="30"/>
      <w:szCs w:val="56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customStyle="1" w:styleId="CaptionChar">
    <w:name w:val="Caption Char"/>
    <w:basedOn w:val="DefaultParagraphFont"/>
    <w:link w:val="Caption"/>
  </w:style>
  <w:style w:type="paragraph" w:styleId="FootnoteText">
    <w:name w:val="footnote text"/>
    <w:basedOn w:val="Normal"/>
    <w:uiPriority w:val="9"/>
    <w:unhideWhenUsed/>
    <w:qFormat/>
    <w:rPr>
      <w:sz w:val="18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Subtitle">
    <w:name w:val="Subtitle"/>
    <w:basedOn w:val="Title"/>
    <w:next w:val="BodyText"/>
    <w:link w:val="SubtitleChar"/>
    <w:uiPriority w:val="11"/>
    <w:qFormat/>
    <w:rPr>
      <w:rFonts w:eastAsiaTheme="majorEastAsia" w:cstheme="majorBidi"/>
      <w:spacing w:val="15"/>
      <w:sz w:val="28"/>
      <w:szCs w:val="28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character" w:customStyle="1" w:styleId="TitleChar">
    <w:name w:val="Title Char"/>
    <w:basedOn w:val="DefaultParagraphFont"/>
    <w:link w:val="Title"/>
    <w:uiPriority w:val="10"/>
    <w:qFormat/>
    <w:rPr>
      <w:rFonts w:ascii="Arial" w:eastAsia="SimHei" w:hAnsi="Arial" w:cs="Times New Roman (标题 CS)"/>
      <w:sz w:val="30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Bibliography1">
    <w:name w:val="Bibliography1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Arial" w:eastAsia="SimHei" w:hAnsi="Arial" w:cs="Times New Roman (标题 CS)"/>
      <w:sz w:val="3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="Arial" w:eastAsia="SimHei" w:hAnsi="Arial" w:cs="Times New Roman (标题 CS)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Arial" w:eastAsia="SimHei" w:hAnsi="Arial" w:cs="Times New Roman (标题 CS)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ascii="Arial" w:eastAsia="SimHei" w:hAnsi="Arial" w:cs="Times New Roman (标题 CS)"/>
      <w:color w:val="0F4761" w:themeColor="accent1" w:themeShade="BF"/>
      <w:sz w:val="26"/>
      <w:szCs w:val="28"/>
    </w:rPr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qFormat/>
    <w:pPr>
      <w:keepNext/>
      <w:keepLines/>
    </w:pPr>
    <w:rPr>
      <w:b/>
    </w:rPr>
  </w:style>
  <w:style w:type="paragraph" w:customStyle="1" w:styleId="Definition">
    <w:name w:val="Definition"/>
    <w:basedOn w:val="Normal"/>
    <w:qFormat/>
  </w:style>
  <w:style w:type="paragraph" w:customStyle="1" w:styleId="TableCaption">
    <w:name w:val="Table Caption"/>
    <w:basedOn w:val="Caption"/>
    <w:pPr>
      <w:keepNext/>
      <w:spacing w:after="0"/>
      <w:jc w:val="center"/>
    </w:pPr>
    <w:rPr>
      <w:i w:val="0"/>
      <w:sz w:val="20"/>
    </w:rPr>
  </w:style>
  <w:style w:type="paragraph" w:customStyle="1" w:styleId="ImageCaption">
    <w:name w:val="Image Caption"/>
    <w:basedOn w:val="Caption"/>
    <w:pPr>
      <w:spacing w:after="0"/>
      <w:jc w:val="center"/>
    </w:pPr>
    <w:rPr>
      <w:i w:val="0"/>
      <w:sz w:val="20"/>
    </w:rPr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paragraph" w:customStyle="1" w:styleId="SourceCode">
    <w:name w:val="Source Code"/>
    <w:link w:val="VerbatimChar"/>
    <w:pPr>
      <w:wordWrap w:val="0"/>
      <w:spacing w:after="200"/>
    </w:pPr>
    <w:rPr>
      <w:sz w:val="24"/>
      <w:szCs w:val="24"/>
    </w:rPr>
  </w:style>
  <w:style w:type="character" w:customStyle="1" w:styleId="SectionNumber">
    <w:name w:val="Section Number"/>
    <w:basedOn w:val="CaptionChar"/>
  </w:style>
  <w:style w:type="paragraph" w:customStyle="1" w:styleId="TOCHeading1">
    <w:name w:val="TOC Heading1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BodyText"/>
    <w:pPr>
      <w:ind w:firstLineChars="200" w:firstLine="420"/>
    </w:pPr>
  </w:style>
  <w:style w:type="character" w:customStyle="1" w:styleId="HeaderChar">
    <w:name w:val="Header Char"/>
    <w:basedOn w:val="DefaultParagraphFont"/>
    <w:link w:val="Header"/>
    <w:rPr>
      <w:rFonts w:ascii="Arial" w:eastAsia="SimSun" w:hAnsi="Arial" w:cs="Times New Roman (正文 CS 字体)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eastAsia="SimSun" w:hAnsi="Arial" w:cs="Times New Roman (正文 CS 字体)"/>
      <w:sz w:val="18"/>
      <w:szCs w:val="18"/>
    </w:r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1500</Words>
  <Characters>8550</Characters>
  <Application>Microsoft Office Word</Application>
  <DocSecurity>0</DocSecurity>
  <Lines>71</Lines>
  <Paragraphs>20</Paragraphs>
  <ScaleCrop>false</ScaleCrop>
  <Company/>
  <LinksUpToDate>false</LinksUpToDate>
  <CharactersWithSpaces>10030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 &amp; CO</dc:creator>
  <cp:lastModifiedBy>Microsoft account</cp:lastModifiedBy>
  <cp:revision>4</cp:revision>
  <dcterms:created xsi:type="dcterms:W3CDTF">2026-06-06T14:02:00Z</dcterms:created>
  <dcterms:modified xsi:type="dcterms:W3CDTF">2026-06-06T14:27:00Z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{"Label":"1","ContentProducer":"001191110108MACG2KBH8F10000","ProduceID":"d6ls09qd7de40ijlg2v0-19e9d270-f482-8b76-8000-09b756796def-20260606140229","ReservedCode1":"","ContentPropagator":"001191110108MACG2KBH8F20000","PropagateID":"d6ls09qd7de40ijlg2v0-19</vt:lpwstr>
  </property>
  <property fmtid="{D5CDD505-2E9C-101B-9397-08002B2CF9AE}" pid="3" name="KSOTemplateDocerSaveRecord">
    <vt:lpwstr>eyJoZGlkIjoiMjFlMjEzMmFlZTM1ZmM5MjRhNjg1MzQ1YTdmZmYyMmMifQ==</vt:lpwstr>
  </property>
  <property fmtid="{D5CDD505-2E9C-101B-9397-08002B2CF9AE}" pid="4" name="KSOProductBuildVer">
    <vt:lpwstr>1033-12.1.0.26369</vt:lpwstr>
  </property>
  <property fmtid="{D5CDD505-2E9C-101B-9397-08002B2CF9AE}" pid="5" name="ICV">
    <vt:lpwstr>C9D481ED049343339E9A46AD77F516A3_12</vt:lpwstr>
  </property>
  <property fmtid="{D5CDD505-2E9C-101B-9397-08002B2CF9AE}" pid="6" name="GrammarlyDocumentId">
    <vt:lpwstr>5a0335e1-45b6-4544-b841-7cd1b7da003f</vt:lpwstr>
  </property>
</Properties>
</file>