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240" w:lineRule="auto"/>
        <w:jc w:val="both"/>
        <w:rPr>
          <w:rFonts w:ascii="Century Gothic" w:cs="Century Gothic" w:eastAsia="Century Gothic" w:hAnsi="Century Gothic"/>
          <w:b w:val="1"/>
          <w:bCs w:val="1"/>
          <w:sz w:val="44"/>
          <w:szCs w:val="44"/>
        </w:rPr>
      </w:pPr>
      <w:bookmarkStart w:colFirst="0" w:colLast="0" w:name="_oblhjt5b8m1f" w:id="0"/>
      <w:bookmarkEnd w:id="0"/>
      <w:r w:rsidDel="00000000" w:rsidR="00000000" w:rsidRPr="00000000">
        <w:rPr>
          <w:rFonts w:ascii="Century Gothic" w:cs="Century Gothic" w:eastAsia="Century Gothic" w:hAnsi="Century Gothic"/>
          <w:b w:val="1"/>
          <w:bCs w:val="1"/>
          <w:sz w:val="44"/>
          <w:szCs w:val="44"/>
          <w:rtl w:val="0"/>
        </w:rPr>
        <w:t xml:space="preserve">Strategic Consolidation in Angola – Greater PAJ Project FID</w:t>
      </w:r>
    </w:p>
    <w:p w:rsidR="00000000" w:rsidDel="00000000" w:rsidP="00000000" w:rsidRDefault="00000000" w:rsidRPr="00000000" w14:paraId="00000002">
      <w:pPr>
        <w:pStyle w:val="Heading1"/>
        <w:keepNext w:val="0"/>
        <w:keepLines w:val="0"/>
        <w:spacing w:before="0" w:line="240" w:lineRule="auto"/>
        <w:jc w:val="both"/>
        <w:rPr>
          <w:rFonts w:ascii="Century Gothic" w:cs="Century Gothic" w:eastAsia="Century Gothic" w:hAnsi="Century Gothic"/>
          <w:b w:val="1"/>
          <w:bCs w:val="1"/>
          <w:sz w:val="26"/>
          <w:szCs w:val="26"/>
        </w:rPr>
      </w:pPr>
      <w:bookmarkStart w:colFirst="0" w:colLast="0" w:name="_u9njx8az7wzf" w:id="1"/>
      <w:bookmarkEnd w:id="1"/>
      <w:r w:rsidDel="00000000" w:rsidR="00000000" w:rsidRPr="00000000">
        <w:rPr>
          <w:rFonts w:ascii="Century Gothic" w:cs="Century Gothic" w:eastAsia="Century Gothic" w:hAnsi="Century Gothic"/>
          <w:b w:val="1"/>
          <w:bCs w:val="1"/>
          <w:sz w:val="26"/>
          <w:szCs w:val="26"/>
          <w:rtl w:val="0"/>
        </w:rPr>
        <w:t xml:space="preserve">Executive Summary</w:t>
      </w:r>
    </w:p>
    <w:p w:rsidR="00000000" w:rsidDel="00000000" w:rsidP="00000000" w:rsidRDefault="00000000" w:rsidRPr="00000000" w14:paraId="00000003">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Azule Energy sanctioned the Final Investment Decision (FID) for the Greater PAJ project marking a significant milestone in the evolution of Angola's offshore upstream sector. The development represents Angola's first fully integrated cross-block project, combining five offshore discoveries (Palas, Astraea, and Juno in Block 31; Urano and Dione in Block 31/21)  under a single development framework. A new-build FPSO with 95,000 bopd oil and 70 MMscfd gas capacity will gather production from 17 subsea wells and route associated gas to the Angola LNG plant via the existing Block 31 export network. First oil is targeted for H1 2029.</w:t>
      </w:r>
    </w:p>
    <w:p w:rsidR="00000000" w:rsidDel="00000000" w:rsidP="00000000" w:rsidRDefault="00000000" w:rsidRPr="00000000" w14:paraId="00000004">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deal structure sharing a single host facility and export corridor across two separately licensed concessions is a structural first for Angola's upstream sector and signals a maturing, capital-disciplined phase of offshore development as legacy single-field hubs approach plateau or decline. </w:t>
      </w:r>
    </w:p>
    <w:p w:rsidR="00000000" w:rsidDel="00000000" w:rsidP="00000000" w:rsidRDefault="00000000" w:rsidRPr="00000000" w14:paraId="00000005">
      <w:pPr>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06">
      <w:pPr>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Key Facts </w:t>
      </w:r>
    </w:p>
    <w:p w:rsidR="00000000" w:rsidDel="00000000" w:rsidP="00000000" w:rsidRDefault="00000000" w:rsidRPr="00000000" w14:paraId="00000007">
      <w:pPr>
        <w:jc w:val="both"/>
        <w:rPr>
          <w:rFonts w:ascii="Century Gothic" w:cs="Century Gothic" w:eastAsia="Century Gothic" w:hAnsi="Century Gothic"/>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Parameter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Detail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Project</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Greater PAJ (Palas-Astraea-Juno, plus Urano-Dione)</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Operator</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Azule Energy (50:50 bp / Eni joint venture)</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Partners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Sonangol E&amp;P, Equinor, SSI Thirty-One</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Location</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Blocks 31 &amp; 31/21, Lower Congo Basin, ~200 km offshore Angola</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Water Depth</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Up to ~2,000 m (6,562 ft) – ultra-deepwater</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FID Date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22 June 2026</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Capital Investment</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US$5.1 billion</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Recoverable Reserves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252 MMbbl (143 MMbbl Block 31, 108 MMbbl Block 31/21)</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Fields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Palas, Astraea, Juno (Block 31), Urano, Dione (Block 31/21)</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Wells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17 total – 10 oil producers, 7 water injectors</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FPSO Capacity</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95,000 bopd oil / 70 MMscfd gas (new-build, CIMC Raffles)</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Gas Export Route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New pipeline tied into Block 31 export network- Angola LNG</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First Oil Target</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H1 2029</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Local Content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~1.8 million man-hours, 6,500+ tonnes of fabricated structures</w:t>
            </w:r>
            <w:r w:rsidDel="00000000" w:rsidR="00000000" w:rsidRPr="00000000">
              <w:rPr>
                <w:rFonts w:ascii="Century Gothic" w:cs="Century Gothic" w:eastAsia="Century Gothic" w:hAnsi="Century Gothic"/>
                <w:rtl w:val="0"/>
              </w:rPr>
              <w:t xml:space="preserve"> </w:t>
            </w:r>
          </w:p>
        </w:tc>
      </w:tr>
    </w:tbl>
    <w:p w:rsidR="00000000" w:rsidDel="00000000" w:rsidP="00000000" w:rsidRDefault="00000000" w:rsidRPr="00000000" w14:paraId="00000026">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7">
      <w:pPr>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Operational Context </w:t>
      </w:r>
    </w:p>
    <w:p w:rsidR="00000000" w:rsidDel="00000000" w:rsidP="00000000" w:rsidRDefault="00000000" w:rsidRPr="00000000" w14:paraId="00000028">
      <w:pPr>
        <w:pStyle w:val="Heading2"/>
        <w:keepNext w:val="0"/>
        <w:keepLines w:val="0"/>
        <w:numPr>
          <w:ilvl w:val="0"/>
          <w:numId w:val="1"/>
        </w:numPr>
        <w:spacing w:after="80" w:lineRule="auto"/>
        <w:ind w:left="720" w:hanging="360"/>
        <w:jc w:val="both"/>
        <w:rPr>
          <w:rFonts w:ascii="Century Gothic" w:cs="Century Gothic" w:eastAsia="Century Gothic" w:hAnsi="Century Gothic"/>
          <w:b w:val="1"/>
          <w:bCs w:val="1"/>
          <w:sz w:val="22"/>
          <w:szCs w:val="22"/>
        </w:rPr>
      </w:pPr>
      <w:bookmarkStart w:colFirst="0" w:colLast="0" w:name="_gjcijcu3t7dk" w:id="2"/>
      <w:bookmarkEnd w:id="2"/>
      <w:r w:rsidDel="00000000" w:rsidR="00000000" w:rsidRPr="00000000">
        <w:rPr>
          <w:rFonts w:ascii="Century Gothic" w:cs="Century Gothic" w:eastAsia="Century Gothic" w:hAnsi="Century Gothic"/>
          <w:b w:val="1"/>
          <w:bCs w:val="1"/>
          <w:sz w:val="22"/>
          <w:szCs w:val="22"/>
          <w:rtl w:val="0"/>
        </w:rPr>
        <w:t xml:space="preserve">Reservoir &amp; Subsurface</w:t>
      </w:r>
    </w:p>
    <w:p w:rsidR="00000000" w:rsidDel="00000000" w:rsidP="00000000" w:rsidRDefault="00000000" w:rsidRPr="00000000" w14:paraId="00000029">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Block 31's pre-salt carbonate and post-salt clastic intervals have historically supported some of Angola's most prolific ultra-deepwater discoveries. Block 31/21, while holding meaningful resources in the Urano and Dione fields, would likely have struggled to clear standalone development hurdles at prevailing capital discipline thresholds. Bridging the two concessions under one FPSO converts marginal, stranded volumes into a commercially viable combined development.</w:t>
      </w:r>
    </w:p>
    <w:p w:rsidR="00000000" w:rsidDel="00000000" w:rsidP="00000000" w:rsidRDefault="00000000" w:rsidRPr="00000000" w14:paraId="0000002A">
      <w:pPr>
        <w:pStyle w:val="Heading2"/>
        <w:keepNext w:val="0"/>
        <w:keepLines w:val="0"/>
        <w:numPr>
          <w:ilvl w:val="0"/>
          <w:numId w:val="2"/>
        </w:numPr>
        <w:spacing w:after="80" w:lineRule="auto"/>
        <w:ind w:left="720" w:hanging="360"/>
        <w:jc w:val="both"/>
        <w:rPr>
          <w:rFonts w:ascii="Century Gothic" w:cs="Century Gothic" w:eastAsia="Century Gothic" w:hAnsi="Century Gothic"/>
          <w:b w:val="1"/>
          <w:bCs w:val="1"/>
          <w:sz w:val="22"/>
          <w:szCs w:val="22"/>
        </w:rPr>
      </w:pPr>
      <w:bookmarkStart w:colFirst="0" w:colLast="0" w:name="_jylypyhtticp" w:id="3"/>
      <w:bookmarkEnd w:id="3"/>
      <w:r w:rsidDel="00000000" w:rsidR="00000000" w:rsidRPr="00000000">
        <w:rPr>
          <w:rFonts w:ascii="Century Gothic" w:cs="Century Gothic" w:eastAsia="Century Gothic" w:hAnsi="Century Gothic"/>
          <w:b w:val="1"/>
          <w:bCs w:val="1"/>
          <w:sz w:val="22"/>
          <w:szCs w:val="22"/>
          <w:rtl w:val="0"/>
        </w:rPr>
        <w:t xml:space="preserve">Facilities &amp; Infrastructure</w:t>
      </w:r>
    </w:p>
    <w:p w:rsidR="00000000" w:rsidDel="00000000" w:rsidP="00000000" w:rsidRDefault="00000000" w:rsidRPr="00000000" w14:paraId="0000002B">
      <w:pPr>
        <w:numPr>
          <w:ilvl w:val="0"/>
          <w:numId w:val="5"/>
        </w:numPr>
        <w:spacing w:after="200" w:before="20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New-build FPSO: 95,000 bopd oil processing, 70 MMscfd gas handling capacity; vessel under construction by CIMC Raffles.</w:t>
      </w:r>
    </w:p>
    <w:p w:rsidR="00000000" w:rsidDel="00000000" w:rsidP="00000000" w:rsidRDefault="00000000" w:rsidRPr="00000000" w14:paraId="0000002C">
      <w:pPr>
        <w:numPr>
          <w:ilvl w:val="0"/>
          <w:numId w:val="5"/>
        </w:numPr>
        <w:spacing w:after="200" w:before="20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Subsea network: 17 wells (10 producers, 7 water injectors) tied back across the Block 31/31-21 boundary in water depths to ~2,000 m.</w:t>
      </w:r>
    </w:p>
    <w:p w:rsidR="00000000" w:rsidDel="00000000" w:rsidP="00000000" w:rsidRDefault="00000000" w:rsidRPr="00000000" w14:paraId="0000002D">
      <w:pPr>
        <w:numPr>
          <w:ilvl w:val="0"/>
          <w:numId w:val="5"/>
        </w:numPr>
        <w:spacing w:after="200" w:afterAutospacing="0" w:before="20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Gas monetization: dedicated new export pipeline ties into the existing Block 31 gas network, routing associated gas to Angola LNG rather than flaring – reducing standalone gas infrastructure capex.</w:t>
      </w:r>
    </w:p>
    <w:p w:rsidR="00000000" w:rsidDel="00000000" w:rsidP="00000000" w:rsidRDefault="00000000" w:rsidRPr="00000000" w14:paraId="0000002E">
      <w:pPr>
        <w:pStyle w:val="Heading2"/>
        <w:keepNext w:val="0"/>
        <w:keepLines w:val="0"/>
        <w:numPr>
          <w:ilvl w:val="0"/>
          <w:numId w:val="4"/>
        </w:numPr>
        <w:spacing w:after="80" w:before="200" w:beforeAutospacing="0" w:lineRule="auto"/>
        <w:ind w:left="1440" w:hanging="360"/>
        <w:jc w:val="both"/>
        <w:rPr>
          <w:rFonts w:ascii="Century Gothic" w:cs="Century Gothic" w:eastAsia="Century Gothic" w:hAnsi="Century Gothic"/>
          <w:b w:val="1"/>
          <w:bCs w:val="1"/>
          <w:sz w:val="22"/>
          <w:szCs w:val="22"/>
        </w:rPr>
      </w:pPr>
      <w:bookmarkStart w:colFirst="0" w:colLast="0" w:name="_na1vhm8on9u" w:id="4"/>
      <w:bookmarkEnd w:id="4"/>
      <w:r w:rsidDel="00000000" w:rsidR="00000000" w:rsidRPr="00000000">
        <w:rPr>
          <w:rFonts w:ascii="Century Gothic" w:cs="Century Gothic" w:eastAsia="Century Gothic" w:hAnsi="Century Gothic"/>
          <w:b w:val="1"/>
          <w:bCs w:val="1"/>
          <w:sz w:val="22"/>
          <w:szCs w:val="22"/>
          <w:rtl w:val="0"/>
        </w:rPr>
        <w:t xml:space="preserve">Contractor Awards</w:t>
      </w:r>
    </w:p>
    <w:p w:rsidR="00000000" w:rsidDel="00000000" w:rsidP="00000000" w:rsidRDefault="00000000" w:rsidRPr="00000000" w14:paraId="0000002F">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Major execution packages were awarded at FID, indicating the project has moved directly into execution phase:</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Scope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Contractor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Detail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FPSO Vessel</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CIMC Raffles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Design, construction of new-build FPSO</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Subsea Production Systems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Baker Hughes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Subsea trees / production systems</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Umbilicals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OneSubsea</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Umbilicals package</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Pipelines &amp; Flowlines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TechnipFMC</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Rigid pipelines and flexible flowlines</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Rigid Pipe Manufacture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Vallourec</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Line pipe supply</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Transport &amp; Installation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Saipem</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~US$1bn T&amp;I contract; offshore installation</w:t>
            </w:r>
            <w:r w:rsidDel="00000000" w:rsidR="00000000" w:rsidRPr="00000000">
              <w:rPr>
                <w:rFonts w:ascii="Century Gothic" w:cs="Century Gothic" w:eastAsia="Century Gothic" w:hAnsi="Century Gothic"/>
                <w:rtl w:val="0"/>
              </w:rPr>
              <w:t xml:space="preserve"> </w:t>
            </w:r>
          </w:p>
        </w:tc>
      </w:tr>
    </w:tbl>
    <w:p w:rsidR="00000000" w:rsidDel="00000000" w:rsidP="00000000" w:rsidRDefault="00000000" w:rsidRPr="00000000" w14:paraId="00000045">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6">
      <w:pPr>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Ownership &amp; License Structure </w:t>
      </w:r>
    </w:p>
    <w:p w:rsidR="00000000" w:rsidDel="00000000" w:rsidP="00000000" w:rsidRDefault="00000000" w:rsidRPr="00000000" w14:paraId="00000047">
      <w:pPr>
        <w:spacing w:after="160"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Azule Energy operates both concessions but at different equity levels, reflecting the blocks' separate licensing histories – Block 31/21's Production Sharing Agreement was signed in 2023, materially after Block 31's. Equinor holds interests in both blocks; Sonangol E&amp;P and SSI Thirty-One hold Block 31-only positions.</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Block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Party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Working interest</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Role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Block 31</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Sonangol Exploração &amp; Produção</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45.00%</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Partner</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Block 31</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Azule Energy Exploration (Angola)</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26.67%</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Operator</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Block 31</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SSI Thirty-One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15.00%</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Partner</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Block 31</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Equinor Angola Block 31</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13.33%</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Partner</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Block 31/21</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Azule Energy Angola</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50.00%</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Operator</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Block 31/21</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Equinor Angola Block 31/21</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50.00%</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Partner</w:t>
            </w:r>
            <w:r w:rsidDel="00000000" w:rsidR="00000000" w:rsidRPr="00000000">
              <w:rPr>
                <w:rFonts w:ascii="Century Gothic" w:cs="Century Gothic" w:eastAsia="Century Gothic" w:hAnsi="Century Gothic"/>
                <w:rtl w:val="0"/>
              </w:rPr>
              <w:t xml:space="preserve"> </w:t>
            </w:r>
          </w:p>
        </w:tc>
      </w:tr>
    </w:tbl>
    <w:p w:rsidR="00000000" w:rsidDel="00000000" w:rsidP="00000000" w:rsidRDefault="00000000" w:rsidRPr="00000000" w14:paraId="00000064">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jc w:val="both"/>
        <w:rPr>
          <w:rFonts w:ascii="Century Gothic" w:cs="Century Gothic" w:eastAsia="Century Gothic" w:hAnsi="Century Gothic"/>
          <w:b w:val="1"/>
          <w:bCs w:val="1"/>
          <w:color w:val="000000"/>
          <w:sz w:val="26"/>
          <w:szCs w:val="26"/>
        </w:rPr>
      </w:pPr>
      <w:bookmarkStart w:colFirst="0" w:colLast="0" w:name="_pca5yu1282yb" w:id="5"/>
      <w:bookmarkEnd w:id="5"/>
      <w:r w:rsidDel="00000000" w:rsidR="00000000" w:rsidRPr="00000000">
        <w:rPr>
          <w:rFonts w:ascii="Century Gothic" w:cs="Century Gothic" w:eastAsia="Century Gothic" w:hAnsi="Century Gothic"/>
          <w:b w:val="1"/>
          <w:bCs w:val="1"/>
          <w:color w:val="000000"/>
          <w:sz w:val="26"/>
          <w:szCs w:val="26"/>
          <w:rtl w:val="0"/>
        </w:rPr>
        <w:t xml:space="preserve">Key  Watch point </w:t>
      </w:r>
    </w:p>
    <w:p w:rsidR="00000000" w:rsidDel="00000000" w:rsidP="00000000" w:rsidRDefault="00000000" w:rsidRPr="00000000" w14:paraId="00000066">
      <w:pPr>
        <w:numPr>
          <w:ilvl w:val="0"/>
          <w:numId w:val="3"/>
        </w:numPr>
        <w:spacing w:after="200" w:befor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FPSO contract awards and procurement timelines.</w:t>
      </w:r>
    </w:p>
    <w:p w:rsidR="00000000" w:rsidDel="00000000" w:rsidP="00000000" w:rsidRDefault="00000000" w:rsidRPr="00000000" w14:paraId="00000067">
      <w:pPr>
        <w:numPr>
          <w:ilvl w:val="0"/>
          <w:numId w:val="3"/>
        </w:numPr>
        <w:spacing w:after="200" w:before="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Subsea infrastructure contracting opportunities.</w:t>
      </w:r>
    </w:p>
    <w:p w:rsidR="00000000" w:rsidDel="00000000" w:rsidP="00000000" w:rsidRDefault="00000000" w:rsidRPr="00000000" w14:paraId="00000068">
      <w:pPr>
        <w:numPr>
          <w:ilvl w:val="0"/>
          <w:numId w:val="3"/>
        </w:numPr>
        <w:spacing w:after="200" w:before="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Drilling campaign schedules through 2027–2028.</w:t>
      </w:r>
    </w:p>
    <w:p w:rsidR="00000000" w:rsidDel="00000000" w:rsidP="00000000" w:rsidRDefault="00000000" w:rsidRPr="00000000" w14:paraId="00000069">
      <w:pPr>
        <w:numPr>
          <w:ilvl w:val="0"/>
          <w:numId w:val="3"/>
        </w:numPr>
        <w:spacing w:after="200" w:before="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Angola LNG throughput growth following startup.</w:t>
      </w:r>
    </w:p>
    <w:p w:rsidR="00000000" w:rsidDel="00000000" w:rsidP="00000000" w:rsidRDefault="00000000" w:rsidRPr="00000000" w14:paraId="0000006A">
      <w:pPr>
        <w:numPr>
          <w:ilvl w:val="0"/>
          <w:numId w:val="3"/>
        </w:numPr>
        <w:spacing w:after="200" w:before="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Replication of the cross-block model in other Angolan concessions.</w:t>
      </w:r>
    </w:p>
    <w:p w:rsidR="00000000" w:rsidDel="00000000" w:rsidP="00000000" w:rsidRDefault="00000000" w:rsidRPr="00000000" w14:paraId="0000006B">
      <w:pPr>
        <w:numPr>
          <w:ilvl w:val="0"/>
          <w:numId w:val="3"/>
        </w:numPr>
        <w:spacing w:after="200" w:befor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Additional hub-based developments by Azule Energy and other operators.</w:t>
      </w:r>
    </w:p>
    <w:p w:rsidR="00000000" w:rsidDel="00000000" w:rsidP="00000000" w:rsidRDefault="00000000" w:rsidRPr="00000000" w14:paraId="0000006C">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jc w:val="both"/>
        <w:rPr>
          <w:rFonts w:ascii="Century Gothic" w:cs="Century Gothic" w:eastAsia="Century Gothic" w:hAnsi="Century Gothic"/>
          <w:b w:val="1"/>
          <w:bCs w:val="1"/>
          <w:sz w:val="26"/>
          <w:szCs w:val="26"/>
        </w:rPr>
      </w:pPr>
      <w:bookmarkStart w:colFirst="0" w:colLast="0" w:name="_5uoqk4y1vtb0" w:id="6"/>
      <w:bookmarkEnd w:id="6"/>
      <w:r w:rsidDel="00000000" w:rsidR="00000000" w:rsidRPr="00000000">
        <w:rPr>
          <w:rFonts w:ascii="Century Gothic" w:cs="Century Gothic" w:eastAsia="Century Gothic" w:hAnsi="Century Gothic"/>
          <w:b w:val="1"/>
          <w:bCs w:val="1"/>
          <w:sz w:val="26"/>
          <w:szCs w:val="26"/>
          <w:rtl w:val="0"/>
        </w:rPr>
        <w:t xml:space="preserve">Outlook</w:t>
      </w:r>
    </w:p>
    <w:p w:rsidR="00000000" w:rsidDel="00000000" w:rsidP="00000000" w:rsidRDefault="00000000" w:rsidRPr="00000000" w14:paraId="0000006E">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Greater PAJ FID represents more than another offshore development approval; it signals a structural evolution in Angola's upstream strategy. By consolidating multiple discoveries across separate concessions into a single integrated production hub, operators are demonstrating how mature offshore basins can remain globally competitive through infrastructure sharing, improved recovery, and lower development costs.</w:t>
      </w:r>
    </w:p>
    <w:p w:rsidR="00000000" w:rsidDel="00000000" w:rsidP="00000000" w:rsidRDefault="00000000" w:rsidRPr="00000000" w14:paraId="0000006F">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executed successfully, the Greater PAJ project could become the blueprint for future deepwater developments across Angola and other African offshore provinces, accelerating a broader industry shift toward multi-field, cross-block hub developments that maximize resource recovery while preserving capital efficiency.</w:t>
      </w:r>
    </w:p>
    <w:p w:rsidR="00000000" w:rsidDel="00000000" w:rsidP="00000000" w:rsidRDefault="00000000" w:rsidRPr="00000000" w14:paraId="00000070">
      <w:pPr>
        <w:jc w:val="both"/>
        <w:rPr>
          <w:rFonts w:ascii="Century Gothic" w:cs="Century Gothic" w:eastAsia="Century Gothic" w:hAnsi="Century Gothic"/>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