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both"/>
        <w:rPr>
          <w:rFonts w:ascii="Century Gothic" w:cs="Century Gothic" w:eastAsia="Century Gothic" w:hAnsi="Century Gothic"/>
          <w:b w:val="1"/>
          <w:bCs w:val="1"/>
          <w:sz w:val="42"/>
          <w:szCs w:val="42"/>
        </w:rPr>
      </w:pPr>
      <w:r w:rsidDel="00000000" w:rsidR="00000000" w:rsidRPr="00000000">
        <w:rPr>
          <w:rFonts w:ascii="Century Gothic" w:cs="Century Gothic" w:eastAsia="Century Gothic" w:hAnsi="Century Gothic"/>
          <w:b w:val="1"/>
          <w:bCs w:val="1"/>
          <w:sz w:val="42"/>
          <w:szCs w:val="42"/>
          <w:rtl w:val="0"/>
        </w:rPr>
        <w:t xml:space="preserve">CÔTE D’IVOIRE'S DEEPWATER MOMENTUM: BUBALE-1X EXTENDS EXPLORATION SUCCESS</w:t>
      </w:r>
    </w:p>
    <w:p w:rsidR="00000000" w:rsidDel="00000000" w:rsidP="00000000" w:rsidRDefault="00000000" w:rsidRPr="00000000" w14:paraId="00000002">
      <w:pPr>
        <w:spacing w:after="200" w:lineRule="auto"/>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color w:val="000000"/>
          <w:sz w:val="26"/>
          <w:szCs w:val="26"/>
          <w:rtl w:val="0"/>
        </w:rPr>
        <w:t xml:space="preserve">Executive Summary</w:t>
      </w:r>
      <w:r w:rsidDel="00000000" w:rsidR="00000000" w:rsidRPr="00000000">
        <w:rPr>
          <w:rtl w:val="0"/>
        </w:rPr>
      </w:r>
    </w:p>
    <w:p w:rsidR="00000000" w:rsidDel="00000000" w:rsidP="00000000" w:rsidRDefault="00000000" w:rsidRPr="00000000" w14:paraId="00000003">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Murphy Oil has announced a significant oil discovery at the Bubale-1X exploration well in Block C1-709 offshore Côte d’Ivoire, encountering approximately 100 feet of net oil pay in a deepwater prospect. The discovery follows a series of successful exploration campaigns by Eni and further confirms the prospectivity of the Ivorian deepwater basin. Murphy has indicated that appraisal activities will commence during the second half of 2026, accelerating efforts to determine the commercial scale of the discovery. </w:t>
      </w:r>
    </w:p>
    <w:p w:rsidR="00000000" w:rsidDel="00000000" w:rsidP="00000000" w:rsidRDefault="00000000" w:rsidRPr="00000000" w14:paraId="00000004">
      <w:pPr>
        <w:spacing w:after="240" w:befor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discovery is likely to reinforce investor confidence in Côte d'Ivoire's upstream framework, particularly its fiscal terms and exploration-led licensing strategy approach at a moment when the government is pursuing a goal of 500,000 barrels of oil per day and 1 billion cubic feet per day of gas by 2035, alongside a broader ambition to rank among Africa’s top five hydrocarbon producers. </w:t>
      </w:r>
    </w:p>
    <w:p w:rsidR="00000000" w:rsidDel="00000000" w:rsidP="00000000" w:rsidRDefault="00000000" w:rsidRPr="00000000" w14:paraId="00000005">
      <w:pPr>
        <w:spacing w:after="240" w:before="240" w:lineRule="auto"/>
        <w:jc w:val="both"/>
        <w:rPr>
          <w:rFonts w:ascii="Century Gothic" w:cs="Century Gothic" w:eastAsia="Century Gothic" w:hAnsi="Century Gothic"/>
          <w:b w:val="1"/>
          <w:bCs w:val="1"/>
          <w:color w:val="000000"/>
          <w:sz w:val="26"/>
          <w:szCs w:val="26"/>
        </w:rPr>
      </w:pPr>
      <w:r w:rsidDel="00000000" w:rsidR="00000000" w:rsidRPr="00000000">
        <w:rPr>
          <w:rFonts w:ascii="Century Gothic" w:cs="Century Gothic" w:eastAsia="Century Gothic" w:hAnsi="Century Gothic"/>
          <w:b w:val="1"/>
          <w:bCs w:val="1"/>
          <w:color w:val="000000"/>
          <w:sz w:val="26"/>
          <w:szCs w:val="26"/>
          <w:rtl w:val="0"/>
        </w:rPr>
        <w:t xml:space="preserve">Key Developments</w:t>
      </w:r>
    </w:p>
    <w:p w:rsidR="00000000" w:rsidDel="00000000" w:rsidP="00000000" w:rsidRDefault="00000000" w:rsidRPr="00000000" w14:paraId="00000006">
      <w:pPr>
        <w:numPr>
          <w:ilvl w:val="0"/>
          <w:numId w:val="2"/>
        </w:numPr>
        <w:spacing w:after="0" w:afterAutospacing="0" w:before="24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Murphy Oil successfully drilled the Bubale-1X well in Block C1-709, reaching a total depth exceeding 20,000 feet in deepwater conditions.</w:t>
      </w:r>
    </w:p>
    <w:p w:rsidR="00000000" w:rsidDel="00000000" w:rsidP="00000000" w:rsidRDefault="00000000" w:rsidRPr="00000000" w14:paraId="00000007">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well encountered approximately 100 feet of oil-bearing reservoir, indicating a potentially commercial hydrocarbon accumulation.</w:t>
      </w:r>
    </w:p>
    <w:p w:rsidR="00000000" w:rsidDel="00000000" w:rsidP="00000000" w:rsidRDefault="00000000" w:rsidRPr="00000000" w14:paraId="00000008">
      <w:pPr>
        <w:numPr>
          <w:ilvl w:val="0"/>
          <w:numId w:val="2"/>
        </w:numPr>
        <w:spacing w:after="0" w:afterAutospacing="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 appraisal drilling campaign is scheduled for H2 2026 to define reservoir extent, recoverable volumes, and development options.</w:t>
      </w:r>
    </w:p>
    <w:p w:rsidR="00000000" w:rsidDel="00000000" w:rsidP="00000000" w:rsidRDefault="00000000" w:rsidRPr="00000000" w14:paraId="00000009">
      <w:pPr>
        <w:numPr>
          <w:ilvl w:val="0"/>
          <w:numId w:val="2"/>
        </w:numPr>
        <w:spacing w:after="240" w:before="0" w:beforeAutospacing="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discovery adds momentum to a broader exploration success trend offshore Côte d’Ivoire, following major discoveries and development activities led by Eni.</w:t>
      </w:r>
    </w:p>
    <w:p w:rsidR="00000000" w:rsidDel="00000000" w:rsidP="00000000" w:rsidRDefault="00000000" w:rsidRPr="00000000" w14:paraId="0000000A">
      <w:pPr>
        <w:spacing w:after="240" w:before="240" w:lineRule="auto"/>
        <w:jc w:val="both"/>
        <w:rPr>
          <w:rFonts w:ascii="Century Gothic" w:cs="Century Gothic" w:eastAsia="Century Gothic" w:hAnsi="Century Gothic"/>
          <w:sz w:val="26"/>
          <w:szCs w:val="26"/>
        </w:rPr>
      </w:pPr>
      <w:r w:rsidDel="00000000" w:rsidR="00000000" w:rsidRPr="00000000">
        <w:rPr>
          <w:rFonts w:ascii="Century Gothic" w:cs="Century Gothic" w:eastAsia="Century Gothic" w:hAnsi="Century Gothic"/>
          <w:b w:val="1"/>
          <w:bCs w:val="1"/>
          <w:sz w:val="26"/>
          <w:szCs w:val="26"/>
          <w:rtl w:val="0"/>
        </w:rPr>
        <w:t xml:space="preserve">Well and Block Snapshot</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Parameter </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Detail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Field / well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Bubale-1X</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Block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CI-709 (offshore Côte d’Ivoire)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Operator / working interest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Murphy Oil Corporation (NYSE: MUR) – 90% WI</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Partner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PETROCI (Société Nationale d’Opérations Pétrolières de la Côte d’Ivoire) – 10% WI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~40 miles (≈64 km) offshore; deepwater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Water depth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7,795 ft (2,376 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Total well depth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20,548 ft (6,263 m)</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Net oil pay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~100 ft (30 m) across two reservoirs</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Fluid type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High-quality light oil (preliminary assessment)</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Spud date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Late February 2026</w:t>
            </w:r>
            <w:r w:rsidDel="00000000" w:rsidR="00000000" w:rsidRPr="00000000">
              <w:rPr>
                <w:rFonts w:ascii="Century Gothic" w:cs="Century Gothic" w:eastAsia="Century Gothic" w:hAnsi="Century Gothic"/>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Result announcement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Late June 2026</w:t>
            </w:r>
            <w:r w:rsidDel="00000000" w:rsidR="00000000" w:rsidRPr="00000000">
              <w:rPr>
                <w:rFonts w:ascii="Century Gothic" w:cs="Century Gothic" w:eastAsia="Century Gothic" w:hAnsi="Century Gothic"/>
                <w:rtl w:val="0"/>
              </w:rPr>
              <w:t xml:space="preserve"> </w:t>
            </w:r>
          </w:p>
        </w:tc>
      </w:tr>
    </w:tbl>
    <w:p w:rsidR="00000000" w:rsidDel="00000000" w:rsidP="00000000" w:rsidRDefault="00000000" w:rsidRPr="00000000" w14:paraId="00000023">
      <w:pPr>
        <w:spacing w:after="20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pStyle w:val="Heading3"/>
        <w:keepNext w:val="0"/>
        <w:keepLines w:val="0"/>
        <w:spacing w:after="200" w:before="280" w:lineRule="auto"/>
        <w:jc w:val="both"/>
        <w:rPr>
          <w:rFonts w:ascii="Century Gothic" w:cs="Century Gothic" w:eastAsia="Century Gothic" w:hAnsi="Century Gothic"/>
          <w:b w:val="1"/>
          <w:bCs w:val="1"/>
          <w:sz w:val="26"/>
          <w:szCs w:val="26"/>
        </w:rPr>
      </w:pPr>
      <w:bookmarkStart w:colFirst="0" w:colLast="0" w:name="_d4hg6vhzvcsf" w:id="0"/>
      <w:bookmarkEnd w:id="0"/>
      <w:r w:rsidDel="00000000" w:rsidR="00000000" w:rsidRPr="00000000">
        <w:rPr>
          <w:rFonts w:ascii="Century Gothic" w:cs="Century Gothic" w:eastAsia="Century Gothic" w:hAnsi="Century Gothic"/>
          <w:b w:val="1"/>
          <w:bCs w:val="1"/>
          <w:color w:val="000000"/>
          <w:sz w:val="26"/>
          <w:szCs w:val="26"/>
          <w:rtl w:val="0"/>
        </w:rPr>
        <w:t xml:space="preserve">Market Implications</w:t>
      </w:r>
      <w:r w:rsidDel="00000000" w:rsidR="00000000" w:rsidRPr="00000000">
        <w:rPr>
          <w:rtl w:val="0"/>
        </w:rPr>
      </w:r>
    </w:p>
    <w:p w:rsidR="00000000" w:rsidDel="00000000" w:rsidP="00000000" w:rsidRDefault="00000000" w:rsidRPr="00000000" w14:paraId="00000025">
      <w:pPr>
        <w:numPr>
          <w:ilvl w:val="0"/>
          <w:numId w:val="5"/>
        </w:numPr>
        <w:spacing w:after="200" w:lineRule="auto"/>
        <w:ind w:left="720" w:hanging="360"/>
        <w:jc w:val="both"/>
        <w:rPr/>
      </w:pPr>
      <w:r w:rsidDel="00000000" w:rsidR="00000000" w:rsidRPr="00000000">
        <w:rPr>
          <w:rFonts w:ascii="Century Gothic" w:cs="Century Gothic" w:eastAsia="Century Gothic" w:hAnsi="Century Gothic"/>
          <w:b w:val="1"/>
          <w:bCs w:val="1"/>
          <w:rtl w:val="0"/>
        </w:rPr>
        <w:t xml:space="preserve">Validation of Exploration-Led Strategy</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26">
      <w:pPr>
        <w:spacing w:after="20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discovery confirms the effectiveness of the Ivorian government’s fiscal and regulatory framework, which has successfully attracted both majors (Eni) and independent operators (Murphy Oil, Vaalco).</w:t>
      </w:r>
    </w:p>
    <w:p w:rsidR="00000000" w:rsidDel="00000000" w:rsidP="00000000" w:rsidRDefault="00000000" w:rsidRPr="00000000" w14:paraId="00000027">
      <w:pPr>
        <w:numPr>
          <w:ilvl w:val="0"/>
          <w:numId w:val="6"/>
        </w:numPr>
        <w:spacing w:after="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Regional Hub Ambitions</w:t>
      </w:r>
    </w:p>
    <w:p w:rsidR="00000000" w:rsidDel="00000000" w:rsidP="00000000" w:rsidRDefault="00000000" w:rsidRPr="00000000" w14:paraId="00000028">
      <w:pPr>
        <w:spacing w:after="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find, following the landmark discoveries at Baleine and Calao by Eni, shifts Ivory Coast from a "frontier" market to a core West African deepwater hub. The discovery strengthens Côte d'Ivoire's position as an emerging West African deepwater growth centre, complementing established producing provinces in Nigeria and Angola </w:t>
      </w:r>
    </w:p>
    <w:p w:rsidR="00000000" w:rsidDel="00000000" w:rsidP="00000000" w:rsidRDefault="00000000" w:rsidRPr="00000000" w14:paraId="00000029">
      <w:pPr>
        <w:numPr>
          <w:ilvl w:val="0"/>
          <w:numId w:val="3"/>
        </w:numPr>
        <w:spacing w:after="240"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Economic Diversification</w:t>
      </w:r>
    </w:p>
    <w:p w:rsidR="00000000" w:rsidDel="00000000" w:rsidP="00000000" w:rsidRDefault="00000000" w:rsidRPr="00000000" w14:paraId="0000002A">
      <w:pPr>
        <w:spacing w:after="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government's 2035 master plan which includes hitting 500,000 bpd and over 1 billion cubic feet of natural gas per day is now increasingly viewed as achievable. Expanded hydrocarbon production could diversify export revenues, strengthen fiscal receipts, and reduce the economy's dependence on agricultural commodities, particularly cocoa. </w:t>
      </w:r>
    </w:p>
    <w:p w:rsidR="00000000" w:rsidDel="00000000" w:rsidP="00000000" w:rsidRDefault="00000000" w:rsidRPr="00000000" w14:paraId="0000002B">
      <w:pPr>
        <w:spacing w:after="24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numPr>
          <w:ilvl w:val="0"/>
          <w:numId w:val="1"/>
        </w:numPr>
        <w:spacing w:after="240" w:lineRule="auto"/>
        <w:ind w:left="720" w:hanging="360"/>
        <w:jc w:val="both"/>
        <w:rPr>
          <w:rFonts w:ascii="Century Gothic" w:cs="Century Gothic" w:eastAsia="Century Gothic" w:hAnsi="Century Gothic"/>
          <w:b w:val="1"/>
          <w:bCs w:val="1"/>
          <w:u w:val="none"/>
        </w:rPr>
      </w:pPr>
      <w:r w:rsidDel="00000000" w:rsidR="00000000" w:rsidRPr="00000000">
        <w:rPr>
          <w:rFonts w:ascii="Century Gothic" w:cs="Century Gothic" w:eastAsia="Century Gothic" w:hAnsi="Century Gothic"/>
          <w:b w:val="1"/>
          <w:bCs w:val="1"/>
          <w:rtl w:val="0"/>
        </w:rPr>
        <w:t xml:space="preserve">Increased Competitive Activity</w:t>
      </w:r>
    </w:p>
    <w:p w:rsidR="00000000" w:rsidDel="00000000" w:rsidP="00000000" w:rsidRDefault="00000000" w:rsidRPr="00000000" w14:paraId="0000002D">
      <w:pPr>
        <w:spacing w:after="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sustained success in the Ivorian basin is driving intense interest from other global players, as evidenced by recent large-scale block acquisitions. This will likely tighten the competition for remaining uncontracted acreage in the Gulf of Guinea.</w:t>
      </w:r>
    </w:p>
    <w:p w:rsidR="00000000" w:rsidDel="00000000" w:rsidP="00000000" w:rsidRDefault="00000000" w:rsidRPr="00000000" w14:paraId="0000002E">
      <w:pPr>
        <w:pStyle w:val="Heading3"/>
        <w:keepNext w:val="0"/>
        <w:keepLines w:val="0"/>
        <w:spacing w:before="280" w:lineRule="auto"/>
        <w:jc w:val="both"/>
        <w:rPr>
          <w:rFonts w:ascii="Century Gothic" w:cs="Century Gothic" w:eastAsia="Century Gothic" w:hAnsi="Century Gothic"/>
          <w:b w:val="1"/>
          <w:bCs w:val="1"/>
          <w:color w:val="000000"/>
          <w:sz w:val="26"/>
          <w:szCs w:val="26"/>
        </w:rPr>
      </w:pPr>
      <w:bookmarkStart w:colFirst="0" w:colLast="0" w:name="_idowrc7j2wg" w:id="1"/>
      <w:bookmarkEnd w:id="1"/>
      <w:r w:rsidDel="00000000" w:rsidR="00000000" w:rsidRPr="00000000">
        <w:rPr>
          <w:rFonts w:ascii="Century Gothic" w:cs="Century Gothic" w:eastAsia="Century Gothic" w:hAnsi="Century Gothic"/>
          <w:b w:val="1"/>
          <w:bCs w:val="1"/>
          <w:color w:val="000000"/>
          <w:sz w:val="26"/>
          <w:szCs w:val="26"/>
          <w:rtl w:val="0"/>
        </w:rPr>
        <w:t xml:space="preserve">Key Risks</w:t>
      </w:r>
    </w:p>
    <w:p w:rsidR="00000000" w:rsidDel="00000000" w:rsidP="00000000" w:rsidRDefault="00000000" w:rsidRPr="00000000" w14:paraId="0000002F">
      <w:pPr>
        <w:pStyle w:val="Heading3"/>
        <w:keepNext w:val="0"/>
        <w:keepLines w:val="0"/>
        <w:numPr>
          <w:ilvl w:val="0"/>
          <w:numId w:val="4"/>
        </w:numPr>
        <w:spacing w:after="200" w:before="240" w:lineRule="auto"/>
        <w:ind w:left="720" w:hanging="360"/>
        <w:rPr>
          <w:rFonts w:ascii="Century Gothic" w:cs="Century Gothic" w:eastAsia="Century Gothic" w:hAnsi="Century Gothic"/>
          <w:color w:val="000000"/>
          <w:sz w:val="22"/>
          <w:szCs w:val="22"/>
        </w:rPr>
      </w:pPr>
      <w:bookmarkStart w:colFirst="0" w:colLast="0" w:name="_53qhjolrz9d4" w:id="2"/>
      <w:bookmarkEnd w:id="2"/>
      <w:r w:rsidDel="00000000" w:rsidR="00000000" w:rsidRPr="00000000">
        <w:rPr>
          <w:rFonts w:ascii="Century Gothic" w:cs="Century Gothic" w:eastAsia="Century Gothic" w:hAnsi="Century Gothic"/>
          <w:color w:val="000000"/>
          <w:sz w:val="22"/>
          <w:szCs w:val="22"/>
          <w:rtl w:val="0"/>
        </w:rPr>
        <w:t xml:space="preserve">Commerciality of the discovery remains unconfirmed pending appraisal drilling.</w:t>
      </w:r>
    </w:p>
    <w:p w:rsidR="00000000" w:rsidDel="00000000" w:rsidP="00000000" w:rsidRDefault="00000000" w:rsidRPr="00000000" w14:paraId="00000030">
      <w:pPr>
        <w:pStyle w:val="Heading3"/>
        <w:keepNext w:val="0"/>
        <w:keepLines w:val="0"/>
        <w:numPr>
          <w:ilvl w:val="0"/>
          <w:numId w:val="4"/>
        </w:numPr>
        <w:spacing w:after="200" w:before="0" w:lineRule="auto"/>
        <w:ind w:left="720" w:hanging="360"/>
        <w:rPr>
          <w:rFonts w:ascii="Century Gothic" w:cs="Century Gothic" w:eastAsia="Century Gothic" w:hAnsi="Century Gothic"/>
          <w:color w:val="000000"/>
          <w:sz w:val="22"/>
          <w:szCs w:val="22"/>
        </w:rPr>
      </w:pPr>
      <w:bookmarkStart w:colFirst="0" w:colLast="0" w:name="_53qhjolrz9d4" w:id="2"/>
      <w:bookmarkEnd w:id="2"/>
      <w:r w:rsidDel="00000000" w:rsidR="00000000" w:rsidRPr="00000000">
        <w:rPr>
          <w:rFonts w:ascii="Century Gothic" w:cs="Century Gothic" w:eastAsia="Century Gothic" w:hAnsi="Century Gothic"/>
          <w:color w:val="000000"/>
          <w:sz w:val="22"/>
          <w:szCs w:val="22"/>
          <w:rtl w:val="0"/>
        </w:rPr>
        <w:t xml:space="preserve">Deepwater developments require significant capital investment and long lead times.</w:t>
      </w:r>
    </w:p>
    <w:p w:rsidR="00000000" w:rsidDel="00000000" w:rsidP="00000000" w:rsidRDefault="00000000" w:rsidRPr="00000000" w14:paraId="00000031">
      <w:pPr>
        <w:pStyle w:val="Heading3"/>
        <w:keepNext w:val="0"/>
        <w:keepLines w:val="0"/>
        <w:numPr>
          <w:ilvl w:val="0"/>
          <w:numId w:val="4"/>
        </w:numPr>
        <w:spacing w:after="200" w:before="0" w:lineRule="auto"/>
        <w:ind w:left="720" w:hanging="360"/>
        <w:rPr>
          <w:rFonts w:ascii="Century Gothic" w:cs="Century Gothic" w:eastAsia="Century Gothic" w:hAnsi="Century Gothic"/>
          <w:color w:val="000000"/>
          <w:sz w:val="22"/>
          <w:szCs w:val="22"/>
        </w:rPr>
      </w:pPr>
      <w:bookmarkStart w:colFirst="0" w:colLast="0" w:name="_53qhjolrz9d4" w:id="2"/>
      <w:bookmarkEnd w:id="2"/>
      <w:r w:rsidDel="00000000" w:rsidR="00000000" w:rsidRPr="00000000">
        <w:rPr>
          <w:rFonts w:ascii="Century Gothic" w:cs="Century Gothic" w:eastAsia="Century Gothic" w:hAnsi="Century Gothic"/>
          <w:color w:val="000000"/>
          <w:sz w:val="22"/>
          <w:szCs w:val="22"/>
          <w:rtl w:val="0"/>
        </w:rPr>
        <w:t xml:space="preserve">Oil price volatility could affect project economics and development timelines.</w:t>
      </w:r>
    </w:p>
    <w:p w:rsidR="00000000" w:rsidDel="00000000" w:rsidP="00000000" w:rsidRDefault="00000000" w:rsidRPr="00000000" w14:paraId="00000032">
      <w:pPr>
        <w:pStyle w:val="Heading3"/>
        <w:keepNext w:val="0"/>
        <w:keepLines w:val="0"/>
        <w:numPr>
          <w:ilvl w:val="0"/>
          <w:numId w:val="4"/>
        </w:numPr>
        <w:spacing w:after="200" w:before="240" w:lineRule="auto"/>
        <w:ind w:left="720" w:hanging="360"/>
        <w:rPr>
          <w:rFonts w:ascii="Century Gothic" w:cs="Century Gothic" w:eastAsia="Century Gothic" w:hAnsi="Century Gothic"/>
          <w:color w:val="000000"/>
          <w:sz w:val="22"/>
          <w:szCs w:val="22"/>
        </w:rPr>
      </w:pPr>
      <w:bookmarkStart w:colFirst="0" w:colLast="0" w:name="_jnecpfmf3a14" w:id="3"/>
      <w:bookmarkEnd w:id="3"/>
      <w:r w:rsidDel="00000000" w:rsidR="00000000" w:rsidRPr="00000000">
        <w:rPr>
          <w:rFonts w:ascii="Century Gothic" w:cs="Century Gothic" w:eastAsia="Century Gothic" w:hAnsi="Century Gothic"/>
          <w:color w:val="000000"/>
          <w:sz w:val="22"/>
          <w:szCs w:val="22"/>
          <w:rtl w:val="0"/>
        </w:rPr>
        <w:t xml:space="preserve">Infrastructure requirements and market conditions will influence the pace of commercialization.</w:t>
      </w:r>
    </w:p>
    <w:p w:rsidR="00000000" w:rsidDel="00000000" w:rsidP="00000000" w:rsidRDefault="00000000" w:rsidRPr="00000000" w14:paraId="00000033">
      <w:pPr>
        <w:pStyle w:val="Heading3"/>
        <w:keepNext w:val="0"/>
        <w:keepLines w:val="0"/>
        <w:spacing w:before="280" w:lineRule="auto"/>
        <w:jc w:val="both"/>
        <w:rPr>
          <w:rFonts w:ascii="Century Gothic" w:cs="Century Gothic" w:eastAsia="Century Gothic" w:hAnsi="Century Gothic"/>
          <w:b w:val="1"/>
          <w:bCs w:val="1"/>
          <w:color w:val="000000"/>
          <w:sz w:val="26"/>
          <w:szCs w:val="26"/>
        </w:rPr>
      </w:pPr>
      <w:bookmarkStart w:colFirst="0" w:colLast="0" w:name="_53qhjolrz9d4" w:id="2"/>
      <w:bookmarkEnd w:id="2"/>
      <w:r w:rsidDel="00000000" w:rsidR="00000000" w:rsidRPr="00000000">
        <w:rPr>
          <w:rFonts w:ascii="Century Gothic" w:cs="Century Gothic" w:eastAsia="Century Gothic" w:hAnsi="Century Gothic"/>
          <w:b w:val="1"/>
          <w:bCs w:val="1"/>
          <w:color w:val="000000"/>
          <w:sz w:val="26"/>
          <w:szCs w:val="26"/>
          <w:rtl w:val="0"/>
        </w:rPr>
        <w:t xml:space="preserve">Outlook</w:t>
      </w:r>
    </w:p>
    <w:p w:rsidR="00000000" w:rsidDel="00000000" w:rsidP="00000000" w:rsidRDefault="00000000" w:rsidRPr="00000000" w14:paraId="00000034">
      <w:pPr>
        <w:spacing w:after="20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Murphy Oil's decision to proceed directly into appraisal drilling indicates confidence in the geological significance of the Bubale discovery. While recoverable volumes and development economics remain to be determined, the discovery adds further momentum to Côte d'Ivoire's offshore growth story. If appraisal results confirm commercial-scale resources, Bubale could become another cornerstone project supporting the country's ambition to emerge as one of Africa's leading hydrocarbon producers by 2035.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