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rFonts w:ascii="Century Gothic" w:cs="Century Gothic" w:eastAsia="Century Gothic" w:hAnsi="Century Gothic"/>
          <w:sz w:val="44"/>
          <w:szCs w:val="44"/>
        </w:rPr>
      </w:pPr>
      <w:r w:rsidDel="00000000" w:rsidR="00000000" w:rsidRPr="00000000">
        <w:rPr>
          <w:rFonts w:ascii="Century Gothic" w:cs="Century Gothic" w:eastAsia="Century Gothic" w:hAnsi="Century Gothic"/>
          <w:b w:val="1"/>
          <w:bCs w:val="1"/>
          <w:sz w:val="44"/>
          <w:szCs w:val="44"/>
          <w:rtl w:val="0"/>
        </w:rPr>
        <w:t xml:space="preserve">Liberia Energy Country Briefing</w:t>
      </w:r>
      <w:r w:rsidDel="00000000" w:rsidR="00000000" w:rsidRPr="00000000">
        <w:rPr>
          <w:rFonts w:ascii="Century Gothic" w:cs="Century Gothic" w:eastAsia="Century Gothic" w:hAnsi="Century Gothic"/>
          <w:sz w:val="44"/>
          <w:szCs w:val="44"/>
          <w:rtl w:val="0"/>
        </w:rPr>
        <w:t xml:space="preserve"> </w:t>
      </w:r>
    </w:p>
    <w:p w:rsidR="00000000" w:rsidDel="00000000" w:rsidP="00000000" w:rsidRDefault="00000000" w:rsidRPr="00000000" w14:paraId="00000002">
      <w:pPr>
        <w:pStyle w:val="Heading2"/>
        <w:keepNext w:val="0"/>
        <w:keepLines w:val="0"/>
        <w:spacing w:after="80" w:lineRule="auto"/>
        <w:jc w:val="both"/>
        <w:rPr>
          <w:rFonts w:ascii="Century Gothic" w:cs="Century Gothic" w:eastAsia="Century Gothic" w:hAnsi="Century Gothic"/>
          <w:b w:val="1"/>
          <w:bCs w:val="1"/>
          <w:sz w:val="26"/>
          <w:szCs w:val="26"/>
        </w:rPr>
      </w:pPr>
      <w:bookmarkStart w:colFirst="0" w:colLast="0" w:name="_h4h3nbsqhz71" w:id="0"/>
      <w:bookmarkEnd w:id="0"/>
      <w:r w:rsidDel="00000000" w:rsidR="00000000" w:rsidRPr="00000000">
        <w:rPr>
          <w:rFonts w:ascii="Century Gothic" w:cs="Century Gothic" w:eastAsia="Century Gothic" w:hAnsi="Century Gothic"/>
          <w:b w:val="1"/>
          <w:bCs w:val="1"/>
          <w:sz w:val="26"/>
          <w:szCs w:val="26"/>
          <w:rtl w:val="0"/>
        </w:rPr>
        <w:t xml:space="preserve">Executive Summary</w:t>
      </w:r>
    </w:p>
    <w:p w:rsidR="00000000" w:rsidDel="00000000" w:rsidP="00000000" w:rsidRDefault="00000000" w:rsidRPr="00000000" w14:paraId="00000003">
      <w:pPr>
        <w:spacing w:after="240" w:befor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Liberia is one of West Africa's smallest energy markets but possesses significant long-term potential driven by offshore hydrocarbon prospects, abundant hydropower resources, and growing renewable energy opportunities. Despite progress in post-war reconstruction, Liberia remains heavily dependent on imported petroleum products for transportation, power generation, and industrial activities. Electricity access remains among the lowest in Africa, though recent investments in transmission infrastructure, hydropower rehabilitation, and regional power interconnections are gradually improving the country's energy landscape. The country's energy sector is characterized by three major themes:</w:t>
      </w:r>
    </w:p>
    <w:p w:rsidR="00000000" w:rsidDel="00000000" w:rsidP="00000000" w:rsidRDefault="00000000" w:rsidRPr="00000000" w14:paraId="00000004">
      <w:pPr>
        <w:numPr>
          <w:ilvl w:val="0"/>
          <w:numId w:val="1"/>
        </w:numPr>
        <w:spacing w:after="200" w:before="240" w:lineRule="auto"/>
        <w:ind w:left="720" w:hanging="360"/>
        <w:jc w:val="both"/>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Heavy dependence on imported refined petroleum products</w:t>
      </w:r>
    </w:p>
    <w:p w:rsidR="00000000" w:rsidDel="00000000" w:rsidP="00000000" w:rsidRDefault="00000000" w:rsidRPr="00000000" w14:paraId="00000005">
      <w:pPr>
        <w:numPr>
          <w:ilvl w:val="0"/>
          <w:numId w:val="1"/>
        </w:numPr>
        <w:spacing w:after="200" w:before="0" w:lineRule="auto"/>
        <w:ind w:left="720" w:hanging="360"/>
        <w:jc w:val="both"/>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Underdeveloped electricity infrastructure with growing renewable potential</w:t>
      </w:r>
    </w:p>
    <w:p w:rsidR="00000000" w:rsidDel="00000000" w:rsidP="00000000" w:rsidRDefault="00000000" w:rsidRPr="00000000" w14:paraId="00000006">
      <w:pPr>
        <w:numPr>
          <w:ilvl w:val="0"/>
          <w:numId w:val="1"/>
        </w:numPr>
        <w:spacing w:after="200" w:before="240" w:lineRule="auto"/>
        <w:ind w:left="720" w:hanging="360"/>
        <w:jc w:val="both"/>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Frontier offshore hydrocarbon exploration with significant geological upside but limited commercial discoveries to date</w:t>
      </w:r>
    </w:p>
    <w:p w:rsidR="00000000" w:rsidDel="00000000" w:rsidP="00000000" w:rsidRDefault="00000000" w:rsidRPr="00000000" w14:paraId="00000007">
      <w:pPr>
        <w:spacing w:after="240" w:befor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For investors and energy stakeholders, Liberia represents a long-term frontier opportunity rather than an immediate production market.</w:t>
      </w:r>
    </w:p>
    <w:p w:rsidR="00000000" w:rsidDel="00000000" w:rsidP="00000000" w:rsidRDefault="00000000" w:rsidRPr="00000000" w14:paraId="00000008">
      <w:pPr>
        <w:spacing w:after="240" w:before="240" w:lineRule="auto"/>
        <w:jc w:val="both"/>
        <w:rPr>
          <w:rFonts w:ascii="Century Gothic" w:cs="Century Gothic" w:eastAsia="Century Gothic" w:hAnsi="Century Gothic"/>
          <w:sz w:val="26"/>
          <w:szCs w:val="26"/>
        </w:rPr>
      </w:pPr>
      <w:r w:rsidDel="00000000" w:rsidR="00000000" w:rsidRPr="00000000">
        <w:rPr>
          <w:rFonts w:ascii="Century Gothic" w:cs="Century Gothic" w:eastAsia="Century Gothic" w:hAnsi="Century Gothic"/>
          <w:b w:val="1"/>
          <w:bCs w:val="1"/>
          <w:sz w:val="26"/>
          <w:szCs w:val="26"/>
          <w:rtl w:val="0"/>
        </w:rPr>
        <w:t xml:space="preserve">Snapshot</w:t>
      </w: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073763"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Indicator </w:t>
            </w:r>
          </w:p>
        </w:tc>
        <w:tc>
          <w:tcPr>
            <w:shd w:fill="073763"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Value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Domestic oil/gas production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None (zero commercial discoveries to date)</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Offshore wells drilled since 1970s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Approximately 10–13</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Active offshore basins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Liberia Basin, Harper Basin</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Blocks under PSC with TotalEnergies (Sept 2025)</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LB-6, LB-11, LB-17, LB-29 (~12,700 km²)</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TotalEnergies signature bonus</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$16 million</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Estimated investment value per block (TotalEnergies)</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Approximately  $200 million</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Blocks newly awarded to NOCAL outright (2025)</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LB-10, LB-11, LB-29, LB-31</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2024/2025 Direct Negotiation Round — blocks offered</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29 offshore blocks (Liberia + Harper Basins)</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Daily national fuel consumption</w:t>
            </w:r>
            <w:r w:rsidDel="00000000" w:rsidR="00000000" w:rsidRPr="00000000">
              <w:rPr>
                <w:rFonts w:ascii="Century Gothic" w:cs="Century Gothic" w:eastAsia="Century Gothic" w:hAnsi="Century Gothic"/>
                <w:rtl w:val="0"/>
              </w:rPr>
              <w:t xml:space="preserve"> estimate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&gt;1 million liters/day</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Domestic refining capacity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None (LPRC is a storage/import terminal, not a refinery)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Gasoline retail price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Approximately $5.09/gallon (April 2026)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Diesel (AGO) retail price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Approximately $6.55/gallon (April 2026)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Gasoline price, Jan 2025 vs mid-2025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$3.18 → $3.88/gallon (+22% in 6 months) </w:t>
            </w:r>
          </w:p>
        </w:tc>
      </w:tr>
    </w:tbl>
    <w:p w:rsidR="00000000" w:rsidDel="00000000" w:rsidP="00000000" w:rsidRDefault="00000000" w:rsidRPr="00000000" w14:paraId="00000025">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6">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7">
      <w:pPr>
        <w:jc w:val="both"/>
        <w:rPr>
          <w:rFonts w:ascii="Century Gothic" w:cs="Century Gothic" w:eastAsia="Century Gothic" w:hAnsi="Century Gothic"/>
          <w:sz w:val="26"/>
          <w:szCs w:val="26"/>
        </w:rPr>
      </w:pPr>
      <w:r w:rsidDel="00000000" w:rsidR="00000000" w:rsidRPr="00000000">
        <w:rPr>
          <w:rFonts w:ascii="Century Gothic" w:cs="Century Gothic" w:eastAsia="Century Gothic" w:hAnsi="Century Gothic"/>
          <w:b w:val="1"/>
          <w:bCs w:val="1"/>
          <w:sz w:val="26"/>
          <w:szCs w:val="26"/>
          <w:rtl w:val="0"/>
        </w:rPr>
        <w:t xml:space="preserve">Upstream</w:t>
      </w:r>
      <w:r w:rsidDel="00000000" w:rsidR="00000000" w:rsidRPr="00000000">
        <w:rPr>
          <w:rFonts w:ascii="Century Gothic" w:cs="Century Gothic" w:eastAsia="Century Gothic" w:hAnsi="Century Gothic"/>
          <w:sz w:val="26"/>
          <w:szCs w:val="26"/>
          <w:rtl w:val="0"/>
        </w:rPr>
        <w:t xml:space="preserve"> </w:t>
      </w:r>
    </w:p>
    <w:p w:rsidR="00000000" w:rsidDel="00000000" w:rsidP="00000000" w:rsidRDefault="00000000" w:rsidRPr="00000000" w14:paraId="00000028">
      <w:pPr>
        <w:spacing w:after="1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Approximately a dozen offshore exploration wells have been drilled in Liberia's offshore basins since the 1970s, none resulting in a commercial development. </w:t>
      </w:r>
      <w:r w:rsidDel="00000000" w:rsidR="00000000" w:rsidRPr="00000000">
        <w:rPr>
          <w:rFonts w:ascii="Century Gothic" w:cs="Century Gothic" w:eastAsia="Century Gothic" w:hAnsi="Century Gothic"/>
          <w:rtl w:val="0"/>
        </w:rPr>
        <w:t xml:space="preserve">Narina-1 remains the best result on record, a sub-commercial discovery, not a development case. The table below summarizes the timeline for upstream exploration in Liberia.</w:t>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shd w:fill="073763"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Period </w:t>
            </w:r>
          </w:p>
        </w:tc>
        <w:tc>
          <w:tcPr>
            <w:shd w:fill="073763"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Operator(s) </w:t>
            </w:r>
          </w:p>
        </w:tc>
        <w:tc>
          <w:tcPr>
            <w:shd w:fill="073763"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Outcome </w:t>
            </w:r>
          </w:p>
        </w:tc>
      </w:tr>
      <w:tr>
        <w:trPr>
          <w:cantSplit w:val="0"/>
          <w:trHeight w:val="432.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1970–1972</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Union Carbide, Frontier International, Chevron Oil</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4 wells drilled, no commercial discovery</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1983–1989</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Amoco Liberia Exploration Co.</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3 wells, hydrocarbons present, not commercial</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2009–2011</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Anadarko (80%), Mitsubishi (10%), Repsol (10%) — Block LB-15</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Montserrado-1 well: non-commercial oil discovery, plugged &amp; abandoned</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2012–2013</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African Petroleum — Block LB-09</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Narina-1 and Bee Eater-1 wells: oil shows (32m net pay), still deemed sub-commercial</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2016</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ExxonMobil — Mesurado-1</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Dry/non-commercial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2016</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Various — Sierra Leone, near Liberian border</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Venus-1, Mercury-1, Jupiter-1 wells found oil, validating regional play but not derisking Liberia directly</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2024</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LPRA Direct Negotiation Round launched</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29 blocks offered across Liberia and Harper Basins</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Sept 2025</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TotalEnergies</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PSCs signed for LB-6, LB-11, LB-17, LB-29</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2025</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Presidential allocation</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NOCAL awarded outright ownership of LB-10, LB-11, LB-29, LB-31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2026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LPRA “Executive Allocation” initiative</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Min. $2M initial commitment, $32M seismic/drilling phase, up to $50M advanced drilling phase per investor</w:t>
            </w:r>
            <w:r w:rsidDel="00000000" w:rsidR="00000000" w:rsidRPr="00000000">
              <w:rPr>
                <w:rFonts w:ascii="Century Gothic" w:cs="Century Gothic" w:eastAsia="Century Gothic" w:hAnsi="Century Gothic"/>
                <w:rtl w:val="0"/>
              </w:rPr>
              <w:t xml:space="preserve"> </w:t>
            </w:r>
          </w:p>
        </w:tc>
      </w:tr>
    </w:tbl>
    <w:p w:rsidR="00000000" w:rsidDel="00000000" w:rsidP="00000000" w:rsidRDefault="00000000" w:rsidRPr="00000000" w14:paraId="0000004A">
      <w:pPr>
        <w:spacing w:after="1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B">
      <w:pPr>
        <w:spacing w:after="1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Upstream Block Map </w:t>
      </w: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shd w:fill="073763"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Block(s) </w:t>
            </w:r>
          </w:p>
        </w:tc>
        <w:tc>
          <w:tcPr>
            <w:shd w:fill="073763"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Basin </w:t>
            </w:r>
          </w:p>
        </w:tc>
        <w:tc>
          <w:tcPr>
            <w:shd w:fill="073763"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Holders </w:t>
            </w:r>
          </w:p>
        </w:tc>
        <w:tc>
          <w:tcPr>
            <w:shd w:fill="073763"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Status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LB-6, LB-11, LB-17, LB-29</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Liberia Basin (south)</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TotalEnergies EP Liberia</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PSC signed Sept 2025; first JOC meeting held; 3D seismic underway</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LB-10, LB-31</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Liberia Basin</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NOCAL (state-owned)</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Awarded 2025 by presidential decision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25 remaining blocks</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Liberia &amp; Harper Basins</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Open</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Offered under 2024 Direct Negotiation Round / 2026 Executive Allocation</w:t>
            </w:r>
            <w:r w:rsidDel="00000000" w:rsidR="00000000" w:rsidRPr="00000000">
              <w:rPr>
                <w:rFonts w:ascii="Century Gothic" w:cs="Century Gothic" w:eastAsia="Century Gothic" w:hAnsi="Century Gothic"/>
                <w:rtl w:val="0"/>
              </w:rPr>
              <w:t xml:space="preserve"> </w:t>
            </w:r>
          </w:p>
        </w:tc>
      </w:tr>
    </w:tbl>
    <w:p w:rsidR="00000000" w:rsidDel="00000000" w:rsidP="00000000" w:rsidRDefault="00000000" w:rsidRPr="00000000" w14:paraId="0000005C">
      <w:pPr>
        <w:spacing w:after="1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5D">
      <w:pPr>
        <w:spacing w:after="160" w:lineRule="auto"/>
        <w:jc w:val="both"/>
        <w:rPr>
          <w:rFonts w:ascii="Century Gothic" w:cs="Century Gothic" w:eastAsia="Century Gothic" w:hAnsi="Century Gothic"/>
          <w:b w:val="1"/>
          <w:bCs w:val="1"/>
          <w:sz w:val="26"/>
          <w:szCs w:val="26"/>
        </w:rPr>
      </w:pPr>
      <w:r w:rsidDel="00000000" w:rsidR="00000000" w:rsidRPr="00000000">
        <w:rPr>
          <w:rFonts w:ascii="Century Gothic" w:cs="Century Gothic" w:eastAsia="Century Gothic" w:hAnsi="Century Gothic"/>
          <w:b w:val="1"/>
          <w:bCs w:val="1"/>
          <w:sz w:val="26"/>
          <w:szCs w:val="26"/>
          <w:rtl w:val="0"/>
        </w:rPr>
        <w:t xml:space="preserve">Downstream</w:t>
      </w:r>
    </w:p>
    <w:p w:rsidR="00000000" w:rsidDel="00000000" w:rsidP="00000000" w:rsidRDefault="00000000" w:rsidRPr="00000000" w14:paraId="0000005E">
      <w:pPr>
        <w:spacing w:after="1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Liberia has no operating refinery. The Liberia Petroleum Refining Company (LPRC) functions as a storage, import-handling, and price-administration entity on Bushrod Island, Monrovia not a refiner. Effectively 100% of refined products (gasoline/PMS, diesel/AGO, kerosene) are imported and re-priced monthly against Platts indices and the Liberian dollar exchange rate.</w:t>
      </w:r>
    </w:p>
    <w:p w:rsidR="00000000" w:rsidDel="00000000" w:rsidP="00000000" w:rsidRDefault="00000000" w:rsidRPr="00000000" w14:paraId="0000005F">
      <w:pPr>
        <w:spacing w:after="1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Retail fuel price trajectory </w:t>
      </w: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shd w:fill="073763"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Date </w:t>
            </w:r>
          </w:p>
        </w:tc>
        <w:tc>
          <w:tcPr>
            <w:shd w:fill="073763"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Gasoline (PMS)</w:t>
            </w:r>
          </w:p>
        </w:tc>
        <w:tc>
          <w:tcPr>
            <w:shd w:fill="073763"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Diesel (AGO)</w:t>
            </w:r>
          </w:p>
        </w:tc>
        <w:tc>
          <w:tcPr>
            <w:shd w:fill="073763"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Note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Jan 2025</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$3.18</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n/a</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Pre-volatility baseline</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Jun 6, 2025</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$4.04</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$4.31</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+$0.08 gasoline, +$0.05 diesel vs. prior</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Jul 2025</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$3.88</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spacing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n/a</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Reported as +22% vs. Jan 2025</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Mar 2026 (mid-month)</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Approximately $4.87</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widowControl w:val="0"/>
              <w:spacing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n/a</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Sharp rise cited amid global crude move</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Apr 4, 2026</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$5.09</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$6.55</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+$0.22 gasoline, +$0.77 diesel month-on-month</w:t>
            </w:r>
            <w:r w:rsidDel="00000000" w:rsidR="00000000" w:rsidRPr="00000000">
              <w:rPr>
                <w:rFonts w:ascii="Century Gothic" w:cs="Century Gothic" w:eastAsia="Century Gothic" w:hAnsi="Century Gothic"/>
                <w:rtl w:val="0"/>
              </w:rPr>
              <w:t xml:space="preserve"> </w:t>
            </w:r>
          </w:p>
        </w:tc>
      </w:tr>
    </w:tbl>
    <w:p w:rsidR="00000000" w:rsidDel="00000000" w:rsidP="00000000" w:rsidRDefault="00000000" w:rsidRPr="00000000" w14:paraId="00000078">
      <w:pPr>
        <w:spacing w:after="1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9">
      <w:pPr>
        <w:spacing w:after="160" w:lineRule="auto"/>
        <w:jc w:val="both"/>
        <w:rPr>
          <w:rFonts w:ascii="Century Gothic" w:cs="Century Gothic" w:eastAsia="Century Gothic" w:hAnsi="Century Gothic"/>
          <w:b w:val="1"/>
          <w:bCs w:val="1"/>
        </w:rPr>
      </w:pPr>
      <w:r w:rsidDel="00000000" w:rsidR="00000000" w:rsidRPr="00000000">
        <w:rPr>
          <w:b w:val="1"/>
          <w:bCs w:val="1"/>
          <w:sz w:val="26"/>
          <w:szCs w:val="26"/>
          <w:rtl w:val="0"/>
        </w:rPr>
        <w:t xml:space="preserve">Power &amp; Electricity Sector</w:t>
      </w:r>
      <w:r w:rsidDel="00000000" w:rsidR="00000000" w:rsidRPr="00000000">
        <w:rPr>
          <w:rFonts w:ascii="Century Gothic" w:cs="Century Gothic" w:eastAsia="Century Gothic" w:hAnsi="Century Gothic"/>
          <w:b w:val="1"/>
          <w:bCs w:val="1"/>
          <w:rtl w:val="0"/>
        </w:rPr>
        <w:t xml:space="preserve"> </w:t>
      </w:r>
    </w:p>
    <w:p w:rsidR="00000000" w:rsidDel="00000000" w:rsidP="00000000" w:rsidRDefault="00000000" w:rsidRPr="00000000" w14:paraId="0000007A">
      <w:pPr>
        <w:spacing w:after="1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Liberia's available domestic grid generation increased by approximately 42 MW in June 2026 following the restoration of a damaged 22 MW turbine at the Mount Coffee Hydropower Plant and the commissioning of a new 20 MW solar facility. The national utility, Liberia Electricity Corporation (LEC), has begun cutting back imports from Côte d'Ivoire and Guinea for the first time, a small but symbolic step toward energy independence.</w:t>
      </w:r>
    </w:p>
    <w:p w:rsidR="00000000" w:rsidDel="00000000" w:rsidP="00000000" w:rsidRDefault="00000000" w:rsidRPr="00000000" w14:paraId="0000007B">
      <w:pPr>
        <w:spacing w:after="160" w:lineRule="auto"/>
        <w:jc w:val="both"/>
        <w:rPr>
          <w:rFonts w:ascii="Century Gothic" w:cs="Century Gothic" w:eastAsia="Century Gothic" w:hAnsi="Century Gothic"/>
        </w:rPr>
      </w:pPr>
      <w:r w:rsidDel="00000000" w:rsidR="00000000" w:rsidRPr="00000000">
        <w:rPr>
          <w:rtl w:val="0"/>
        </w:rPr>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shd w:fill="073763" w:val="clear"/>
            <w:tcMar>
              <w:top w:w="100.0" w:type="dxa"/>
              <w:left w:w="100.0" w:type="dxa"/>
              <w:bottom w:w="100.0" w:type="dxa"/>
              <w:right w:w="100.0" w:type="dxa"/>
            </w:tcMar>
            <w:vAlign w:val="top"/>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Indicator </w:t>
            </w:r>
          </w:p>
        </w:tc>
        <w:tc>
          <w:tcPr>
            <w:shd w:fill="073763"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Value </w:t>
            </w:r>
          </w:p>
        </w:tc>
        <w:tc>
          <w:tcPr>
            <w:shd w:fill="073763" w:val="clear"/>
            <w:tcMar>
              <w:top w:w="100.0" w:type="dxa"/>
              <w:left w:w="100.0" w:type="dxa"/>
              <w:bottom w:w="100.0" w:type="dxa"/>
              <w:right w:w="100.0" w:type="dxa"/>
            </w:tcMar>
            <w:vAlign w:val="top"/>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Year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rPr>
            </w:pPr>
            <w:r w:rsidDel="00000000" w:rsidR="00000000" w:rsidRPr="00000000">
              <w:rPr>
                <w:sz w:val="20"/>
                <w:szCs w:val="20"/>
                <w:rtl w:val="0"/>
              </w:rPr>
              <w:t xml:space="preserve">National electrification rate</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Approximately 32.5%</w:t>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rPr>
            </w:pPr>
            <w:r w:rsidDel="00000000" w:rsidR="00000000" w:rsidRPr="00000000">
              <w:rPr>
                <w:sz w:val="20"/>
                <w:szCs w:val="20"/>
                <w:rtl w:val="0"/>
              </w:rPr>
              <w:t xml:space="preserve">2023</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rPr>
            </w:pPr>
            <w:r w:rsidDel="00000000" w:rsidR="00000000" w:rsidRPr="00000000">
              <w:rPr>
                <w:sz w:val="20"/>
                <w:szCs w:val="20"/>
                <w:rtl w:val="0"/>
              </w:rPr>
              <w:t xml:space="preserve">Urban electrification rate</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widowControl w:val="0"/>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Approximately 52.7%</w:t>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rPr>
            </w:pPr>
            <w:r w:rsidDel="00000000" w:rsidR="00000000" w:rsidRPr="00000000">
              <w:rPr>
                <w:sz w:val="20"/>
                <w:szCs w:val="20"/>
                <w:rtl w:val="0"/>
              </w:rPr>
              <w:t xml:space="preserve">2023</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rPr>
            </w:pPr>
            <w:r w:rsidDel="00000000" w:rsidR="00000000" w:rsidRPr="00000000">
              <w:rPr>
                <w:sz w:val="20"/>
                <w:szCs w:val="20"/>
                <w:rtl w:val="0"/>
              </w:rPr>
              <w:t xml:space="preserve">Rural electrification rate</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rPr>
            </w:pPr>
            <w:r w:rsidDel="00000000" w:rsidR="00000000" w:rsidRPr="00000000">
              <w:rPr>
                <w:sz w:val="20"/>
                <w:szCs w:val="20"/>
                <w:rtl w:val="0"/>
              </w:rPr>
              <w:t xml:space="preserve">Approximately 9.3%</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rPr>
            </w:pPr>
            <w:r w:rsidDel="00000000" w:rsidR="00000000" w:rsidRPr="00000000">
              <w:rPr>
                <w:sz w:val="20"/>
                <w:szCs w:val="20"/>
                <w:rtl w:val="0"/>
              </w:rPr>
              <w:t xml:space="preserve">2023</w:t>
            </w:r>
            <w:r w:rsidDel="00000000" w:rsidR="00000000" w:rsidRPr="00000000">
              <w:rPr>
                <w:rFonts w:ascii="Century Gothic" w:cs="Century Gothic" w:eastAsia="Century Gothic" w:hAnsi="Century Gothic"/>
                <w:rtl w:val="0"/>
              </w:rPr>
              <w:t xml:space="preserve">/2024</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rPr>
            </w:pPr>
            <w:r w:rsidDel="00000000" w:rsidR="00000000" w:rsidRPr="00000000">
              <w:rPr>
                <w:sz w:val="20"/>
                <w:szCs w:val="20"/>
                <w:rtl w:val="0"/>
              </w:rPr>
              <w:t xml:space="preserve">Installed domestic generation capacity</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rPr>
            </w:pPr>
            <w:r w:rsidDel="00000000" w:rsidR="00000000" w:rsidRPr="00000000">
              <w:rPr>
                <w:sz w:val="20"/>
                <w:szCs w:val="20"/>
                <w:rtl w:val="0"/>
              </w:rPr>
              <w:t xml:space="preserve">Approximately 130 MW</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rPr>
            </w:pPr>
            <w:r w:rsidDel="00000000" w:rsidR="00000000" w:rsidRPr="00000000">
              <w:rPr>
                <w:sz w:val="20"/>
                <w:szCs w:val="20"/>
                <w:rtl w:val="0"/>
              </w:rPr>
              <w:t xml:space="preserve">Mount Coffee Hydropower Plant capacity</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rPr>
            </w:pPr>
            <w:r w:rsidDel="00000000" w:rsidR="00000000" w:rsidRPr="00000000">
              <w:rPr>
                <w:sz w:val="20"/>
                <w:szCs w:val="20"/>
                <w:rtl w:val="0"/>
              </w:rPr>
              <w:t xml:space="preserve">88 MW (4 × 22 MW units)</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rPr>
            </w:pPr>
            <w:r w:rsidDel="00000000" w:rsidR="00000000" w:rsidRPr="00000000">
              <w:rPr>
                <w:sz w:val="20"/>
                <w:szCs w:val="20"/>
                <w:rtl w:val="0"/>
              </w:rPr>
              <w:t xml:space="preserve">June 2026</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rPr>
            </w:pPr>
            <w:r w:rsidDel="00000000" w:rsidR="00000000" w:rsidRPr="00000000">
              <w:rPr>
                <w:sz w:val="20"/>
                <w:szCs w:val="20"/>
                <w:rtl w:val="0"/>
              </w:rPr>
              <w:t xml:space="preserve">New solar capacity at Mount Coffee site</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rPr>
            </w:pPr>
            <w:r w:rsidDel="00000000" w:rsidR="00000000" w:rsidRPr="00000000">
              <w:rPr>
                <w:sz w:val="20"/>
                <w:szCs w:val="20"/>
                <w:rtl w:val="0"/>
              </w:rPr>
              <w:t xml:space="preserve">20 MW (+5 MWh BESS planned)</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rPr>
            </w:pPr>
            <w:r w:rsidDel="00000000" w:rsidR="00000000" w:rsidRPr="00000000">
              <w:rPr>
                <w:sz w:val="20"/>
                <w:szCs w:val="20"/>
                <w:rtl w:val="0"/>
              </w:rPr>
              <w:t xml:space="preserve">June 2026</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rPr>
            </w:pPr>
            <w:r w:rsidDel="00000000" w:rsidR="00000000" w:rsidRPr="00000000">
              <w:rPr>
                <w:sz w:val="20"/>
                <w:szCs w:val="20"/>
                <w:rtl w:val="0"/>
              </w:rPr>
              <w:t xml:space="preserve">Regional power imports (Côte d'Ivoire / Guinea)</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rPr>
            </w:pPr>
            <w:r w:rsidDel="00000000" w:rsidR="00000000" w:rsidRPr="00000000">
              <w:rPr>
                <w:sz w:val="20"/>
                <w:szCs w:val="20"/>
                <w:rtl w:val="0"/>
              </w:rPr>
              <w:t xml:space="preserve">Approximately 35–50 MW historically; now scaled back</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rPr>
            </w:pPr>
            <w:r w:rsidDel="00000000" w:rsidR="00000000" w:rsidRPr="00000000">
              <w:rPr>
                <w:sz w:val="20"/>
                <w:szCs w:val="20"/>
                <w:rtl w:val="0"/>
              </w:rPr>
              <w:t xml:space="preserve">2024–2026</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rPr>
            </w:pPr>
            <w:r w:rsidDel="00000000" w:rsidR="00000000" w:rsidRPr="00000000">
              <w:rPr>
                <w:sz w:val="20"/>
                <w:szCs w:val="20"/>
                <w:rtl w:val="0"/>
              </w:rPr>
              <w:t xml:space="preserve">Average LEC tariff</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rPr>
            </w:pPr>
            <w:r w:rsidDel="00000000" w:rsidR="00000000" w:rsidRPr="00000000">
              <w:rPr>
                <w:sz w:val="20"/>
                <w:szCs w:val="20"/>
                <w:rtl w:val="0"/>
              </w:rPr>
              <w:t xml:space="preserve">Approximately 22¢/kWh (down from 53¢/kWh in 2022)</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rPr>
            </w:pPr>
            <w:r w:rsidDel="00000000" w:rsidR="00000000" w:rsidRPr="00000000">
              <w:rPr>
                <w:sz w:val="20"/>
                <w:szCs w:val="20"/>
                <w:rtl w:val="0"/>
              </w:rPr>
              <w:t xml:space="preserve">LEC commercial (non-technical) losses</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rPr>
            </w:pPr>
            <w:r w:rsidDel="00000000" w:rsidR="00000000" w:rsidRPr="00000000">
              <w:rPr>
                <w:sz w:val="20"/>
                <w:szCs w:val="20"/>
                <w:rtl w:val="0"/>
              </w:rPr>
              <w:t xml:space="preserve">31% (down from 51%)</w:t>
            </w:r>
            <w:r w:rsidDel="00000000" w:rsidR="00000000" w:rsidRPr="00000000">
              <w:rPr>
                <w:rFonts w:ascii="Century Gothic" w:cs="Century Gothic" w:eastAsia="Century Gothic" w:hAnsi="Century Gothic"/>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rPr>
            </w:pPr>
            <w:r w:rsidDel="00000000" w:rsidR="00000000" w:rsidRPr="00000000">
              <w:rPr>
                <w:sz w:val="20"/>
                <w:szCs w:val="20"/>
                <w:rtl w:val="0"/>
              </w:rPr>
              <w:t xml:space="preserve">2023-2024</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LEC customer connections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282,505 (up from 142,947)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2021-2023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LEC financials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Approximately US$50M revenue, approximately US$18M net loss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2023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Planned Mount Coffee expansion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+42 MW -130–138 MW total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Target 2027 </w:t>
            </w:r>
          </w:p>
        </w:tc>
      </w:tr>
    </w:tbl>
    <w:p w:rsidR="00000000" w:rsidDel="00000000" w:rsidP="00000000" w:rsidRDefault="00000000" w:rsidRPr="00000000" w14:paraId="000000A3">
      <w:pPr>
        <w:spacing w:after="1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A4">
      <w:pPr>
        <w:spacing w:after="1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Investment Outlook</w:t>
      </w:r>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0A5">
      <w:pPr>
        <w:spacing w:after="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Liberia offers two distinct energy investment opportunities. The first is a near-term power-sector growth story centered on transmission infrastructure, hydropower expansion, solar mini-grids, and regional electricity trade through the CLSG interconnector. The second is a longer-term frontier exploration opportunity in the offshore Liberia and Harper basins. While geological prospectivity remains attractive, long-term success in the Liberian market is dependent on a disciplined, phased approach to development. For a research-oriented firm, the key indicators to track are:</w:t>
      </w:r>
    </w:p>
    <w:p w:rsidR="00000000" w:rsidDel="00000000" w:rsidP="00000000" w:rsidRDefault="00000000" w:rsidRPr="00000000" w14:paraId="000000A6">
      <w:pPr>
        <w:numPr>
          <w:ilvl w:val="0"/>
          <w:numId w:val="2"/>
        </w:numPr>
        <w:spacing w:after="20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success of ongoing farm-out processes which will signal investor appetite and confidence in the regulatory environment.</w:t>
      </w:r>
    </w:p>
    <w:p w:rsidR="00000000" w:rsidDel="00000000" w:rsidP="00000000" w:rsidRDefault="00000000" w:rsidRPr="00000000" w14:paraId="000000A7">
      <w:pPr>
        <w:numPr>
          <w:ilvl w:val="0"/>
          <w:numId w:val="2"/>
        </w:numPr>
        <w:spacing w:after="200" w:before="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ability of the government to maintain the operational reliability of the CLSG interconnector as the primary power stability mechanism.</w:t>
      </w:r>
    </w:p>
    <w:p w:rsidR="00000000" w:rsidDel="00000000" w:rsidP="00000000" w:rsidRDefault="00000000" w:rsidRPr="00000000" w14:paraId="000000A8">
      <w:pPr>
        <w:numPr>
          <w:ilvl w:val="0"/>
          <w:numId w:val="2"/>
        </w:numPr>
        <w:spacing w:after="20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eventual move toward integrating potential offshore natural gas discoveries into domestic power generation, which would provide a sustainable, lower-cost alternative to HFO and diesel imports.</w:t>
      </w:r>
    </w:p>
    <w:p w:rsidR="00000000" w:rsidDel="00000000" w:rsidP="00000000" w:rsidRDefault="00000000" w:rsidRPr="00000000" w14:paraId="000000A9">
      <w:pPr>
        <w:spacing w:after="20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AA">
      <w:pPr>
        <w:spacing w:after="160" w:lineRule="auto"/>
        <w:jc w:val="both"/>
        <w:rPr>
          <w:rFonts w:ascii="Century Gothic" w:cs="Century Gothic" w:eastAsia="Century Gothic" w:hAnsi="Century Gothic"/>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