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C44422">
      <w:pPr>
        <w:jc w:val="both"/>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Capital Efficiency and Value Creation in Nigeria's Oil and Gas Industry: A Comparative Assessment of NNPC, Shell, and TotalEnergies</w:t>
      </w:r>
    </w:p>
    <w:p w14:paraId="58001B18">
      <w:pPr>
        <w:pStyle w:val="2"/>
        <w:jc w:val="both"/>
        <w:rPr>
          <w:rFonts w:hint="default" w:ascii="Times New Roman" w:hAnsi="Times New Roman" w:cs="Times New Roman"/>
          <w:color w:val="auto"/>
          <w:sz w:val="24"/>
          <w:szCs w:val="24"/>
        </w:rPr>
      </w:pPr>
      <w:bookmarkStart w:id="0" w:name="_GoBack"/>
      <w:bookmarkEnd w:id="0"/>
      <w:r>
        <w:rPr>
          <w:rFonts w:hint="default" w:ascii="Times New Roman" w:hAnsi="Times New Roman" w:cs="Times New Roman"/>
          <w:color w:val="auto"/>
          <w:sz w:val="24"/>
          <w:szCs w:val="24"/>
        </w:rPr>
        <w:t>Executive Summary</w:t>
      </w:r>
    </w:p>
    <w:p w14:paraId="1AFA2E86">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Capital efficiency is the decisive performance variable in oil and gas because the industry combines long investment cycles, heavy fixed-asset intensity, volatile commodity pricing, regulatory risk, and increasingly demanding decarbonisation expectations. In that environment, production growth alone no longer signals quality. Investors, lenders, and policymakers want evidence that companies can convert large asset bases and capital expenditure into durable cash flow, defensible returns, and strategic optionality.</w:t>
      </w:r>
    </w:p>
    <w:p w14:paraId="7C88941C">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comparison of NNPC Limited, Shell Nigeria, and TotalEnergies Nigeria shows three very different business models operating inside the same national energy system. NNPC carries the broadest strategic mandate and the largest asset footprint, but its commercial performance remains constrained by legacy policy burdens, energy-security obligations, and a weak liquidity position. Its 2023 audited statements showed revenue of about N24.0 trillion, net profit of N3.3 trillion, ROA of 1.9%, ROE of 11.6%, ROCE of 14.1%, and a very weak current ratio of 0.09x; however, the 2024 annual report indicates net income improved to N5.4 trillion with a proposed dividend of N4.3 trillion, suggesting commercialization is beginning to translate into stronger earnings and fiscal contribution.</w:t>
      </w:r>
    </w:p>
    <w:p w14:paraId="14C98269">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Shell scores highest on capital discipline and resilience under volatility. Using Shell plc's 2024 consolidated metrics as the closest public proxy, the group delivered $54.7 billion of operating cash flow, $21.1 billion of cash capital expenditure, a 17.7% gearing ratio, a 1.35x current ratio, and 12.4x interest coverage. In Nigeria, Shell has deliberately high-graded its portfolio away from onshore exposure toward deepwater and integrated gas, including Bonga North and the HI gas project, while completing the sale of SPDC. That strategy prioritizes lower above-ground risk, higher cash-generation quality, and returns that can clear internal hurdle rates.</w:t>
      </w:r>
    </w:p>
    <w:p w14:paraId="31A6ABCF">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TotalEnergies Marketing Nigeria currently demonstrates the strongest ratio-based value creation from capital deployed. In 2024 it posted 64% revenue growth and 113% profit growth, alongside ROA of 5.8%, ROE of 36.6%, ROCE of 71.3%, asset turnover of 2.21x, and capex productivity of 41.1x revenue per unit of capital expenditure. The company couples high asset productivity with disciplined reinvestment in logistics, network quality, solarized stations, and fleet safety technology. Its main weakness is not profitability but financing sensitivity: debt-to-equity reached 1.54x and interest coverage was a more modest 2.39x.</w:t>
      </w:r>
    </w:p>
    <w:p w14:paraId="425872B6">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Bottom line: TotalEnergies Nigeria creates the most value from capital deployed on a ratio basis; Shell appears strongest in portfolio resilience and long-cycle capital discipline; NNPC creates the largest absolute national value but is still the least efficient in converting scale into high-quality returns. The principal lesson for Nigeria's broader oil and gas sector is clear: value creation improves when capital is selectively allocated, balance sheets are protected, operating models are simplified, and assets are upgraded toward lower-cost, higher-cash-yield segments rather than defended for volume or political reasons alone.</w:t>
      </w:r>
    </w:p>
    <w:p w14:paraId="59B0B517">
      <w:pPr>
        <w:pStyle w:val="2"/>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 Industry Context and the Strategic Importance of Capital Efficiency</w:t>
      </w:r>
    </w:p>
    <w:p w14:paraId="61EFA1E1">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Nigeria's oil and gas sector is structurally capital intensive across all three segments of the value chain. Upstream development requires large sunk investments in seismic work, drilling, floating production systems, export infrastructure, and abandonment provisions. Midstream economics depend on pipeline integrity, gas processing, storage, and evacuation systems. Downstream competitiveness requires inventory financing, depots, trucks, retail network maintenance, and increasingly digital and power infrastructure. Because capital is locked in for long periods, managerial quality is best assessed by how efficiently companies allocate, rotate, and defend that capital under changing market conditions.</w:t>
      </w:r>
    </w:p>
    <w:p w14:paraId="02939DE0">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That challenge has sharpened. Oil-price volatility periodically compresses cash flow and raises the cost of poor investment decisions. Energy-transition pressure increases the discount rate on long-dated hydrocarbon projects and rewards shorter-payback, lower-emissions assets. Security disruptions, theft, sabotage, and ageing infrastructure can destroy returns even when headline production remains high. Financing constraints are also more acute in Nigeria, where inflation, currency risk, and tighter global ESG screens increasingly shape access to capital.</w:t>
      </w:r>
    </w:p>
    <w:p w14:paraId="5AAFB9B2">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This is why the investor conversation has shifted from growth-at-all-costs to disciplined value creation. Global majors now emphasize ROACE, free cash flow, gearing, and selective portfolio renewal more than headline barrels alone. The same logic is visible in Nigeria: the Petroleum Industry Act 2021 explicitly aims to make the sector more competitive, create predictable governance, commercialize NNPC, and reduce dependence on government appropriation. In effect, policy is moving toward the same conclusion as the capital markets: cash generation, efficient asset use, and credible reinvestment matter more than scale without returns.</w:t>
      </w:r>
    </w:p>
    <w:p w14:paraId="35DA643C">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NNPC, Shell, and TotalEnergies are therefore useful case studies because they illustrate three distinct responses to the same operating environment. NNPC is the national champion attempting to convert state-linked scale into commercial performance. Shell represents the global major that is actively reshaping its Nigerian footprint toward deepwater and integrated gas. TotalEnergies Marketing Nigeria represents a locally listed operator extracting strong returns from a more focused downstream and marketing platform. Together they show how business model design, not just resource access, determines capital efficiency.</w:t>
      </w:r>
    </w:p>
    <w:p w14:paraId="20D03253">
      <w:pPr>
        <w:pStyle w:val="2"/>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 Comparative Financial Performance Assessment</w:t>
      </w:r>
    </w:p>
    <w:p w14:paraId="3AC1A820">
      <w:pPr>
        <w:jc w:val="both"/>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Selected financial base data</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6"/>
        <w:gridCol w:w="2016"/>
        <w:gridCol w:w="2016"/>
        <w:gridCol w:w="2016"/>
        <w:gridCol w:w="2016"/>
      </w:tblGrid>
      <w:tr w14:paraId="772CC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shd w:val="clear" w:color="auto" w:fill="D9EAF7"/>
          </w:tcPr>
          <w:p w14:paraId="2098419F">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Metric</w:t>
            </w:r>
          </w:p>
        </w:tc>
        <w:tc>
          <w:tcPr>
            <w:tcW w:w="2016" w:type="dxa"/>
            <w:shd w:val="clear" w:color="auto" w:fill="D9EAF7"/>
          </w:tcPr>
          <w:p w14:paraId="3AF18277">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NNPC Limited</w:t>
            </w:r>
          </w:p>
        </w:tc>
        <w:tc>
          <w:tcPr>
            <w:tcW w:w="2016" w:type="dxa"/>
            <w:shd w:val="clear" w:color="auto" w:fill="D9EAF7"/>
          </w:tcPr>
          <w:p w14:paraId="448FE0A3">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Shell (proxy for Shell Nigeria)</w:t>
            </w:r>
          </w:p>
        </w:tc>
        <w:tc>
          <w:tcPr>
            <w:tcW w:w="2016" w:type="dxa"/>
            <w:shd w:val="clear" w:color="auto" w:fill="D9EAF7"/>
          </w:tcPr>
          <w:p w14:paraId="16EFCB87">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TotalEnergies Nigeria</w:t>
            </w:r>
          </w:p>
        </w:tc>
        <w:tc>
          <w:tcPr>
            <w:tcW w:w="2016" w:type="dxa"/>
            <w:shd w:val="clear" w:color="auto" w:fill="D9EAF7"/>
          </w:tcPr>
          <w:p w14:paraId="2FAC1AFF">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Period Basis</w:t>
            </w:r>
          </w:p>
        </w:tc>
      </w:tr>
      <w:tr w14:paraId="488B4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tcPr>
          <w:p w14:paraId="5E77471F">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Revenue</w:t>
            </w:r>
          </w:p>
        </w:tc>
        <w:tc>
          <w:tcPr>
            <w:tcW w:w="2016" w:type="dxa"/>
          </w:tcPr>
          <w:p w14:paraId="7E707754">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N24.0tn</w:t>
            </w:r>
          </w:p>
        </w:tc>
        <w:tc>
          <w:tcPr>
            <w:tcW w:w="2016" w:type="dxa"/>
          </w:tcPr>
          <w:p w14:paraId="7F32FA51">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$284.3bn</w:t>
            </w:r>
          </w:p>
        </w:tc>
        <w:tc>
          <w:tcPr>
            <w:tcW w:w="2016" w:type="dxa"/>
          </w:tcPr>
          <w:p w14:paraId="632346A6">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N1.042tn</w:t>
            </w:r>
          </w:p>
        </w:tc>
        <w:tc>
          <w:tcPr>
            <w:tcW w:w="2016" w:type="dxa"/>
          </w:tcPr>
          <w:p w14:paraId="52CF715C">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NNPC 2023; Shell 2024; Total 2024</w:t>
            </w:r>
          </w:p>
        </w:tc>
      </w:tr>
      <w:tr w14:paraId="46009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tcPr>
          <w:p w14:paraId="0EC57F61">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Operating profit / EBIT</w:t>
            </w:r>
          </w:p>
        </w:tc>
        <w:tc>
          <w:tcPr>
            <w:tcW w:w="2016" w:type="dxa"/>
          </w:tcPr>
          <w:p w14:paraId="768FF102">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N4.34tn</w:t>
            </w:r>
          </w:p>
        </w:tc>
        <w:tc>
          <w:tcPr>
            <w:tcW w:w="2016" w:type="dxa"/>
          </w:tcPr>
          <w:p w14:paraId="00A92245">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n/a in summary used</w:t>
            </w:r>
          </w:p>
        </w:tc>
        <w:tc>
          <w:tcPr>
            <w:tcW w:w="2016" w:type="dxa"/>
          </w:tcPr>
          <w:p w14:paraId="2DD54890">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N61.9bn</w:t>
            </w:r>
          </w:p>
        </w:tc>
        <w:tc>
          <w:tcPr>
            <w:tcW w:w="2016" w:type="dxa"/>
          </w:tcPr>
          <w:p w14:paraId="6037699F">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Same</w:t>
            </w:r>
          </w:p>
        </w:tc>
      </w:tr>
      <w:tr w14:paraId="65DE3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tcPr>
          <w:p w14:paraId="003AB9D8">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Profit before tax</w:t>
            </w:r>
          </w:p>
        </w:tc>
        <w:tc>
          <w:tcPr>
            <w:tcW w:w="2016" w:type="dxa"/>
          </w:tcPr>
          <w:p w14:paraId="61C30C71">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N5.99tn</w:t>
            </w:r>
          </w:p>
        </w:tc>
        <w:tc>
          <w:tcPr>
            <w:tcW w:w="2016" w:type="dxa"/>
          </w:tcPr>
          <w:p w14:paraId="3B58546F">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$29.9bn</w:t>
            </w:r>
          </w:p>
        </w:tc>
        <w:tc>
          <w:tcPr>
            <w:tcW w:w="2016" w:type="dxa"/>
          </w:tcPr>
          <w:p w14:paraId="6D66518A">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N42.3bn</w:t>
            </w:r>
          </w:p>
        </w:tc>
        <w:tc>
          <w:tcPr>
            <w:tcW w:w="2016" w:type="dxa"/>
          </w:tcPr>
          <w:p w14:paraId="4440C065">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Same</w:t>
            </w:r>
          </w:p>
        </w:tc>
      </w:tr>
      <w:tr w14:paraId="5F24A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tcPr>
          <w:p w14:paraId="7B575989">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Net profit / income</w:t>
            </w:r>
          </w:p>
        </w:tc>
        <w:tc>
          <w:tcPr>
            <w:tcW w:w="2016" w:type="dxa"/>
          </w:tcPr>
          <w:p w14:paraId="6FB22B82">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N3.30tn</w:t>
            </w:r>
          </w:p>
        </w:tc>
        <w:tc>
          <w:tcPr>
            <w:tcW w:w="2016" w:type="dxa"/>
          </w:tcPr>
          <w:p w14:paraId="5055CCB6">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$16.5bn</w:t>
            </w:r>
          </w:p>
        </w:tc>
        <w:tc>
          <w:tcPr>
            <w:tcW w:w="2016" w:type="dxa"/>
          </w:tcPr>
          <w:p w14:paraId="5A0B22A3">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N27.5bn</w:t>
            </w:r>
          </w:p>
        </w:tc>
        <w:tc>
          <w:tcPr>
            <w:tcW w:w="2016" w:type="dxa"/>
          </w:tcPr>
          <w:p w14:paraId="3EFDFACD">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Same</w:t>
            </w:r>
          </w:p>
        </w:tc>
      </w:tr>
      <w:tr w14:paraId="108F7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tcPr>
          <w:p w14:paraId="1034B977">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Total assets</w:t>
            </w:r>
          </w:p>
        </w:tc>
        <w:tc>
          <w:tcPr>
            <w:tcW w:w="2016" w:type="dxa"/>
          </w:tcPr>
          <w:p w14:paraId="758DA2CF">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N172.6tn</w:t>
            </w:r>
          </w:p>
        </w:tc>
        <w:tc>
          <w:tcPr>
            <w:tcW w:w="2016" w:type="dxa"/>
          </w:tcPr>
          <w:p w14:paraId="73ACE533">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$387.6bn</w:t>
            </w:r>
          </w:p>
        </w:tc>
        <w:tc>
          <w:tcPr>
            <w:tcW w:w="2016" w:type="dxa"/>
          </w:tcPr>
          <w:p w14:paraId="2A9DC47A">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N471.1bn</w:t>
            </w:r>
          </w:p>
        </w:tc>
        <w:tc>
          <w:tcPr>
            <w:tcW w:w="2016" w:type="dxa"/>
          </w:tcPr>
          <w:p w14:paraId="42375882">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Same</w:t>
            </w:r>
          </w:p>
        </w:tc>
      </w:tr>
      <w:tr w14:paraId="1A3F4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tcPr>
          <w:p w14:paraId="47164E3E">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Current assets</w:t>
            </w:r>
          </w:p>
        </w:tc>
        <w:tc>
          <w:tcPr>
            <w:tcW w:w="2016" w:type="dxa"/>
          </w:tcPr>
          <w:p w14:paraId="274B6F6C">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N12.9tn</w:t>
            </w:r>
          </w:p>
        </w:tc>
        <w:tc>
          <w:tcPr>
            <w:tcW w:w="2016" w:type="dxa"/>
          </w:tcPr>
          <w:p w14:paraId="22EA4F50">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$127.9bn</w:t>
            </w:r>
          </w:p>
        </w:tc>
        <w:tc>
          <w:tcPr>
            <w:tcW w:w="2016" w:type="dxa"/>
          </w:tcPr>
          <w:p w14:paraId="15C1F0FD">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N392.1bn</w:t>
            </w:r>
          </w:p>
        </w:tc>
        <w:tc>
          <w:tcPr>
            <w:tcW w:w="2016" w:type="dxa"/>
          </w:tcPr>
          <w:p w14:paraId="17837218">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Same</w:t>
            </w:r>
          </w:p>
        </w:tc>
      </w:tr>
      <w:tr w14:paraId="25B1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tcPr>
          <w:p w14:paraId="224434EC">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Current liabilities</w:t>
            </w:r>
          </w:p>
        </w:tc>
        <w:tc>
          <w:tcPr>
            <w:tcW w:w="2016" w:type="dxa"/>
          </w:tcPr>
          <w:p w14:paraId="71C18DB3">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N141.8tn</w:t>
            </w:r>
          </w:p>
        </w:tc>
        <w:tc>
          <w:tcPr>
            <w:tcW w:w="2016" w:type="dxa"/>
          </w:tcPr>
          <w:p w14:paraId="6F59069C">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$95.0bn</w:t>
            </w:r>
          </w:p>
        </w:tc>
        <w:tc>
          <w:tcPr>
            <w:tcW w:w="2016" w:type="dxa"/>
          </w:tcPr>
          <w:p w14:paraId="6FD9D158">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N384.3bn</w:t>
            </w:r>
          </w:p>
        </w:tc>
        <w:tc>
          <w:tcPr>
            <w:tcW w:w="2016" w:type="dxa"/>
          </w:tcPr>
          <w:p w14:paraId="03EDC485">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Same</w:t>
            </w:r>
          </w:p>
        </w:tc>
      </w:tr>
      <w:tr w14:paraId="22044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tcPr>
          <w:p w14:paraId="07E12783">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Equity</w:t>
            </w:r>
          </w:p>
        </w:tc>
        <w:tc>
          <w:tcPr>
            <w:tcW w:w="2016" w:type="dxa"/>
          </w:tcPr>
          <w:p w14:paraId="5054234C">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N28.5tn</w:t>
            </w:r>
          </w:p>
        </w:tc>
        <w:tc>
          <w:tcPr>
            <w:tcW w:w="2016" w:type="dxa"/>
          </w:tcPr>
          <w:p w14:paraId="574A0D52">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$180.2bn</w:t>
            </w:r>
          </w:p>
        </w:tc>
        <w:tc>
          <w:tcPr>
            <w:tcW w:w="2016" w:type="dxa"/>
          </w:tcPr>
          <w:p w14:paraId="542C0153">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N75.1bn</w:t>
            </w:r>
          </w:p>
        </w:tc>
        <w:tc>
          <w:tcPr>
            <w:tcW w:w="2016" w:type="dxa"/>
          </w:tcPr>
          <w:p w14:paraId="0623E00F">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Same</w:t>
            </w:r>
          </w:p>
        </w:tc>
      </w:tr>
      <w:tr w14:paraId="63089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tcPr>
          <w:p w14:paraId="6B6B5B49">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Debt / borrowings</w:t>
            </w:r>
          </w:p>
        </w:tc>
        <w:tc>
          <w:tcPr>
            <w:tcW w:w="2016" w:type="dxa"/>
          </w:tcPr>
          <w:p w14:paraId="4B765599">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N55.7bn reported borrowings</w:t>
            </w:r>
          </w:p>
        </w:tc>
        <w:tc>
          <w:tcPr>
            <w:tcW w:w="2016" w:type="dxa"/>
          </w:tcPr>
          <w:p w14:paraId="75EF4FEC">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$77.1bn total debt</w:t>
            </w:r>
          </w:p>
        </w:tc>
        <w:tc>
          <w:tcPr>
            <w:tcW w:w="2016" w:type="dxa"/>
          </w:tcPr>
          <w:p w14:paraId="2146DF0B">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N115.7bn</w:t>
            </w:r>
          </w:p>
        </w:tc>
        <w:tc>
          <w:tcPr>
            <w:tcW w:w="2016" w:type="dxa"/>
          </w:tcPr>
          <w:p w14:paraId="27FF874F">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Same</w:t>
            </w:r>
          </w:p>
        </w:tc>
      </w:tr>
      <w:tr w14:paraId="604D8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tcPr>
          <w:p w14:paraId="764EF369">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Operating cash flow</w:t>
            </w:r>
          </w:p>
        </w:tc>
        <w:tc>
          <w:tcPr>
            <w:tcW w:w="2016" w:type="dxa"/>
          </w:tcPr>
          <w:p w14:paraId="3E71EE98">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N10.09tn</w:t>
            </w:r>
          </w:p>
        </w:tc>
        <w:tc>
          <w:tcPr>
            <w:tcW w:w="2016" w:type="dxa"/>
          </w:tcPr>
          <w:p w14:paraId="6FF0D6DC">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$54.7bn</w:t>
            </w:r>
          </w:p>
        </w:tc>
        <w:tc>
          <w:tcPr>
            <w:tcW w:w="2016" w:type="dxa"/>
          </w:tcPr>
          <w:p w14:paraId="0712F5B2">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N77.9bn</w:t>
            </w:r>
          </w:p>
        </w:tc>
        <w:tc>
          <w:tcPr>
            <w:tcW w:w="2016" w:type="dxa"/>
          </w:tcPr>
          <w:p w14:paraId="0BF0F0BA">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Same</w:t>
            </w:r>
          </w:p>
        </w:tc>
      </w:tr>
      <w:tr w14:paraId="47C93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tcPr>
          <w:p w14:paraId="4F26996F">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Capital expenditure</w:t>
            </w:r>
          </w:p>
        </w:tc>
        <w:tc>
          <w:tcPr>
            <w:tcW w:w="2016" w:type="dxa"/>
          </w:tcPr>
          <w:p w14:paraId="4B09DA57">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N2.64tn</w:t>
            </w:r>
          </w:p>
        </w:tc>
        <w:tc>
          <w:tcPr>
            <w:tcW w:w="2016" w:type="dxa"/>
          </w:tcPr>
          <w:p w14:paraId="5B6727DE">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$21.1bn cash capex</w:t>
            </w:r>
          </w:p>
        </w:tc>
        <w:tc>
          <w:tcPr>
            <w:tcW w:w="2016" w:type="dxa"/>
          </w:tcPr>
          <w:p w14:paraId="6CF1FB34">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N25.3bn PPE purchases</w:t>
            </w:r>
          </w:p>
        </w:tc>
        <w:tc>
          <w:tcPr>
            <w:tcW w:w="2016" w:type="dxa"/>
          </w:tcPr>
          <w:p w14:paraId="276A1D40">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Same</w:t>
            </w:r>
          </w:p>
        </w:tc>
      </w:tr>
    </w:tbl>
    <w:p w14:paraId="74908553">
      <w:pPr>
        <w:jc w:val="both"/>
        <w:rPr>
          <w:rFonts w:hint="default" w:ascii="Times New Roman" w:hAnsi="Times New Roman" w:cs="Times New Roman"/>
          <w:color w:val="auto"/>
          <w:sz w:val="24"/>
          <w:szCs w:val="24"/>
        </w:rPr>
      </w:pPr>
    </w:p>
    <w:p w14:paraId="778C939B">
      <w:pPr>
        <w:jc w:val="both"/>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Comparative ratio assessment</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6"/>
        <w:gridCol w:w="2016"/>
        <w:gridCol w:w="2016"/>
        <w:gridCol w:w="2016"/>
        <w:gridCol w:w="2016"/>
      </w:tblGrid>
      <w:tr w14:paraId="4E127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shd w:val="clear" w:color="auto" w:fill="D9EAF7"/>
          </w:tcPr>
          <w:p w14:paraId="1A0292D9">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Indicator</w:t>
            </w:r>
          </w:p>
        </w:tc>
        <w:tc>
          <w:tcPr>
            <w:tcW w:w="2016" w:type="dxa"/>
            <w:shd w:val="clear" w:color="auto" w:fill="D9EAF7"/>
          </w:tcPr>
          <w:p w14:paraId="562DBCE0">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NNPC</w:t>
            </w:r>
          </w:p>
        </w:tc>
        <w:tc>
          <w:tcPr>
            <w:tcW w:w="2016" w:type="dxa"/>
            <w:shd w:val="clear" w:color="auto" w:fill="D9EAF7"/>
          </w:tcPr>
          <w:p w14:paraId="771694F7">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Shell proxy</w:t>
            </w:r>
          </w:p>
        </w:tc>
        <w:tc>
          <w:tcPr>
            <w:tcW w:w="2016" w:type="dxa"/>
            <w:shd w:val="clear" w:color="auto" w:fill="D9EAF7"/>
          </w:tcPr>
          <w:p w14:paraId="5EAD8397">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TotalEnergies Nigeria</w:t>
            </w:r>
          </w:p>
        </w:tc>
        <w:tc>
          <w:tcPr>
            <w:tcW w:w="2016" w:type="dxa"/>
            <w:shd w:val="clear" w:color="auto" w:fill="D9EAF7"/>
          </w:tcPr>
          <w:p w14:paraId="5658CEB8">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Interpretation</w:t>
            </w:r>
          </w:p>
        </w:tc>
      </w:tr>
      <w:tr w14:paraId="5BDE3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tcPr>
          <w:p w14:paraId="56FCA8D9">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ROA</w:t>
            </w:r>
          </w:p>
        </w:tc>
        <w:tc>
          <w:tcPr>
            <w:tcW w:w="2016" w:type="dxa"/>
          </w:tcPr>
          <w:p w14:paraId="058A8D4D">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1.9%</w:t>
            </w:r>
          </w:p>
        </w:tc>
        <w:tc>
          <w:tcPr>
            <w:tcW w:w="2016" w:type="dxa"/>
          </w:tcPr>
          <w:p w14:paraId="5FE0743D">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4.3%</w:t>
            </w:r>
          </w:p>
        </w:tc>
        <w:tc>
          <w:tcPr>
            <w:tcW w:w="2016" w:type="dxa"/>
          </w:tcPr>
          <w:p w14:paraId="2241E7F5">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5.8%</w:t>
            </w:r>
          </w:p>
        </w:tc>
        <w:tc>
          <w:tcPr>
            <w:tcW w:w="2016" w:type="dxa"/>
          </w:tcPr>
          <w:p w14:paraId="26308A2F">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Total leads on asset monetization; NNPC weakest relative to scale.</w:t>
            </w:r>
          </w:p>
        </w:tc>
      </w:tr>
      <w:tr w14:paraId="02A1C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tcPr>
          <w:p w14:paraId="308AD9C0">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ROE</w:t>
            </w:r>
          </w:p>
        </w:tc>
        <w:tc>
          <w:tcPr>
            <w:tcW w:w="2016" w:type="dxa"/>
          </w:tcPr>
          <w:p w14:paraId="20A3ECD3">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11.6%</w:t>
            </w:r>
          </w:p>
        </w:tc>
        <w:tc>
          <w:tcPr>
            <w:tcW w:w="2016" w:type="dxa"/>
          </w:tcPr>
          <w:p w14:paraId="49B1EF73">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9.2%</w:t>
            </w:r>
          </w:p>
        </w:tc>
        <w:tc>
          <w:tcPr>
            <w:tcW w:w="2016" w:type="dxa"/>
          </w:tcPr>
          <w:p w14:paraId="2E77BA11">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36.6%</w:t>
            </w:r>
          </w:p>
        </w:tc>
        <w:tc>
          <w:tcPr>
            <w:tcW w:w="2016" w:type="dxa"/>
          </w:tcPr>
          <w:p w14:paraId="4840326E">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Total clearly strongest equity return; Shell stable; NNPC moderate.</w:t>
            </w:r>
          </w:p>
        </w:tc>
      </w:tr>
      <w:tr w14:paraId="583A2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tcPr>
          <w:p w14:paraId="27176FDC">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Net profit margin</w:t>
            </w:r>
          </w:p>
        </w:tc>
        <w:tc>
          <w:tcPr>
            <w:tcW w:w="2016" w:type="dxa"/>
          </w:tcPr>
          <w:p w14:paraId="72BD3E5C">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13.7%</w:t>
            </w:r>
          </w:p>
        </w:tc>
        <w:tc>
          <w:tcPr>
            <w:tcW w:w="2016" w:type="dxa"/>
          </w:tcPr>
          <w:p w14:paraId="52945AFA">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5.8%</w:t>
            </w:r>
          </w:p>
        </w:tc>
        <w:tc>
          <w:tcPr>
            <w:tcW w:w="2016" w:type="dxa"/>
          </w:tcPr>
          <w:p w14:paraId="39BC8EE8">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2.6%</w:t>
            </w:r>
          </w:p>
        </w:tc>
        <w:tc>
          <w:tcPr>
            <w:tcW w:w="2016" w:type="dxa"/>
          </w:tcPr>
          <w:p w14:paraId="285EAE69">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NNPC margin inflated by integrated trading/fiscal structure; not equal quality of earnings.</w:t>
            </w:r>
          </w:p>
        </w:tc>
      </w:tr>
      <w:tr w14:paraId="31F6E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tcPr>
          <w:p w14:paraId="00A99D69">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Operating margin</w:t>
            </w:r>
          </w:p>
        </w:tc>
        <w:tc>
          <w:tcPr>
            <w:tcW w:w="2016" w:type="dxa"/>
          </w:tcPr>
          <w:p w14:paraId="3DB4BB3D">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18.1%</w:t>
            </w:r>
          </w:p>
        </w:tc>
        <w:tc>
          <w:tcPr>
            <w:tcW w:w="2016" w:type="dxa"/>
          </w:tcPr>
          <w:p w14:paraId="59224503">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n/a from public proxy set</w:t>
            </w:r>
          </w:p>
        </w:tc>
        <w:tc>
          <w:tcPr>
            <w:tcW w:w="2016" w:type="dxa"/>
          </w:tcPr>
          <w:p w14:paraId="2120F656">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5.9%</w:t>
            </w:r>
          </w:p>
        </w:tc>
        <w:tc>
          <w:tcPr>
            <w:tcW w:w="2016" w:type="dxa"/>
          </w:tcPr>
          <w:p w14:paraId="7E293078">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NNPC EBIT strong but distorted by mandate and structure.</w:t>
            </w:r>
          </w:p>
        </w:tc>
      </w:tr>
      <w:tr w14:paraId="30A41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tcPr>
          <w:p w14:paraId="4A9D67E7">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ROCE</w:t>
            </w:r>
          </w:p>
        </w:tc>
        <w:tc>
          <w:tcPr>
            <w:tcW w:w="2016" w:type="dxa"/>
          </w:tcPr>
          <w:p w14:paraId="1CFE61BE">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14.1%</w:t>
            </w:r>
          </w:p>
        </w:tc>
        <w:tc>
          <w:tcPr>
            <w:tcW w:w="2016" w:type="dxa"/>
          </w:tcPr>
          <w:p w14:paraId="2FA98E27">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11.3% ROACE reported</w:t>
            </w:r>
          </w:p>
        </w:tc>
        <w:tc>
          <w:tcPr>
            <w:tcW w:w="2016" w:type="dxa"/>
          </w:tcPr>
          <w:p w14:paraId="3923CB61">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71.3%</w:t>
            </w:r>
          </w:p>
        </w:tc>
        <w:tc>
          <w:tcPr>
            <w:tcW w:w="2016" w:type="dxa"/>
          </w:tcPr>
          <w:p w14:paraId="37CC7CEC">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Total shows exceptional local capital turn; Shell emphasizes hurdle-rate discipline.</w:t>
            </w:r>
          </w:p>
        </w:tc>
      </w:tr>
      <w:tr w14:paraId="7767D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tcPr>
          <w:p w14:paraId="08A7F3D7">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Asset turnover</w:t>
            </w:r>
          </w:p>
        </w:tc>
        <w:tc>
          <w:tcPr>
            <w:tcW w:w="2016" w:type="dxa"/>
          </w:tcPr>
          <w:p w14:paraId="5810C556">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0.14x</w:t>
            </w:r>
          </w:p>
        </w:tc>
        <w:tc>
          <w:tcPr>
            <w:tcW w:w="2016" w:type="dxa"/>
          </w:tcPr>
          <w:p w14:paraId="7E7B735F">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0.73x</w:t>
            </w:r>
          </w:p>
        </w:tc>
        <w:tc>
          <w:tcPr>
            <w:tcW w:w="2016" w:type="dxa"/>
          </w:tcPr>
          <w:p w14:paraId="035E1DC8">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2.21x</w:t>
            </w:r>
          </w:p>
        </w:tc>
        <w:tc>
          <w:tcPr>
            <w:tcW w:w="2016" w:type="dxa"/>
          </w:tcPr>
          <w:p w14:paraId="579E46D4">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Total extracts much more revenue per unit of assets.</w:t>
            </w:r>
          </w:p>
        </w:tc>
      </w:tr>
      <w:tr w14:paraId="2D1FE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tcPr>
          <w:p w14:paraId="3F3A0191">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Revenue per capex</w:t>
            </w:r>
          </w:p>
        </w:tc>
        <w:tc>
          <w:tcPr>
            <w:tcW w:w="2016" w:type="dxa"/>
          </w:tcPr>
          <w:p w14:paraId="060847C2">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9.1x</w:t>
            </w:r>
          </w:p>
        </w:tc>
        <w:tc>
          <w:tcPr>
            <w:tcW w:w="2016" w:type="dxa"/>
          </w:tcPr>
          <w:p w14:paraId="50E63F8A">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13.5x</w:t>
            </w:r>
          </w:p>
        </w:tc>
        <w:tc>
          <w:tcPr>
            <w:tcW w:w="2016" w:type="dxa"/>
          </w:tcPr>
          <w:p w14:paraId="5CB8B3CE">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41.1x</w:t>
            </w:r>
          </w:p>
        </w:tc>
        <w:tc>
          <w:tcPr>
            <w:tcW w:w="2016" w:type="dxa"/>
          </w:tcPr>
          <w:p w14:paraId="55DDE817">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Total’s downstream model is highly capex-efficient.</w:t>
            </w:r>
          </w:p>
        </w:tc>
      </w:tr>
      <w:tr w14:paraId="22963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tcPr>
          <w:p w14:paraId="7E0ACBD4">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Operating cash flow / capex</w:t>
            </w:r>
          </w:p>
        </w:tc>
        <w:tc>
          <w:tcPr>
            <w:tcW w:w="2016" w:type="dxa"/>
          </w:tcPr>
          <w:p w14:paraId="12B57FCF">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3.82x</w:t>
            </w:r>
          </w:p>
        </w:tc>
        <w:tc>
          <w:tcPr>
            <w:tcW w:w="2016" w:type="dxa"/>
          </w:tcPr>
          <w:p w14:paraId="29D94C09">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2.59x</w:t>
            </w:r>
          </w:p>
        </w:tc>
        <w:tc>
          <w:tcPr>
            <w:tcW w:w="2016" w:type="dxa"/>
          </w:tcPr>
          <w:p w14:paraId="2D9CC19A">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3.08x</w:t>
            </w:r>
          </w:p>
        </w:tc>
        <w:tc>
          <w:tcPr>
            <w:tcW w:w="2016" w:type="dxa"/>
          </w:tcPr>
          <w:p w14:paraId="54C08822">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NNPC and Total both cover investment from operations; Shell remains strong at scale.</w:t>
            </w:r>
          </w:p>
        </w:tc>
      </w:tr>
      <w:tr w14:paraId="32AFF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tcPr>
          <w:p w14:paraId="78E72BB6">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Current ratio</w:t>
            </w:r>
          </w:p>
        </w:tc>
        <w:tc>
          <w:tcPr>
            <w:tcW w:w="2016" w:type="dxa"/>
          </w:tcPr>
          <w:p w14:paraId="1762BD1A">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0.09x</w:t>
            </w:r>
          </w:p>
        </w:tc>
        <w:tc>
          <w:tcPr>
            <w:tcW w:w="2016" w:type="dxa"/>
          </w:tcPr>
          <w:p w14:paraId="6272F360">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1.35x</w:t>
            </w:r>
          </w:p>
        </w:tc>
        <w:tc>
          <w:tcPr>
            <w:tcW w:w="2016" w:type="dxa"/>
          </w:tcPr>
          <w:p w14:paraId="2936A08F">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1.02x</w:t>
            </w:r>
          </w:p>
        </w:tc>
        <w:tc>
          <w:tcPr>
            <w:tcW w:w="2016" w:type="dxa"/>
          </w:tcPr>
          <w:p w14:paraId="2F8A1EAD">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NNPC liquidity is structurally weak; Shell strongest.</w:t>
            </w:r>
          </w:p>
        </w:tc>
      </w:tr>
      <w:tr w14:paraId="6CA6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tcPr>
          <w:p w14:paraId="18D0EBAA">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Quick ratio</w:t>
            </w:r>
          </w:p>
        </w:tc>
        <w:tc>
          <w:tcPr>
            <w:tcW w:w="2016" w:type="dxa"/>
          </w:tcPr>
          <w:p w14:paraId="0F3AC713">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n/a, but clearly weak</w:t>
            </w:r>
          </w:p>
        </w:tc>
        <w:tc>
          <w:tcPr>
            <w:tcW w:w="2016" w:type="dxa"/>
          </w:tcPr>
          <w:p w14:paraId="4B03C4A2">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1.10x</w:t>
            </w:r>
          </w:p>
        </w:tc>
        <w:tc>
          <w:tcPr>
            <w:tcW w:w="2016" w:type="dxa"/>
          </w:tcPr>
          <w:p w14:paraId="7402ED03">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0.62x</w:t>
            </w:r>
          </w:p>
        </w:tc>
        <w:tc>
          <w:tcPr>
            <w:tcW w:w="2016" w:type="dxa"/>
          </w:tcPr>
          <w:p w14:paraId="77983828">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Shell most liquid; Total depends on inventory and working-capital control.</w:t>
            </w:r>
          </w:p>
        </w:tc>
      </w:tr>
      <w:tr w14:paraId="7FF04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tcPr>
          <w:p w14:paraId="0E937C94">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Debt-to-equity</w:t>
            </w:r>
          </w:p>
        </w:tc>
        <w:tc>
          <w:tcPr>
            <w:tcW w:w="2016" w:type="dxa"/>
          </w:tcPr>
          <w:p w14:paraId="469DAE42">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0.00x on borrowings only; liabilities far higher</w:t>
            </w:r>
          </w:p>
        </w:tc>
        <w:tc>
          <w:tcPr>
            <w:tcW w:w="2016" w:type="dxa"/>
          </w:tcPr>
          <w:p w14:paraId="12F38E53">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0.43x</w:t>
            </w:r>
          </w:p>
        </w:tc>
        <w:tc>
          <w:tcPr>
            <w:tcW w:w="2016" w:type="dxa"/>
          </w:tcPr>
          <w:p w14:paraId="639EBFE5">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1.54x</w:t>
            </w:r>
          </w:p>
        </w:tc>
        <w:tc>
          <w:tcPr>
            <w:tcW w:w="2016" w:type="dxa"/>
          </w:tcPr>
          <w:p w14:paraId="3B5108F7">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Total uses more leverage; Shell balance sheet stronger.</w:t>
            </w:r>
          </w:p>
        </w:tc>
      </w:tr>
      <w:tr w14:paraId="14A7A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tcPr>
          <w:p w14:paraId="7A9603BD">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Interest coverage</w:t>
            </w:r>
          </w:p>
        </w:tc>
        <w:tc>
          <w:tcPr>
            <w:tcW w:w="2016" w:type="dxa"/>
          </w:tcPr>
          <w:p w14:paraId="1D994005">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9.84x</w:t>
            </w:r>
          </w:p>
        </w:tc>
        <w:tc>
          <w:tcPr>
            <w:tcW w:w="2016" w:type="dxa"/>
          </w:tcPr>
          <w:p w14:paraId="5DC666E2">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12.39x</w:t>
            </w:r>
          </w:p>
        </w:tc>
        <w:tc>
          <w:tcPr>
            <w:tcW w:w="2016" w:type="dxa"/>
          </w:tcPr>
          <w:p w14:paraId="67D3FEF9">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2.39x</w:t>
            </w:r>
          </w:p>
        </w:tc>
        <w:tc>
          <w:tcPr>
            <w:tcW w:w="2016" w:type="dxa"/>
          </w:tcPr>
          <w:p w14:paraId="430306A0">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Shell best protected; Total most rate-sensitive.</w:t>
            </w:r>
          </w:p>
        </w:tc>
      </w:tr>
    </w:tbl>
    <w:p w14:paraId="5F768372">
      <w:pPr>
        <w:jc w:val="both"/>
        <w:rPr>
          <w:rFonts w:hint="default" w:ascii="Times New Roman" w:hAnsi="Times New Roman" w:cs="Times New Roman"/>
          <w:color w:val="auto"/>
          <w:sz w:val="24"/>
          <w:szCs w:val="24"/>
        </w:rPr>
      </w:pPr>
    </w:p>
    <w:p w14:paraId="2AC2BF65">
      <w:pPr>
        <w:jc w:val="both"/>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Value-creation signals</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0"/>
        <w:gridCol w:w="2520"/>
        <w:gridCol w:w="2520"/>
        <w:gridCol w:w="2520"/>
      </w:tblGrid>
      <w:tr w14:paraId="1A8C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shd w:val="clear" w:color="auto" w:fill="D9EAF7"/>
          </w:tcPr>
          <w:p w14:paraId="774B2F7E">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Company</w:t>
            </w:r>
          </w:p>
        </w:tc>
        <w:tc>
          <w:tcPr>
            <w:tcW w:w="2520" w:type="dxa"/>
            <w:shd w:val="clear" w:color="auto" w:fill="D9EAF7"/>
          </w:tcPr>
          <w:p w14:paraId="5F055D4E">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Growth and capital productivity signal</w:t>
            </w:r>
          </w:p>
        </w:tc>
        <w:tc>
          <w:tcPr>
            <w:tcW w:w="2520" w:type="dxa"/>
            <w:shd w:val="clear" w:color="auto" w:fill="D9EAF7"/>
          </w:tcPr>
          <w:p w14:paraId="79875952">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Strength</w:t>
            </w:r>
          </w:p>
        </w:tc>
        <w:tc>
          <w:tcPr>
            <w:tcW w:w="2520" w:type="dxa"/>
            <w:shd w:val="clear" w:color="auto" w:fill="D9EAF7"/>
          </w:tcPr>
          <w:p w14:paraId="475742A2">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Constraint</w:t>
            </w:r>
          </w:p>
        </w:tc>
      </w:tr>
      <w:tr w14:paraId="123EE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Pr>
          <w:p w14:paraId="4A7378A0">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NNPC</w:t>
            </w:r>
          </w:p>
        </w:tc>
        <w:tc>
          <w:tcPr>
            <w:tcW w:w="2520" w:type="dxa"/>
          </w:tcPr>
          <w:p w14:paraId="00DE0114">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2024 net income rose to N5.4tn; proposed dividend N4.3tn. 2023 operating cash flow exceeded capex by 3.8x.</w:t>
            </w:r>
          </w:p>
        </w:tc>
        <w:tc>
          <w:tcPr>
            <w:tcW w:w="2520" w:type="dxa"/>
          </w:tcPr>
          <w:p w14:paraId="29E05664">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Large absolute earnings and fiscal contribution.</w:t>
            </w:r>
          </w:p>
        </w:tc>
        <w:tc>
          <w:tcPr>
            <w:tcW w:w="2520" w:type="dxa"/>
          </w:tcPr>
          <w:p w14:paraId="6032FC5B">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Low asset turnover and very weak current liquidity; policy burdens dilute capital efficiency.</w:t>
            </w:r>
          </w:p>
        </w:tc>
      </w:tr>
      <w:tr w14:paraId="39DF4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Pr>
          <w:p w14:paraId="0CC45A17">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Shell</w:t>
            </w:r>
          </w:p>
        </w:tc>
        <w:tc>
          <w:tcPr>
            <w:tcW w:w="2520" w:type="dxa"/>
          </w:tcPr>
          <w:p w14:paraId="6315E480">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2024 operating cash flow of $54.7bn and free cash flow of $39.5bn; gearing only 17.7%.</w:t>
            </w:r>
          </w:p>
        </w:tc>
        <w:tc>
          <w:tcPr>
            <w:tcW w:w="2520" w:type="dxa"/>
          </w:tcPr>
          <w:p w14:paraId="3E456DD1">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Resilience, balance-sheet discipline, and selective reinvestment.</w:t>
            </w:r>
          </w:p>
        </w:tc>
        <w:tc>
          <w:tcPr>
            <w:tcW w:w="2520" w:type="dxa"/>
          </w:tcPr>
          <w:p w14:paraId="114D27CA">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Nigeria-specific public financial granularity is limited; local value capture depends on project execution.</w:t>
            </w:r>
          </w:p>
        </w:tc>
      </w:tr>
      <w:tr w14:paraId="0E795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Pr>
          <w:p w14:paraId="408563A1">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TotalEnergies Nigeria</w:t>
            </w:r>
          </w:p>
        </w:tc>
        <w:tc>
          <w:tcPr>
            <w:tcW w:w="2520" w:type="dxa"/>
          </w:tcPr>
          <w:p w14:paraId="709CDFF5">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2024 revenue +64%, net profit +113%, OCF +76%, capex up sharply with strong return conversion.</w:t>
            </w:r>
          </w:p>
        </w:tc>
        <w:tc>
          <w:tcPr>
            <w:tcW w:w="2520" w:type="dxa"/>
          </w:tcPr>
          <w:p w14:paraId="3B7DB64F">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Best ratio-led value creation and strongest local asset productivity.</w:t>
            </w:r>
          </w:p>
        </w:tc>
        <w:tc>
          <w:tcPr>
            <w:tcW w:w="2520" w:type="dxa"/>
          </w:tcPr>
          <w:p w14:paraId="4DDBADC2">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Higher leverage and thinner interest coverage increase financing sensitivity.</w:t>
            </w:r>
          </w:p>
        </w:tc>
      </w:tr>
    </w:tbl>
    <w:p w14:paraId="49A22275">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headline ratio picture is unambiguous even after adjusting for imperfect comparability. TotalEnergies Marketing Nigeria is the most efficient converter of assets and incremental investment into revenue and shareholder returns. Its superior ROE, ROA, ROCE, and asset turnover indicate a focused business with tight capital discipline, high network utilization, and strong pricing/recovery capability. The company's reinvestment pattern also matters: capex was not simply maintenance spending, but was tied to service-station solarization, logistics quality, mobility upgrades, and retail productivity.</w:t>
      </w:r>
    </w:p>
    <w:p w14:paraId="156BB7EE">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Shell's public numbers point to a different type of strength. It does not dominate on local ratio intensity because the comparison uses group-level data and because its Nigerian portfolio is concentrated in long-cycle upstream and integrated gas rather than fast-turning marketing assets. Even so, Shell stands out for liquidity, leverage control, and financing resilience. Its 17.7% gearing, strong current ratio, and double-digit interest coverage indicate that the company can absorb volatility while continuing to invest through the cycle.</w:t>
      </w:r>
    </w:p>
    <w:p w14:paraId="65842419">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NNPC's performance is the most strategically important and the most structurally constrained. The 2023 statements show that the company can generate enormous absolute cash flow and operating profit, but the asset base is not yet being turned with sufficient efficiency. The current ratio of 0.09x is the clearest warning signal. It suggests that commercialization remains incomplete and that working capital, legacy obligations, and energy-security roles still crowd out pure return optimization. In short, NNPC is improving as a profit generator, but not yet operating with the balance-sheet agility of a fully disciplined commercial peer.</w:t>
      </w:r>
    </w:p>
    <w:p w14:paraId="455F05BF">
      <w:pPr>
        <w:pStyle w:val="2"/>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 Strategic Analysis and Intelligence Assessment</w:t>
      </w:r>
    </w:p>
    <w:p w14:paraId="4ED9F8F9">
      <w:pPr>
        <w:pStyle w:val="3"/>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NNPC Limited</w:t>
      </w:r>
    </w:p>
    <w:p w14:paraId="2431E300">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NNPC's core strength is strategic scale. It controls or influences critical upstream, gas, and domestic supply infrastructure and remains central to Nigeria's fiscal and energy-security architecture. The 2024 report's disclosure of N5.4 trillion net income and a proposed N4.3 trillion dividend is strategically significant because it signals that the commercialization agenda under the PIA is beginning to produce distributable value rather than merely administrative reform.</w:t>
      </w:r>
    </w:p>
    <w:p w14:paraId="016FCDD7">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However, the numbers also show that NNPC is not yet a fully optimized commercial machine. Low asset turnover, weak liquidity, and the continuing burden of supplier-of-last-resort obligations point to a company whose capital allocation is still partly shaped by public-policy imperatives rather than return thresholds alone. The 2023 statements explicitly recognized around N3 trillion in PMS under-recovery and energy-security expenses. That means reported profitability coexists with structural obligations that can impair working-capital quality and reduce investment flexibility.</w:t>
      </w:r>
    </w:p>
    <w:p w14:paraId="56D1835C">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opportunity for NNPC is clear: if governance, cost control, asset rationalization, and digital operating discipline continue to improve, the organization could unlock massive value from an already dominant asset base. The risk is equally clear: without deeper commercial hardening, NNPC may continue to generate large nominal earnings while underperforming on capital velocity, balance-sheet quality, and risk-adjusted return.</w:t>
      </w:r>
    </w:p>
    <w:p w14:paraId="6EA34B63">
      <w:pPr>
        <w:pStyle w:val="3"/>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Shell Nigeria</w:t>
      </w:r>
    </w:p>
    <w:p w14:paraId="49F33B04">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Shell's Nigeria strategy is now best understood as portfolio optimization rather than mere presence reduction. The sale of SPDC and the concentration of future capital on deepwater and integrated gas reveal a deliberate attempt to exit higher-risk onshore barrels and redeploy capital toward assets with better security, export optionality, and internal-rate-of-return visibility. The Bonga North investment was explicitly described by Shell as expected to generate returns above the hurdle rate for its upstream business, while the HI gas project reinforces the integrated gas thesis through feedstock for NLNG.</w:t>
      </w:r>
    </w:p>
    <w:p w14:paraId="7F5C09FC">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This is a classic major-oil capital-discipline playbook: simplify the portfolio, reduce above-ground risk, focus on advantaged molecules, and preserve balance-sheet capacity. It does not maximize short-term political visibility, but it does maximize resilience. Under prolonged oil-price volatility, this model is likely to outperform peers that remain overexposed to ageing, theft-prone, or policy-distorted assets.</w:t>
      </w:r>
    </w:p>
    <w:p w14:paraId="765198BC">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main strategic weakness is that Shell's value capture in Nigeria becomes more concentrated in fewer, larger projects. Deepwater and gas are attractive, but they are execution-sensitive and exposed to fiscal, LNG-market, and project-timing risk. Even so, among the three companies assessed, Shell appears best positioned to defend returns under external shocks because it pairs selective Nigerian exposure with a globally diversified balance sheet and strict investment thresholds.</w:t>
      </w:r>
    </w:p>
    <w:p w14:paraId="10FF5952">
      <w:pPr>
        <w:pStyle w:val="3"/>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TotalEnergies Nigeria</w:t>
      </w:r>
    </w:p>
    <w:p w14:paraId="35EFAF1B">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TotalEnergies Marketing Nigeria is the clearest example of how focus can outperform scale. The company delivered strong 2024 growth while still investing in practical productivity enhancers: more than 100 additional trucks, 251 solarized stations, a fully power-autonomous site in Abuja, rebranding and mobility upgrades across the network, and safety technology such as AI cameras and ABS on heavy vehicles. Those are not symbolic ESG gestures; they are operating-efficiency investments that improve uptime, reduce power exposure, lift retail quality, and protect supply-chain execution.</w:t>
      </w:r>
    </w:p>
    <w:p w14:paraId="758078DB">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Its financial profile shows a company that uses capital intensely but productively. High ROE and ROCE indicate very strong value extraction from equity and operating capital. High asset turnover shows that the asset base is working hard. The principal vulnerability is leverage. Borrowings rose and interest coverage remains the weakest among the three companies, which means the model is efficient but should not become complacent about financing costs in a high-rate, inflationary environment.</w:t>
      </w:r>
    </w:p>
    <w:p w14:paraId="6C6DA3B3">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Relative to peers, TotalEnergies also appears more balanced in its adaptation to the transition. It is not remaking itself through large-scale low-carbon project bets, but it is embedding efficiency, distributed solar use, and retail modernization into the existing hydrocarbon business. That is a realistic and cash-conscious transition posture for the Nigerian market.</w:t>
      </w:r>
    </w:p>
    <w:p w14:paraId="2BD596AE">
      <w:pPr>
        <w:pStyle w:val="3"/>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Cross-company intelligence judgement</w:t>
      </w:r>
    </w:p>
    <w:p w14:paraId="275F66A8">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Most resilient under prolonged oil-price volatility: Shell. Its low gearing, strong liquidity, diversified global cash flow, and willingness to high-grade Nigeria exposure toward deepwater and integrated gas make it the least vulnerable to a prolonged downcycle.</w:t>
      </w:r>
    </w:p>
    <w:p w14:paraId="6EA6CE0F">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Strongest value-creation capability from capital deployed: TotalEnergies Nigeria. Its 2024 ratio set is materially superior on ROA, ROE, ROCE, and asset turnover, indicating that each incremental unit of capital is producing more revenue and equity value than at peers.</w:t>
      </w:r>
    </w:p>
    <w:p w14:paraId="3C53A657">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Best positioned for long-term competitiveness: a split verdict. Shell is best positioned for long-cycle, export-oriented competitiveness; TotalEnergies is best positioned for domestic market monetization and local cash efficiency; NNPC has the highest strategic optionality but only if commercialization materially improves operating discipline and working-capital quality.</w:t>
      </w:r>
    </w:p>
    <w:p w14:paraId="6569D582">
      <w:pPr>
        <w:pStyle w:val="2"/>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 Outlook and Strategic Implications (Next 3-5 Years)</w:t>
      </w:r>
    </w:p>
    <w:p w14:paraId="273D845B">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Over the next three to five years, capital efficiency in Nigeria's oil and gas industry will be shaped by five forces. First, capital discipline will tighten further as boards and lenders continue to demand shorter payback periods and higher certainty of cash conversion. Second, digitalization will matter more: companies that use predictive maintenance, digital monitoring, theft detection, route optimization, and real-time energy management will defend margins better. Third, portfolio restructuring will continue, especially where ageing onshore assets offer poor risk-adjusted returns. Fourth, gas and infrastructure linked to domestic power and LNG will attract a larger share of advantaged capital. Fifth, ESG expectations will increasingly reward low-flaring, lower-power-cost, safer, and more transparent operating models.</w:t>
      </w:r>
    </w:p>
    <w:p w14:paraId="3FC186D9">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Under that outlook, business models most likely to outperform are those that combine selective investment, balance-sheet protection, and operational simplification. Shell's model fits this template at the long-cycle end. TotalEnergies' model fits it at the domestic monetization end. NNPC can also fit it, but only if it continues moving from administratively large to economically agile.</w:t>
      </w:r>
    </w:p>
    <w:p w14:paraId="24BFB526">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practical lesson for Nigerian operators and indigenous producers is not to imitate the majors mechanically, but to internalize their capital logic: rank projects by risk-adjusted return, rationalize low-quality assets, protect liquidity, and tie capex to measurable productivity gains rather than symbolic expansion. For investors, the comparative evidence suggests that the highest-quality opportunities in Nigeria will increasingly cluster around advantaged gas, defensible deepwater, logistics-efficient downstream platforms, and commercially disciplined operators.</w:t>
      </w:r>
    </w:p>
    <w:p w14:paraId="207EC418">
      <w:pPr>
        <w:pStyle w:val="2"/>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Conclusion</w:t>
      </w:r>
    </w:p>
    <w:p w14:paraId="0C465311">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company that currently demonstrates the strongest capital efficiency is TotalEnergies Marketing Nigeria Plc. On the numbers available, it produces the best combination of ROA, ROE, ROCE, asset turnover, earnings growth, and capex productivity. It also shows that disciplined, targeted reinvestment in network quality and operating reliability can drive superior returns in Nigeria's market conditions.</w:t>
      </w:r>
    </w:p>
    <w:p w14:paraId="3DB0ABAD">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company that appears to generate the greatest value from invested capital on a risk-adjusted strategic basis is more nuanced. If the question is pure ratio efficiency, the answer is TotalEnergies Nigeria. If the question is resilience of value creation through volatility, the answer is Shell. If the question is absolute national fiscal value and strategic reach, NNPC remains unmatched, but it is not yet the most efficient allocator of capital.</w:t>
      </w:r>
    </w:p>
    <w:p w14:paraId="6618D0E4">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performance differences are explained by operating model design. Shell benefits from portfolio high-grading, low leverage, and global capital discipline. TotalEnergies benefits from focus, fast asset rotation, and productivity-oriented reinvestment. NNPC suffers from mandate complexity, weak liquidity, and the residual effects of policy obligations, even as recent profitability shows meaningful progress.</w:t>
      </w:r>
    </w:p>
    <w:p w14:paraId="3BBB7CB9">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For Nigeria's wider oil and gas industry, the recommendations are practical: hard-wire commercial thresholds into investment approval; shrink exposure to low-quality, low-cash-yield assets; improve working-capital discipline; digitize operations to lift uptime and reduce losses; align ESG spending with measurable efficiency gains; and separate public-policy burdens from commercial balance sheets wherever possible. The sector will create more long-term value when capital is treated as scarce, risk-priced, and accountable rather than politically abundant.</w:t>
      </w:r>
    </w:p>
    <w:p w14:paraId="4EBC24AA">
      <w:pPr>
        <w:pStyle w:val="2"/>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Key Sources</w:t>
      </w:r>
    </w:p>
    <w:p w14:paraId="7FAF7754">
      <w:pPr>
        <w:pStyle w:val="23"/>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NNPC Limited Financial Statements for the year ended December 2023: https://cms1977.nnpcgroup.com/uploads/NNPCL_FINANCIAL_STATEMENTS_FOR_THE_YEAR_ENDED_AT_DECEMBER_2023_ff9ff543f9.pdf</w:t>
      </w:r>
    </w:p>
    <w:p w14:paraId="6ACBADA7">
      <w:pPr>
        <w:pStyle w:val="23"/>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NNPC Annual Financial Report 2024: https://cms1977.nnpcgroup.com/uploads/2024_Annual_Report_669bbd1ef7.pdf</w:t>
      </w:r>
    </w:p>
    <w:p w14:paraId="7968062E">
      <w:pPr>
        <w:pStyle w:val="23"/>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Petroleum Industry Act official overview: https://pia.gov.ng/about/</w:t>
      </w:r>
    </w:p>
    <w:p w14:paraId="451396E9">
      <w:pPr>
        <w:pStyle w:val="23"/>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Shell Annual Report 2024: https://www.shell.com/who-we-are/our-values/_jcr_content/root/main/section_874829968/list/list_item_copy.multi.stream/1752580693041/6c20b8111738b9a590ba145f0d1c4fa0e530dae0/shell-annual-report-2024.pdf</w:t>
      </w:r>
    </w:p>
    <w:p w14:paraId="7184913D">
      <w:pPr>
        <w:pStyle w:val="23"/>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Shell invests in Bonga North deep-water project, Nigeria: https://www.shell.com/news-and-insights/newsroom/news-and-media-releases/2024/shell-invests-in-bonga-north-deep-water-project-nigeria.html</w:t>
      </w:r>
    </w:p>
    <w:p w14:paraId="7FEE75D2">
      <w:pPr>
        <w:pStyle w:val="23"/>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Shell completes sale of SPDC to focus its portfolio in Nigeria on Deepwater and Integrated Gas positions: https://www.shell.com/news-and-insights/newsroom/news-and-media-releases/2025/shell-completes-sale-of-spdc.html</w:t>
      </w:r>
    </w:p>
    <w:p w14:paraId="20EE3046">
      <w:pPr>
        <w:pStyle w:val="23"/>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Shell invests in Nigeria offshore gas development: https://www.shell.com/news-and-insights/newsroom/news-and-media-releases/2025/shell-invests-in-nigeria-offshore-gas-development.html</w:t>
      </w:r>
    </w:p>
    <w:p w14:paraId="6B93A5CA">
      <w:pPr>
        <w:pStyle w:val="23"/>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TotalEnergies Marketing Nigeria Plc 2024 audited financial statements: https://doclib.ngxgroup.com/Financial_NewsDocs/43707_TOTALENERGIES_MARKETING_NIGERIA_PLC-_QUARTER_5_-_FINANCIAL_STATEMENT_FOR_2024_FINANCIAL_STATEMENTS_APRIL_2025.pdf</w:t>
      </w:r>
    </w:p>
    <w:p w14:paraId="47DC1C76">
      <w:pPr>
        <w:pStyle w:val="23"/>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TotalEnergies Marketing Nigeria financial publications page: https://services.totalenergies.ng/totalenergies-marketing-nigeria-plc/financial-publications</w:t>
      </w:r>
    </w:p>
    <w:sectPr>
      <w:pgSz w:w="12240" w:h="15840"/>
      <w:pgMar w:top="936" w:right="1080" w:bottom="936" w:left="108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Symbol">
    <w:panose1 w:val="05050102010706020507"/>
    <w:charset w:val="02"/>
    <w:family w:val="auto"/>
    <w:pitch w:val="default"/>
    <w:sig w:usb0="00000000" w:usb1="00000000" w:usb2="00000000" w:usb3="00000000" w:csb0="80000000" w:csb1="0000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 w:name="Yu Gothic">
    <w:panose1 w:val="020B04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8CC484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qFormat="1" w:unhideWhenUsed="0" w:uiPriority="61" w:semiHidden="0" w:name="Light List"/>
    <w:lsdException w:unhideWhenUsed="0" w:uiPriority="62" w:semiHidden="0" w:name="Light Grid"/>
    <w:lsdException w:qFormat="1" w:unhideWhenUsed="0" w:uiPriority="63" w:semiHidden="0" w:name="Medium Shading 1"/>
    <w:lsdException w:unhideWhenUsed="0" w:uiPriority="64" w:semiHidden="0" w:name="Medium Shading 2"/>
    <w:lsdException w:qFormat="1" w:unhideWhenUsed="0" w:uiPriority="65" w:semiHidden="0" w:name="Medium List 1"/>
    <w:lsdException w:qFormat="1" w:unhideWhenUsed="0" w:uiPriority="66" w:semiHidden="0" w:name="Medium List 2"/>
    <w:lsdException w:unhideWhenUsed="0" w:uiPriority="67" w:semiHidden="0" w:name="Medium Grid 1"/>
    <w:lsdException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qFormat="1" w:unhideWhenUsed="0" w:uiPriority="70" w:semiHidden="0" w:name="Dark List Accent 1"/>
    <w:lsdException w:qFormat="1"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unhideWhenUsed="0" w:uiPriority="65" w:semiHidden="0" w:name="Medium List 1 Accent 3"/>
    <w:lsdException w:qFormat="1" w:unhideWhenUsed="0" w:uiPriority="66" w:semiHidden="0" w:name="Medium List 2 Accent 3"/>
    <w:lsdException w:unhideWhenUsed="0" w:uiPriority="67" w:semiHidden="0" w:name="Medium Grid 1 Accent 3"/>
    <w:lsdException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qFormat="1"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qFormat="1"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unhideWhenUsed="0" w:uiPriority="68" w:semiHidden="0" w:name="Medium Grid 2 Accent 6"/>
    <w:lsdException w:unhideWhenUsed="0" w:uiPriority="69" w:semiHidden="0" w:name="Medium Grid 3 Accent 6"/>
    <w:lsdException w:qFormat="1"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Theme="minorEastAsia" w:cstheme="minorBidi"/>
      <w:sz w:val="21"/>
      <w:szCs w:val="22"/>
      <w:lang w:val="en-US" w:eastAsia="en-US" w:bidi="ar-SA"/>
    </w:rPr>
  </w:style>
  <w:style w:type="paragraph" w:styleId="2">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4"/>
      <w:szCs w:val="26"/>
      <w14:textFill>
        <w14:solidFill>
          <w14:schemeClr w14:val="accent1"/>
        </w14:solidFill>
      </w14:textFill>
    </w:rPr>
  </w:style>
  <w:style w:type="paragraph" w:styleId="4">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4"/>
    <w:unhideWhenUsed/>
    <w:qFormat/>
    <w:uiPriority w:val="99"/>
    <w:pPr>
      <w:spacing w:after="120"/>
    </w:pPr>
  </w:style>
  <w:style w:type="paragraph" w:styleId="14">
    <w:name w:val="Body Text 2"/>
    <w:basedOn w:val="1"/>
    <w:link w:val="145"/>
    <w:unhideWhenUsed/>
    <w:qFormat/>
    <w:uiPriority w:val="99"/>
    <w:pPr>
      <w:spacing w:after="120" w:line="480" w:lineRule="auto"/>
    </w:pPr>
  </w:style>
  <w:style w:type="paragraph" w:styleId="15">
    <w:name w:val="Body Text 3"/>
    <w:basedOn w:val="1"/>
    <w:link w:val="146"/>
    <w:unhideWhenUsed/>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qFormat/>
    <w:uiPriority w:val="99"/>
    <w:pPr>
      <w:tabs>
        <w:tab w:val="center" w:pos="4680"/>
        <w:tab w:val="right" w:pos="9360"/>
      </w:tabs>
      <w:spacing w:after="0" w:line="240" w:lineRule="auto"/>
    </w:pPr>
  </w:style>
  <w:style w:type="paragraph" w:styleId="19">
    <w:name w:val="header"/>
    <w:basedOn w:val="1"/>
    <w:link w:val="135"/>
    <w:unhideWhenUsed/>
    <w:qFormat/>
    <w:uiPriority w:val="99"/>
    <w:pPr>
      <w:tabs>
        <w:tab w:val="center" w:pos="4680"/>
        <w:tab w:val="right" w:pos="9360"/>
      </w:tabs>
      <w:spacing w:after="0" w:line="240" w:lineRule="auto"/>
    </w:pPr>
  </w:style>
  <w:style w:type="paragraph" w:styleId="20">
    <w:name w:val="List"/>
    <w:basedOn w:val="1"/>
    <w:unhideWhenUsed/>
    <w:qFormat/>
    <w:uiPriority w:val="99"/>
    <w:pPr>
      <w:ind w:left="360" w:hanging="360"/>
      <w:contextualSpacing/>
    </w:pPr>
  </w:style>
  <w:style w:type="paragraph" w:styleId="21">
    <w:name w:val="List 2"/>
    <w:basedOn w:val="1"/>
    <w:unhideWhenUsed/>
    <w:qFormat/>
    <w:uiPriority w:val="99"/>
    <w:pPr>
      <w:ind w:left="720" w:hanging="360"/>
      <w:contextualSpacing/>
    </w:pPr>
  </w:style>
  <w:style w:type="paragraph" w:styleId="22">
    <w:name w:val="List 3"/>
    <w:basedOn w:val="1"/>
    <w:unhideWhenUsed/>
    <w:qFormat/>
    <w:uiPriority w:val="99"/>
    <w:pPr>
      <w:ind w:left="1080" w:hanging="360"/>
      <w:contextualSpacing/>
    </w:pPr>
  </w:style>
  <w:style w:type="paragraph" w:styleId="23">
    <w:name w:val="List Bullet"/>
    <w:basedOn w:val="1"/>
    <w:unhideWhenUsed/>
    <w:qFormat/>
    <w:uiPriority w:val="99"/>
    <w:pPr>
      <w:numPr>
        <w:ilvl w:val="0"/>
        <w:numId w:val="1"/>
      </w:numPr>
      <w:contextualSpacing/>
    </w:pPr>
  </w:style>
  <w:style w:type="paragraph" w:styleId="24">
    <w:name w:val="List Bullet 2"/>
    <w:basedOn w:val="1"/>
    <w:unhideWhenUsed/>
    <w:qFormat/>
    <w:uiPriority w:val="99"/>
    <w:pPr>
      <w:numPr>
        <w:ilvl w:val="0"/>
        <w:numId w:val="2"/>
      </w:numPr>
      <w:contextualSpacing/>
    </w:pPr>
  </w:style>
  <w:style w:type="paragraph" w:styleId="25">
    <w:name w:val="List Bullet 3"/>
    <w:basedOn w:val="1"/>
    <w:unhideWhenUsed/>
    <w:qFormat/>
    <w:uiPriority w:val="99"/>
    <w:pPr>
      <w:numPr>
        <w:ilvl w:val="0"/>
        <w:numId w:val="3"/>
      </w:numPr>
      <w:contextualSpacing/>
    </w:pPr>
  </w:style>
  <w:style w:type="paragraph" w:styleId="26">
    <w:name w:val="List Continue"/>
    <w:basedOn w:val="1"/>
    <w:unhideWhenUsed/>
    <w:qFormat/>
    <w:uiPriority w:val="99"/>
    <w:pPr>
      <w:spacing w:after="120"/>
      <w:ind w:left="360"/>
      <w:contextualSpacing/>
    </w:pPr>
  </w:style>
  <w:style w:type="paragraph" w:styleId="27">
    <w:name w:val="List Continue 2"/>
    <w:basedOn w:val="1"/>
    <w:unhideWhenUsed/>
    <w:qFormat/>
    <w:uiPriority w:val="99"/>
    <w:pPr>
      <w:spacing w:after="120"/>
      <w:ind w:left="720"/>
      <w:contextualSpacing/>
    </w:pPr>
  </w:style>
  <w:style w:type="paragraph" w:styleId="28">
    <w:name w:val="List Continue 3"/>
    <w:basedOn w:val="1"/>
    <w:unhideWhenUsed/>
    <w:qFormat/>
    <w:uiPriority w:val="99"/>
    <w:pPr>
      <w:spacing w:after="120"/>
      <w:ind w:left="1080"/>
      <w:contextualSpacing/>
    </w:pPr>
  </w:style>
  <w:style w:type="paragraph" w:styleId="29">
    <w:name w:val="List Number"/>
    <w:basedOn w:val="1"/>
    <w:unhideWhenUsed/>
    <w:qFormat/>
    <w:uiPriority w:val="99"/>
    <w:pPr>
      <w:numPr>
        <w:ilvl w:val="0"/>
        <w:numId w:val="4"/>
      </w:numPr>
      <w:contextualSpacing/>
    </w:pPr>
  </w:style>
  <w:style w:type="paragraph" w:styleId="30">
    <w:name w:val="List Number 2"/>
    <w:basedOn w:val="1"/>
    <w:unhideWhenUsed/>
    <w:qFormat/>
    <w:uiPriority w:val="99"/>
    <w:pPr>
      <w:numPr>
        <w:ilvl w:val="0"/>
        <w:numId w:val="5"/>
      </w:numPr>
      <w:contextualSpacing/>
    </w:pPr>
  </w:style>
  <w:style w:type="paragraph" w:styleId="31">
    <w:name w:val="List Number 3"/>
    <w:basedOn w:val="1"/>
    <w:unhideWhenUsed/>
    <w:qFormat/>
    <w:uiPriority w:val="99"/>
    <w:pPr>
      <w:numPr>
        <w:ilvl w:val="0"/>
        <w:numId w:val="6"/>
      </w:numPr>
      <w:contextualSpacing/>
    </w:pPr>
  </w:style>
  <w:style w:type="paragraph" w:styleId="3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5">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Header Char"/>
    <w:basedOn w:val="11"/>
    <w:link w:val="19"/>
    <w:uiPriority w:val="99"/>
  </w:style>
  <w:style w:type="character" w:customStyle="1" w:styleId="136">
    <w:name w:val="Footer Char"/>
    <w:basedOn w:val="11"/>
    <w:link w:val="18"/>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1"/>
    <w:link w:val="4"/>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1"/>
    <w:link w:val="36"/>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1"/>
    <w:link w:val="3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1"/>
    <w:link w:val="13"/>
    <w:qFormat/>
    <w:uiPriority w:val="99"/>
  </w:style>
  <w:style w:type="character" w:customStyle="1" w:styleId="145">
    <w:name w:val="Body Text 2 Char"/>
    <w:basedOn w:val="11"/>
    <w:link w:val="14"/>
    <w:qFormat/>
    <w:uiPriority w:val="99"/>
  </w:style>
  <w:style w:type="character" w:customStyle="1" w:styleId="146">
    <w:name w:val="Body Text 3 Char"/>
    <w:basedOn w:val="11"/>
    <w:link w:val="15"/>
    <w:qFormat/>
    <w:uiPriority w:val="99"/>
    <w:rPr>
      <w:sz w:val="16"/>
      <w:szCs w:val="16"/>
    </w:rPr>
  </w:style>
  <w:style w:type="character" w:customStyle="1" w:styleId="147">
    <w:name w:val="Macro Text Char"/>
    <w:basedOn w:val="11"/>
    <w:link w:val="3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1"/>
    <w:link w:val="148"/>
    <w:qFormat/>
    <w:uiPriority w:val="29"/>
    <w:rPr>
      <w:i/>
      <w:iCs/>
      <w:color w:val="000000" w:themeColor="text1"/>
      <w14:textFill>
        <w14:solidFill>
          <w14:schemeClr w14:val="tx1"/>
        </w14:solidFill>
      </w14:textFill>
    </w:rPr>
  </w:style>
  <w:style w:type="character" w:customStyle="1" w:styleId="150">
    <w:name w:val="Heading 4 Char"/>
    <w:basedOn w:val="11"/>
    <w:link w:val="5"/>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1"/>
    <w:link w:val="6"/>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1"/>
    <w:link w:val="7"/>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1"/>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1"/>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1"/>
    <w:link w:val="156"/>
    <w:qFormat/>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8</Pages>
  <Words>968</Words>
  <Characters>6195</Characters>
  <Lines>0</Lines>
  <Paragraphs>0</Paragraphs>
  <TotalTime>5</TotalTime>
  <ScaleCrop>false</ScaleCrop>
  <LinksUpToDate>false</LinksUpToDate>
  <CharactersWithSpaces>7136</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Admin</cp:lastModifiedBy>
  <dcterms:modified xsi:type="dcterms:W3CDTF">2026-06-21T00:19:57Z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eyJoZGlkIjoiOTViZjMyNThlNzc4NjZhMTRjNzI4MWU4MzRkYzg1ZTkifQ==</vt:lpwstr>
  </property>
  <property fmtid="{D5CDD505-2E9C-101B-9397-08002B2CF9AE}" pid="3" name="KSOProductBuildVer">
    <vt:lpwstr>1033-12.1.0.26880</vt:lpwstr>
  </property>
  <property fmtid="{D5CDD505-2E9C-101B-9397-08002B2CF9AE}" pid="4" name="ICV">
    <vt:lpwstr>3E197A5E00C642C88371AC6D398D4B21_12</vt:lpwstr>
  </property>
</Properties>
</file>