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07B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pPr>
      <w:bookmarkStart w:id="0" w:name="_GoBack"/>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Methane Emissions Management and Nigeria's Gas-Led Energy Transition Strategy</w:t>
      </w:r>
    </w:p>
    <w:bookmarkEnd w:id="0"/>
    <w:p w14:paraId="6EA701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EXECUTIVE SUMMARY</w:t>
      </w:r>
    </w:p>
    <w:p w14:paraId="4FC542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Nigeria's ambition to become Africa's leading gas producer is increasingly intertwined with its ability to manage methane emissions. With proven gas reserves of approximately 211 trillion cubic feet (Tcf), the largest in Africa, Nigeria has positioned gas as the cornerstone of its energy transition through the Decade of Gas initiative (2021-2030) and the 2022 Energy Transition Plan (ETP). However, a critical divergence has emerged: while Nigeria pursues aggressive gas commercialization through NLNG Train 7 (92% complete), the Ajaokuta-Kaduna-Kano (AKK) pipeline, and the Nigeria-Morocco Gas Pipeline, its methane emissions performance is deteriorating.</w:t>
      </w:r>
    </w:p>
    <w:p w14:paraId="2EA1B9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World Bank's July 2025 Global Gas Flaring Tracker reveals that Nigeria experienced a 12% increase in gas flaring in 2024, the second consecutive year of rising flares, with flaring intensity climbing 8% to 12.0 cubic meters per barrel, more than double the global average. Critically, 60% of Nigeria's gas flaring now originates from NNPC and smaller indigenous companies that acquired divested IOC assets, contributing 75% of the flaring increase. Nigeria risks undermining export competitiveness as the EU advances methane import performance standards, threatening the 60% of LNG shipments currently directed to Europe. The business case for abatement is compelling; Nigeria has forfeited an estimated $120 billion in potential gas value through flaring over two decades. The intelligence assessment is that Nigeria can balance gas expansion with methane reduction, but only if regulatory enforcement strengthens, monitoring investment accelerates, and the indigenous operator capability gap is closed.</w:t>
      </w:r>
    </w:p>
    <w:p w14:paraId="627713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7E25C8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1. BACKGROUND AND CONTEXT</w:t>
      </w:r>
    </w:p>
    <w:p w14:paraId="6465B6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Nigeria's Gas-Led Energy Transition Strategy</w:t>
      </w:r>
    </w:p>
    <w:p w14:paraId="159AF7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Energy Transition Plan (ETP), launched in August 2022, identifies natural gas as the primary transition fuel, with $1.9 trillion in investment required to achieve net-zero by 2060. The Decade of Gas initiative (2021-2030) aims to shift the energy mix toward CNG for transport, LPG for domestic cooking, and gas-fired power generation. These ambitions align with Nigeria's NDC under the Paris Agreement, which includes eliminating gas flaring by 2030 and reducing fugitive methane emissions by 60% by 2031.</w:t>
      </w:r>
    </w:p>
    <w:p w14:paraId="4CFB2E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strategic rationale is economic as much as environmental. With oil rents declining, Nigeria seeks to replace oil revenues with gas-derived income. The NLNG Train 7 expansion will raise capacity from 22 to 30 million tonnes per annum (MTPA), and the $25 billion Nigeria-Morocco Gas Pipeline targets European demand, which surged after Russian supply reductions. Europe's LNG imports reached a record 175 billion cubic meters (bcm) in 2025, with Nigeria becoming Europe's third-largest LNG supplier in Q1 2026.</w:t>
      </w:r>
    </w:p>
    <w:p w14:paraId="395473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Current Methane Emissions Profile</w:t>
      </w:r>
    </w:p>
    <w:p w14:paraId="54D0DB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Methane emissions originate from venting (67%), fugitive emissions (19%), and gas flaring (11%). The World Bank's 2025 tracker reports Nigeria flared approximately 229 billion cubic feet (Bcf) in 2024, a 12% increase from 2023. This marks a troubling reversal; while Nigeria achieved a 74% flaring reduction between the early 2000s and 2024, the trend has turned upward. Oil production rose only 3% in 2024 while flaring intensity increased 8%, indicating deteriorating operational efficiency.</w:t>
      </w:r>
    </w:p>
    <w:p w14:paraId="5332F4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International Context</w:t>
      </w:r>
    </w:p>
    <w:p w14:paraId="2D74B2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i w:val="0"/>
          <w:iCs w:val="0"/>
          <w:sz w:val="24"/>
          <w:szCs w:val="24"/>
          <w:lang w:val="en-US"/>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The EU's Methane Regulation (2024) will impose emissions intensity requirements on imported gas. The World Bank's Zero Routine Flaring by 2030 initiative, endorsed by Nigeria, requires a 40% annual reduction in flaring. The Oil and Gas Decarbonization Charter, launched at COP28 with 56 signatories, pledges to eliminate routine flaring, yet transparent reporting remains limited. </w:t>
      </w:r>
    </w:p>
    <w:p w14:paraId="6DF04B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2. STRATEGIC IMPORTANCE OF METHANE EMISSIONS MANAGEMENT</w:t>
      </w:r>
    </w:p>
    <w:p w14:paraId="39540A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Methane Reduction as a Gas Commercialization Imperative</w:t>
      </w:r>
    </w:p>
    <w:p w14:paraId="141F7C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Every cubic foot of methane vented or flared represents lost revenue. Nigeria's historical flaring has resulted in an estimated $120 billion in foregone economic value. The IEA estimates that 80-90% of methane emissions can be abated with existing technologies, and many measures are cost-positive when captured gas is monetized. The Nigerian Gas Flare Commercialization Programme (NGFCP), reaching full implementation in 2024, awarded contracts to 38 companies for 40 flare sites and 4 companies for clustered projects at 9 sites in Q4 2023. Progress has been slower than anticipated, with most continuing flares at small, isolated fields where commercialization remains capital-intensive.</w:t>
      </w:r>
    </w:p>
    <w:p w14:paraId="4C7442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Energy Security and Operational Efficiency</w:t>
      </w:r>
    </w:p>
    <w:p w14:paraId="24719B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Methane emissions directly undermine energy security. Nigeria generates only 4,000-5,000 MW against an installed capacity of 12,500 MW, largely because inadequate gas transport infrastructure prevents thermal plants from receiving sufficient fuel. The 229 Bcf flared in 2024 exceeds total domestic gas consumption (658 Bcf annual average, 2014-2023). Capturing this gas would significantly narrow the energy access gap affecting approximately 40% of Nigerians.</w:t>
      </w:r>
    </w:p>
    <w:p w14:paraId="4B74D8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Nigeria's reserve-to-production ratio stands at approximately 133 years versus 45 years for Algeria and 21.5 years for Australia, reflecting underutilization rather than abundance. Nigeria produces only 0.73% of reserves annually versus Algeria's 2.2% and Australia's 4.65%. Methane losses compound this inefficiency.</w:t>
      </w:r>
    </w:p>
    <w:p w14:paraId="7DD66F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Alignment with Decade of Gas and Economic Development</w:t>
      </w:r>
    </w:p>
    <w:p w14:paraId="3757FF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i w:val="0"/>
          <w:iCs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AKK pipeline (614 km, 2.2 Bcf/d) and OB3 pipeline (130 km, 2 Bcf/d), both nearing completion, represent critical domestic gas distribution infrastructure. However, these investments yield diminished returns if upstream methane losses persist. The AKK pipeline is projected to displace massive diesel consumption in northern Nigeria, but this depends on reliable upstream supply uncompromised by venting and flaring.</w:t>
      </w:r>
    </w:p>
    <w:p w14:paraId="53C07B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3. POLICY AND REGULATORY LANDSCAPE</w:t>
      </w:r>
    </w:p>
    <w:p w14:paraId="270950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Petroleum Industry Act (PIA) and Subsidiary Regulations</w:t>
      </w:r>
    </w:p>
    <w:p w14:paraId="57BF5F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Petroleum Industry Act of 2021 established the Nigerian Upstream Petroleum Regulatory Commission (NUPRC) and the Nigerian Midstream and Downstream Petroleum Regulatory Authority (NMDPRA). This bifurcation created specialized oversight but introduced coordination challenges for methane governance spanning upstream and midstream operations.</w:t>
      </w:r>
    </w:p>
    <w:p w14:paraId="010122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NUPRC has operationalized the Gas Flaring, Venting and Methane Emissions (Prevention of Waste and Pollution) Regulations 2023, the primary upstream methane framework requiring operators to implement methane management programs. The Nigerian Upstream Petroleum Environmental Remediation Regulations 2024 address legacy damage. The Upstream Petroleum Decarbonisation Template (UPDT) requires licensees to integrate decarbonization strategies and develop carbon capture and storage initiatives.</w:t>
      </w:r>
    </w:p>
    <w:p w14:paraId="2DFC2B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NMDPRA is developing methane-specific midstream and downstream guidelines, though these remain pending. The Midstream Gas Flare Regulations (2023) and Midstream and Downstream Petroleum Environmental Regulations (2023) provide partial coverage but lack comprehensive methane provisions.</w:t>
      </w:r>
    </w:p>
    <w:p w14:paraId="56EE88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International Commitments and Climate Frameworks</w:t>
      </w:r>
    </w:p>
    <w:p w14:paraId="6FE4EF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Nigeria's NDC, updated in 2021, revised fugitive emissions reduction targets. The ETP was updated in 2024, maintaining gas as the central transition fuel. Nigeria has committed to the Global Methane Pledge (30% reduction by 2030) and endorsed the World Bank's Zero Routine Flaring by 2030 initiative.</w:t>
      </w:r>
    </w:p>
    <w:p w14:paraId="1AF734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Regulatory Strengths, Gaps, and Enforcement Challenges</w:t>
      </w:r>
    </w:p>
    <w:p w14:paraId="5DFCA6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Strengths include the PIA's grant of independent regulatory authority to NUPRC, the NGFCP's market-based flare commercialization mechanism, and the Climate Change Act (2021) establishing overarching emissions obligations.</w:t>
      </w:r>
    </w:p>
    <w:p w14:paraId="76F1D5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i w:val="0"/>
          <w:iCs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Gaps persist across multiple dimensions. Institutional fragmentation divides responsibility among NUPRC, NMDPRA, Federal Ministry of Environment, National Council on Climate Change, and Department of Climate Change, creating overlapping mandates. The MRV system relies primarily on operator self-reporting with limited independent verification. The Nigerian Gas Flare Tracker (NGFT) carries a 9-13% margin of error and captures non-oil and gas sources. Penalties for non-compliance remain insufficiently applied, evidenced by two consecutive years of rising flares despite the 2023 regulations. Publicly accessible emissions data remains limited, constraining oversight and due diligence.</w:t>
      </w:r>
    </w:p>
    <w:p w14:paraId="11552E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4. KEY CHALLENGES AND RISKS</w:t>
      </w:r>
    </w:p>
    <w:p w14:paraId="59C25F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Aging Infrastructure and Pipeline Integrity</w:t>
      </w:r>
    </w:p>
    <w:p w14:paraId="4AF8B5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Nigeria's oil and gas infrastructure suffers from decades of underinvestment. The Niger Delta pipeline network, much dating to the 1970s-1980s, experiences frequent ruptures, corrosion-related leaks, and pressure failures. Fugitive emissions from valves, seals, and connectors compound the problem. The IEA estimates gas pipelines and LNG facilities contribute approximately 6% of sector methane emissions, likely understated given limited monitoring.</w:t>
      </w:r>
    </w:p>
    <w:p w14:paraId="196A11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Gas Flaring, Venting, and Fugitive Emissions</w:t>
      </w:r>
    </w:p>
    <w:p w14:paraId="2E9C11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Venting (67%) is the largest source, often because operators lack capture infrastructure or gas prices do not justify capture costs. Flaring (11%) involves incomplete combustion at 90-95% efficiency, meaning significant methane escapes unburned. Fugitive emissions (19%) are difficult to detect without systematic leak detection and repair (LDAR) programs, which remain underdeveloped.</w:t>
      </w:r>
    </w:p>
    <w:p w14:paraId="212099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2024 flaring increase concentrates among NNPC facilities and indigenous companies that acquired IOC divested assets, operators often lacking technical expertise and capital for gas utilization. Most continuing flares are at small, isolated fields where clustering for economies of scale is difficult.</w:t>
      </w:r>
    </w:p>
    <w:p w14:paraId="29598F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Financing and Technology Constraints</w:t>
      </w:r>
    </w:p>
    <w:p w14:paraId="42A17D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Methane abatement requires upfront capital in capture infrastructure, LDAR technologies, and flare gas recovery systems. Indigenous operators face constrained international finance access as ESG criteria tighten. The NGFCP contract awards represent progress, but required financing far exceeds current commitments. The ETP identifies $410 billion in additional funding by 2060, with $10 billion annually for incremental investment. Technology barriers include satellite monitoring, infrared cameras, and advanced LDAR systems requiring specialized expertise. While partners such as GHGSat provide satellite capabilities, domestic deployment remains limited.</w:t>
      </w:r>
    </w:p>
    <w:p w14:paraId="769A3A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Data Quality and MRV Challenges</w:t>
      </w:r>
    </w:p>
    <w:p w14:paraId="6DFEEF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MRV limitations include reliance on operator self-reporting without independent verification, limited satellite-ground integration, inadequate baseline inventories, and fragmented data sharing. The NGFT's error margin and false positive susceptibility undermine enforcement utility. A comprehensive national methane emissions inventory remains an unfulfilled priority.</w:t>
      </w:r>
    </w:p>
    <w:p w14:paraId="28B903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Security Concerns, Theft, and Vandalism</w:t>
      </w:r>
    </w:p>
    <w:p w14:paraId="2AF59A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Crude oil theft, pipeline vandalism, and illegal refining in the Niger Delta damage infrastructure and create uncontrolled emission sources. These activities divert attention from systematic abatement. Many high-risk areas are precisely where indigenous operators hold assets following IOC divestments.</w:t>
      </w:r>
    </w:p>
    <w:p w14:paraId="65DE55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Export Competitiveness Risk</w:t>
      </w:r>
    </w:p>
    <w:p w14:paraId="5077A8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i w:val="0"/>
          <w:iCs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EU is Nigeria's largest LNG market at approximately 60% of shipments. As the EU implements methane intensity benchmarks for imported gas, Nigerian LNG could face market access restrictions or price penalties if upstream emissions remain high. The IISD warns that Nigerian LNG may struggle to compete globally after 2030 if methane performance does not improve, particularly given high breakeven costs relative to Qatar and the United States.</w:t>
      </w:r>
    </w:p>
    <w:p w14:paraId="074B08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5. INVESTMENT AND MARKET IMPLICATIONS</w:t>
      </w:r>
    </w:p>
    <w:p w14:paraId="69AD25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Investor Expectations and ESG Compliance</w:t>
      </w:r>
    </w:p>
    <w:p w14:paraId="61E4D4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International investors and offtakers increasingly screen methane performance as a core ESG criterion. Major LNG buyers are adopting methane intensity requirements in procurement contracts. This creates both risk and opportunity: operators with strong credentials may command premium pricing, while laggards face exclusion from premium markets.</w:t>
      </w:r>
    </w:p>
    <w:p w14:paraId="042831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IOC divestment trend introduces a critical dynamic. While IOCs such as Shell, TotalEnergies, and Eni have made net-zero commitments and invested in abatement, their Nigerian divestments transfer assets to operators with weaker environmental track records. The Stakeholder Democracy Network reports that Nigerian companies flare 35% more gas than IOCs, with some indigenous operators flaring over 10 times more per barrel. This indigenization of eco-damage threatens aggregate methane performance.</w:t>
      </w:r>
    </w:p>
    <w:p w14:paraId="16CE29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Access to International Finance</w:t>
      </w:r>
    </w:p>
    <w:p w14:paraId="24ABEA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Methane performance directly affects access to green financing and export credit support. The $3 billion export credit agency-backed debt package for NLNG Train 7, involving 16 international and 10 Nigerian banks, demonstrates capacity to attract finance, but future projects may face tighter ESG screens. Methane performance will likely become an increasingly important lending factor.</w:t>
      </w:r>
    </w:p>
    <w:p w14:paraId="3D7652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Investment Opportunities in Methane Abatement</w:t>
      </w:r>
    </w:p>
    <w:p w14:paraId="124E2A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abatement technology market offers significant opportunity: LDAR programs using optical gas imaging, drones, and satellites; flare gas recovery systems; vapor recovery units; digital monitoring platforms; and carbon capture and utilization. The NGFCP contract awards provide an entry point, though scale-up requires greater capital deployment.</w:t>
      </w:r>
    </w:p>
    <w:p w14:paraId="2420D6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Economic Benefits of Methane Reduction</w:t>
      </w:r>
    </w:p>
    <w:p w14:paraId="6FA6E4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i w:val="0"/>
          <w:iCs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World Bank estimates global 2024 flaring (151 bcm) at $19-63 billion in value. Nigeria's 229 Bcf represents approximately $2.3-7.6 billion in lost value annually. Capturing even a fraction for domestic power, industrial use, or LNG export would yield immediate economic benefits while reducing emissions.</w:t>
      </w:r>
    </w:p>
    <w:p w14:paraId="0598A8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6. STRATEGIC OUTLOOK</w:t>
      </w:r>
    </w:p>
    <w:p w14:paraId="33CC34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Future Trajectory of Methane Governance</w:t>
      </w:r>
    </w:p>
    <w:p w14:paraId="7C4EF0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Over the next 3-5 years, Nigeria's methane governance will likely intensify. The NUPRC and NMDPRA are expected to strengthen enforcement, potentially including stricter penalties and mandatory LDAR programs. The NMDPRA's pending midstream and downstream methane guidelines will close a regulatory gap. MRV maturation through satellite-ground integration will improve data quality. A comprehensive national methane emissions inventory is likely within this timeframe. NGFCP expansion and carbon credit monetization could create financial incentives.</w:t>
      </w:r>
    </w:p>
    <w:p w14:paraId="79D8FF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Implications for LNG Exports and Gas Infrastructure</w:t>
      </w:r>
    </w:p>
    <w:p w14:paraId="5C7568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NLNG Train 7, expected to commence operations in 2027, will increase export capacity by 36%. Sustained growth depends on securing supply from deepwater fields such as TotalEnergies' Ubeta development. The Nigeria-Morocco Gas Pipeline, with an intergovernmental agreement expected in 2026, represents a longer-term route to European markets.</w:t>
      </w:r>
    </w:p>
    <w:p w14:paraId="476375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These infrastructure investments exist in tension with methane requirements. The EU will likely impose upstream emissions intensity caps on imported LNG by the late 2020s. Nigeria's ability to certify low-methane-intensity gas will determine whether it captures premium market share or faces displacement by Qatari, Australian, or U.S. suppliers.</w:t>
      </w:r>
    </w:p>
    <w:p w14:paraId="74DCE7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Scenarios for Nigeria's Gas Producer Position</w:t>
      </w:r>
    </w:p>
    <w:p w14:paraId="55193E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Optimistic Scenario:</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Effective methane governance, accelerated NGFCP implementation, and indigenous operator capability building reduce flaring intensity by 50% by 2030. Nigeria captures growing European and Asian demand, leverages AKK/OB3 infrastructure for domestic industrialization, and establishes itself as Africa's premier low-carbon gas supplier.</w:t>
      </w:r>
    </w:p>
    <w:p w14:paraId="66FCDD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Baseline Scenario:</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Incremental progress continues, with flaring volumes stabilizing but intensity remaining above global averages. Nigeria maintains current LNG market share but faces increasing EU price penalties and struggles to attract premium ESG-focused investment.</w:t>
      </w:r>
    </w:p>
    <w:p w14:paraId="179E13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Pessimistic Scenario:</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Methane emissions rise as indigenous operators expand without adequate abatement capacity. EU standards restrict market access, financing costs rise, and the gas-led transition stalls amid stranded asset risks.</w:t>
      </w:r>
    </w:p>
    <w:p w14:paraId="0BFAF0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4"/>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Emerging Trends (2025-2030)</w:t>
      </w:r>
    </w:p>
    <w:p w14:paraId="6AE3669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i w:val="0"/>
          <w:iCs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Commercial satellite operators (GHGSat, Kayrros, Carbon Mapper) are expanding African coverage, increasing transparency and enabling investor scrutiny. EU Methane Regulation implementation (2027-2030) will impose mandatory reporting and verification on Nigerian exporters. IOC divestment completion will fix the operator landscape, determining whether aggregate performance improves or deteriorates. The AKK and OB3 pipelines, expected in service by 2026, will create domestic demand centers that could absorb previously flared gas if capture infrastructure is developed.</w:t>
      </w:r>
    </w:p>
    <w:p w14:paraId="2D4AB4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CONCLUSION</w:t>
      </w:r>
    </w:p>
    <w:p w14:paraId="2B2676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Nigeria stands at a critical inflection point where gas-led transition ambitions and methane emissions trajectories are diverging. The country possesses the resources, policy frameworks, and market position to become Africa's leading gas producer. However, the deterioration in methane performance, particularly rising flares among NNPC and indigenous operators, poses a material threat.</w:t>
      </w:r>
    </w:p>
    <w:p w14:paraId="09832E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Key Intelligence Judgments</w:t>
      </w:r>
    </w:p>
    <w:p w14:paraId="01ED52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First, the indigenous operator capability gap is the single greatest risk to methane performance. Without targeted technical assistance, financing mechanisms, and regulatory oversight, IOC asset transfers will continue degrading aggregate emissions.</w:t>
      </w:r>
    </w:p>
    <w:p w14:paraId="1F8C76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Second, EU methane import standards represent an existential market risk. Dependence on European markets (60% of exports) creates acute vulnerability to emissions-based trade restrictions. The window for proactive improvement is narrowing.</w:t>
      </w:r>
    </w:p>
    <w:p w14:paraId="550E2A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Third, the business case for abatement is compelling but unrealized. The $120 billion in historical losses and $2.3-7.6 billion in annual current losses represent capital that could fund infrastructure. Market and regulatory failures, not economics, are the primary barriers.</w:t>
      </w:r>
    </w:p>
    <w:p w14:paraId="287D95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Fourth, infrastructure completion (AKK, OB3, Train 7) will not automatically solve methane emissions. These projects expand transport and export capacity but do not address upstream venting and fugitives. Complementary upstream investment is essential.</w:t>
      </w:r>
    </w:p>
    <w:p w14:paraId="46F291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Fifth, MRV credibility is foundational. Without independent, verified data, Nigeria cannot access premium markets, attract ESG-aligned finance, or enforce compliance. Monitoring infrastructure investment should be prioritized alongside physical abatement.</w:t>
      </w:r>
    </w:p>
    <w:p w14:paraId="1EE496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Monitoring Priorities</w:t>
      </w:r>
    </w:p>
    <w:p w14:paraId="3CA3E8B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NUPRC enforcement actions under the 2023 methane regulations; NGFCP contract implementation and flare reductions; NMDPRA methane guideline publication; IOC divestment completions and indigenous operator commitments; EU methane regulation timeline and Nigerian exporter compliance; satellite-detected emission trends from Nigerian facilities.</w:t>
      </w:r>
    </w:p>
    <w:p w14:paraId="08FA3B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i w:val="0"/>
          <w:iCs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Nigeria can balance gas expansion with methane reduction, but this requires moving from policy ambition to measurable implementation. The next 3-5 years will determine whether Nigeria emerges as a model for Africa's gas-led transition or a cautionary tale of missed opportunity.</w:t>
      </w:r>
    </w:p>
    <w:p w14:paraId="0C28E591">
      <w:pPr>
        <w:jc w:val="both"/>
        <w:rPr>
          <w:rFonts w:hint="default" w:ascii="Times New Roman" w:hAnsi="Times New Roman" w:cs="Times New Roman"/>
          <w:i w:val="0"/>
          <w:iCs w:val="0"/>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305FBE"/>
    <w:rsid w:val="73305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Strong"/>
    <w:basedOn w:val="2"/>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2585</Words>
  <Characters>16805</Characters>
  <Lines>0</Lines>
  <Paragraphs>0</Paragraphs>
  <TotalTime>33</TotalTime>
  <ScaleCrop>false</ScaleCrop>
  <LinksUpToDate>false</LinksUpToDate>
  <CharactersWithSpaces>19312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2026-06-20T23:27:00Z</dcterms:created>
  <dc:creator>Admin</dc:creator>
  <cp:lastModifiedBy>Admin</cp:lastModifiedBy>
  <dcterms:modified xsi:type="dcterms:W3CDTF">2026-06-21T00:02:34Z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5D6372B6C17547F4BFF8F40A76566C7D_11</vt:lpwstr>
  </property>
  <property fmtid="{D5CDD505-2E9C-101B-9397-08002B2CF9AE}" pid="4" name="KSOTemplateDocerSaveRecord">
    <vt:lpwstr>eyJoZGlkIjoiOTViZjMyNThlNzc4NjZhMTRjNzI4MWU4MzRkYzg1ZTkifQ==</vt:lpwstr>
  </property>
</Properties>
</file>