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311C1">
      <w:pPr>
        <w:jc w:val="both"/>
        <w:rPr>
          <w:rFonts w:hint="default" w:ascii="Times New Roman" w:hAnsi="Times New Roman" w:cs="Times New Roman"/>
          <w:sz w:val="24"/>
          <w:szCs w:val="24"/>
        </w:rPr>
      </w:pPr>
      <w:r>
        <w:rPr>
          <w:rFonts w:hint="default" w:ascii="Times New Roman" w:hAnsi="Times New Roman" w:cs="Times New Roman"/>
          <w:b/>
          <w:sz w:val="24"/>
          <w:szCs w:val="24"/>
        </w:rPr>
        <w:t>Energy Portfolio Diversification in Nigeria: Balancing Natural Gas, Renewable Energy, and Energy Security Objectives</w:t>
      </w:r>
    </w:p>
    <w:p w14:paraId="71250EDF">
      <w:pPr>
        <w:jc w:val="both"/>
        <w:rPr>
          <w:rFonts w:hint="default" w:ascii="Times New Roman" w:hAnsi="Times New Roman" w:cs="Times New Roman"/>
          <w:sz w:val="24"/>
          <w:szCs w:val="24"/>
        </w:rPr>
      </w:pPr>
      <w:r>
        <w:rPr>
          <w:rFonts w:hint="default" w:ascii="Times New Roman" w:hAnsi="Times New Roman" w:cs="Times New Roman"/>
          <w:b/>
          <w:sz w:val="24"/>
          <w:szCs w:val="24"/>
        </w:rPr>
        <w:t>Executive Summary</w:t>
      </w:r>
    </w:p>
    <w:p w14:paraId="3972A6FD">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Nigeria’s energy diversification strategy is best understood not as a linear shift away from hydrocarbons, but as a three-way balancing act between economic development, domestic gas monetisation, and a gradual expansion of cleaner energy systems. The core policy logic is pragmatic: gas is expected to carry the bulk of near-term industrialisation and grid generation because Nigeria holds 211.1 trillion cubic feet of proven gas reserves, while renewables are increasingly positioned as the fastest route to close access gaps, lower generator dependence, and improve resilience at the edge of the grid. The strategic challenge is that the country’s main constraint is not resource scarcity; it is delivery capacity across infrastructure, regulation, finance, and security. Nigeria’s grid remains unreliable, only a portion of installed capacity is effectively utilised, and a large shadow power market based on diesel and petrol generators continues to outcompete formal supply on speed, if not on cost. [EIA] [World Bank] [IEA]</w:t>
      </w:r>
    </w:p>
    <w:p w14:paraId="2833931F">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Over the next five to ten years, the most likely outcome is a more mixed but uneven portfolio: continued expansion of gas in power, industry, and transport; faster growth in distributed solar and mini-grids than in utility-scale renewables; and gradual decentralisation of electricity markets under the Electricity Act 2023. The principal opportunities are stronger domestic gas utilisation, industrial feedstock supply, off-grid electrification, climate-linked blended finance, and integrated portfolios that combine gas, solar, storage, and captive power. The main risks are persistent pipeline vandalism and theft, slow completion of gas infrastructure, weak project bankability, tariff and offtaker risk, methane and flaring exposure, and fragmentation between federal and state power markets. Nigeria can still improve energy security through diversification, but only if it treats grid reform, market governance, and investment de-risking as equal priorities alongside fuel supply expansion. [RMI] [Reuters] [Energy for Growth Hub]</w:t>
      </w:r>
    </w:p>
    <w:p w14:paraId="2AA1F7C5">
      <w:pPr>
        <w:jc w:val="both"/>
        <w:rPr>
          <w:rFonts w:hint="default" w:ascii="Times New Roman" w:hAnsi="Times New Roman" w:cs="Times New Roman"/>
          <w:sz w:val="24"/>
          <w:szCs w:val="24"/>
        </w:rPr>
      </w:pPr>
      <w:r>
        <w:rPr>
          <w:rFonts w:hint="default" w:ascii="Times New Roman" w:hAnsi="Times New Roman" w:cs="Times New Roman"/>
          <w:b/>
          <w:sz w:val="24"/>
          <w:szCs w:val="24"/>
        </w:rPr>
        <w:t>1. Strategic Context</w:t>
      </w:r>
    </w:p>
    <w:p w14:paraId="3B4A733B">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Nigeria’s energy system sits at the intersection of abundance and scarcity. The country is Africa’s largest economy, a major oil producer, and one of the continent’s largest gas holders, yet it also has the world’s largest absolute electricity access deficit. Oil and gas revenues remain central to foreign exchange earnings and fiscal stability, which helps explain why diversification in Nigeria means portfolio expansion rather than hydrocarbon displacement. The government’s Energy Transition Plan and the updated Energy Transition and Investment Plan frame this as a dual response to energy poverty and climate pressure, with the stated objective of supporting development and universal access while pursuing net zero by 2060. The Decade of Gas initiative, launched in 2021, complements that approach by seeking to turn Nigeria into a gas-powered economy by 2030 through reforms, infrastructure, and investment mobilisation. [Energy Transition Plan] [SEforALL] [Decade of Gas]</w:t>
      </w:r>
    </w:p>
    <w:p w14:paraId="44FBC006">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Demand pressure is intensifying. Rapid population growth, urbanisation, industrial demand, and rising cooling needs are stretching a power system that already underperforms. Nigeria had around 14.1 GW of electricity capacity in 2023, but the World Bank notes that only about 40% of roughly 12 GW of installed grid-connected capacity is effectively utilised, while households and firms depend heavily on self-generation. The result is an energy economy where grid supply, mini-grids, captive plants, and generators coexist, often inefficiently. This is why diversification has become a strategic necessity: it is meant to improve supply reliability, reduce fuel import and generator exposure, monetise domestic gas, and widen the set of technologies available to states and private investors. [EIA] [World Bank]</w:t>
      </w:r>
    </w:p>
    <w:p w14:paraId="748404DA">
      <w:pPr>
        <w:jc w:val="both"/>
        <w:rPr>
          <w:rFonts w:hint="default" w:ascii="Times New Roman" w:hAnsi="Times New Roman" w:cs="Times New Roman"/>
          <w:sz w:val="24"/>
          <w:szCs w:val="24"/>
        </w:rPr>
      </w:pPr>
      <w:r>
        <w:rPr>
          <w:rFonts w:hint="default" w:ascii="Times New Roman" w:hAnsi="Times New Roman" w:cs="Times New Roman"/>
          <w:b/>
          <w:sz w:val="24"/>
          <w:szCs w:val="24"/>
        </w:rPr>
        <w:t>2. Natural Gas as a Transition Fuel</w:t>
      </w:r>
    </w:p>
    <w:p w14:paraId="2BB08AE9">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Gas remains the anchor of Nigeria’s near-term energy strategy. It already provides the dominant share of grid electricity generation, underpins industrial ambitions in fertiliser, methanol, and manufacturing, and is central to plans for cleaner cooking, compressed natural gas transport, and domestic energy substitution. In policy terms, gas is not treated as a sunset fuel but as a transition-enabling domestic asset: one that can support growth, reduce flaring losses if captured productively, and displace more polluting diesel and heavy fuel oil use. Nigeria’s argument is therefore developmental as much as climatic. [IEA] [Decade of Gas]</w:t>
      </w:r>
    </w:p>
    <w:p w14:paraId="4B5745B3">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The opportunity set is substantial. Nigeria is the world’s sixth-largest LNG exporter, yet domestic gas consumption remains constrained by infrastructure gaps. Major projects such as the Ajaokuta-Kaduna-Kano pipeline and wider network expansion are intended to redirect more gas inland to power plants and industry. If executed, this could improve plant fuel availability, support manufacturing clusters, deepen transport fuel switching, and diversify revenue away from crude exports alone. However, the downside risks are equally significant: vandalism and theft still disrupt supply chains; flaring remains material; upstream underinvestment has reduced output reliability; and methane control is becoming more important for access to climate-compatible capital. Gas can strengthen energy security only if Nigeria solves the logistics, payment, and emissions problems that currently limit domestic utilisation. [EIA] [Reuters]</w:t>
      </w:r>
    </w:p>
    <w:p w14:paraId="5DC742AF">
      <w:pPr>
        <w:jc w:val="both"/>
        <w:rPr>
          <w:rFonts w:hint="default" w:ascii="Times New Roman" w:hAnsi="Times New Roman" w:cs="Times New Roman"/>
          <w:sz w:val="24"/>
          <w:szCs w:val="24"/>
        </w:rPr>
      </w:pPr>
      <w:r>
        <w:rPr>
          <w:rFonts w:hint="default" w:ascii="Times New Roman" w:hAnsi="Times New Roman" w:cs="Times New Roman"/>
          <w:b/>
          <w:sz w:val="24"/>
          <w:szCs w:val="24"/>
        </w:rPr>
        <w:t>3. Expanding Renewable Energy Capacity</w:t>
      </w:r>
    </w:p>
    <w:p w14:paraId="62D41D87">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Renewables are the fastest-growing part of Nigeria’s diversification story, but mostly outside the traditional grid. According to IRENA, Nigeria had 3,311 MW of renewable capacity in 2024, dominated by 3,079 MW of hydro, with solar still comparatively small at 197 MW. That profile shows both progress and limitation: renewable capacity exists, but the system has not yet produced utility-scale solar growth commensurate with Nigeria’s resource base. The stronger momentum is in distributed renewable energy. The World Bank-backed DARES programme aims to provide new or improved access to electricity for 17.5 million Nigerians through mini-grids and standalone solar, while the earlier Nigeria Electrification Project supported more than a million solar home systems and over one hundred mini-grids. REA reported more than 200 mini-grid deployments in 2025 and a pipeline toward 1,350 under DARES. [IRENA] [World Bank] [REA]</w:t>
      </w:r>
    </w:p>
    <w:p w14:paraId="32DE02BE">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Policy support is improving but remains incomplete. Nigeria already has comparatively advanced mini-grid regulation in sub-Saharan Africa, and NERC’s preparatory work for the country’s first utility-scale solar auction signals an attempt to move beyond small-scale deployment. Yet large-scale renewable growth still faces the same structural constraints that affect gas-to-power: weak transmission capacity, uncertain offtake, foreign exchange risk, and project preparation gaps. The result is a bifurcated market in which distributed solar is increasingly bankable for access and commercial customers, while grid-scale renewables remain slower to convert from plan to operation. [NERC] [Energy for Growth Hub] [IRENA]</w:t>
      </w:r>
    </w:p>
    <w:p w14:paraId="2D4F9D88">
      <w:pPr>
        <w:jc w:val="both"/>
        <w:rPr>
          <w:rFonts w:hint="default" w:ascii="Times New Roman" w:hAnsi="Times New Roman" w:cs="Times New Roman"/>
          <w:sz w:val="24"/>
          <w:szCs w:val="24"/>
        </w:rPr>
      </w:pPr>
      <w:r>
        <w:rPr>
          <w:rFonts w:hint="default" w:ascii="Times New Roman" w:hAnsi="Times New Roman" w:cs="Times New Roman"/>
          <w:b/>
          <w:sz w:val="24"/>
          <w:szCs w:val="24"/>
        </w:rPr>
        <w:t>4. Energy Security Implications</w:t>
      </w:r>
    </w:p>
    <w:p w14:paraId="70F665AA">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Nigeria’s energy security problem is broader than the size of its reserves. It is defined by unreliable electricity, dependence on backup generation, fuel logistics failures, pipeline attacks, and infrastructure vulnerability. The country’s exposure to self-generation is especially consequential: the World Bank estimates generator-based supply at roughly 4 GW, about ten times greater than grid supply in some contexts cited by the Compact, underscoring how much energy security has already been privatised by households and firms. Diversification can improve resilience only if it reduces this dependence through a combination of more reliable gas-fired generation, stronger networks, and distributed renewable solutions where grid extension is uneconomic. [World Bank] [IEA]</w:t>
      </w:r>
    </w:p>
    <w:p w14:paraId="7F1EE3CE">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The trade-off is that affordability, reliability, sustainability, and growth do not align automatically. A gas-heavy pathway may stabilise supply faster for industry but can lock in methane and infrastructure risks. A renewables-heavy pathway may better serve access and resilience but cannot deliver full system reliability without grid investment, storage, and flexible backup. The most credible security-enhancing path is therefore a hybrid one: gas for dispatchable power and industrial feedstock; distributed solar for rural and commercial resilience; hydro where available; and network reform to integrate new capacity. In this sense, diversification is a governance challenge as much as a technology choice. [RMI] [IRENA]</w:t>
      </w:r>
    </w:p>
    <w:p w14:paraId="7F96D96B">
      <w:pPr>
        <w:jc w:val="both"/>
        <w:rPr>
          <w:rFonts w:hint="default" w:ascii="Times New Roman" w:hAnsi="Times New Roman" w:cs="Times New Roman"/>
          <w:sz w:val="24"/>
          <w:szCs w:val="24"/>
        </w:rPr>
      </w:pPr>
      <w:r>
        <w:rPr>
          <w:rFonts w:hint="default" w:ascii="Times New Roman" w:hAnsi="Times New Roman" w:cs="Times New Roman"/>
          <w:b/>
          <w:sz w:val="24"/>
          <w:szCs w:val="24"/>
        </w:rPr>
        <w:t>5. Investment and Market Dynamics</w:t>
      </w:r>
    </w:p>
    <w:p w14:paraId="3450048D">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From an investor perspective, natural gas and renewables offer different but increasingly complementary propositions. Gas appeals where long-term domestic demand, industrial use, and dispatchability support stronger revenue cases, especially around pipelines, processing, captive power, and transport fuels. Renewables appeal where concessional finance, results-based subsidies, carbon-aligned capital, and fast deployment create clearer near-term bankability, particularly in mini-grids, commercial and industrial solar, and solar-home-system value chains. Reuters reports that Nigeria is trying to deepen this capital stack through a $2 billion National Climate Change Fund target, a $500 million climate investment platform, and the earlier $500 million Distributed Renewable Energy Fund linked to the sovereign investment authority. Oversubscribed green bond issuances suggest that investor appetite exists, but risk allocation remains decisive. [Reuters]</w:t>
      </w:r>
    </w:p>
    <w:p w14:paraId="75FCC52B">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The central market issue is that licensing has outpaced delivery. Energy for Growth Hub finds that thousands of megawatts have been licensed without a corresponding rise in dependable generation, implying that Nigeria’s bottleneck is project execution, not project announcement. Investors remain concerned about policy consistency, currency risk, tariff interventions, weak utility balance sheets, transmission limits, and offtaker creditworthiness. The Electricity Act 2023 creates a potentially important new layer of opportunity by allowing states to shape their own electricity markets, but it also introduces coordination risk. If state-level markets improve procurement transparency and local planning, they could unlock a wave of embedded generation and distributed renewables; if they fragment rules and interfaces with the national grid, they could raise transaction costs and deter long-term capital. [Energy for Growth Hub] [RMI]</w:t>
      </w:r>
    </w:p>
    <w:p w14:paraId="6D668880">
      <w:pPr>
        <w:jc w:val="both"/>
        <w:rPr>
          <w:rFonts w:hint="default" w:ascii="Times New Roman" w:hAnsi="Times New Roman" w:cs="Times New Roman"/>
          <w:sz w:val="24"/>
          <w:szCs w:val="24"/>
        </w:rPr>
      </w:pPr>
      <w:r>
        <w:rPr>
          <w:rFonts w:hint="default" w:ascii="Times New Roman" w:hAnsi="Times New Roman" w:cs="Times New Roman"/>
          <w:b/>
          <w:sz w:val="24"/>
          <w:szCs w:val="24"/>
        </w:rPr>
        <w:t>6. Strategic Risks, Emerging Trends, and Comparative Perspective</w:t>
      </w:r>
    </w:p>
    <w:p w14:paraId="4FBD9C3A">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Several forces could accelerate or delay diversification. Upside scenarios include faster execution of gas pipelines, stronger state-level market planning, successful solar auctions, lower storage costs, and larger flows of blended and climate finance. Downside scenarios include prolonged oil and gas underinvestment, insecurity in the Niger Delta and pipeline corridors, delayed transmission reform, exchange-rate stress, and global pressure on methane-intensive gas value chains. Technology is also shifting the calculus. As solar, batteries, smart meters, and hybrid captive systems become cheaper, the economic case for decentralised power becomes stronger even without full grid rehabilitation. [Reuters] [Energy for Growth Hub]</w:t>
      </w:r>
    </w:p>
    <w:p w14:paraId="7210C59F">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Compared with peer transition economies in Africa, Nigeria’s pathway is unusually access-driven and gas-centred. Kenya’s strategy assumes a largely renewable-driven grid and is already underpinned by nearly 90% low-emissions electricity generation, making its transition more about deepening a clean-power advantage than monetising hydrocarbons. Egypt offers a closer parallel: it also treats gas as a transition fuel while trying to scale renewables, but Reuters notes that Egypt’s 42% renewable target for 2030 is under pressure from financing and grid constraints after gas-related power stress. Nigeria therefore sits between these models. It shares Kenya’s need for distributed access solutions, but not Kenya’s renewable-heavy starting point; it shares Egypt’s gas logic, but with a much larger access deficit and weaker delivery institutions. [IEA Kenya] [SEforALL Kenya] [Reuters Egypt] [IEA Egypt]</w:t>
      </w:r>
    </w:p>
    <w:p w14:paraId="512E3D53">
      <w:pPr>
        <w:jc w:val="both"/>
        <w:rPr>
          <w:rFonts w:hint="default" w:ascii="Times New Roman" w:hAnsi="Times New Roman" w:cs="Times New Roman"/>
          <w:sz w:val="24"/>
          <w:szCs w:val="24"/>
        </w:rPr>
      </w:pPr>
      <w:r>
        <w:rPr>
          <w:rFonts w:hint="default" w:ascii="Times New Roman" w:hAnsi="Times New Roman" w:cs="Times New Roman"/>
          <w:b/>
          <w:sz w:val="24"/>
          <w:szCs w:val="24"/>
        </w:rPr>
        <w:t>7. Strategic Outlook and Conclusion</w:t>
      </w:r>
    </w:p>
    <w:p w14:paraId="42D5426C">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Nigeria is likely to achieve partial rather than fully balanced diversification over the next decade. The most plausible trajectory is not a clean substitution of gas by renewables, but a layered energy system in which gas expands in formal industry and dispatchable generation, while renewables grow fastest in distributed and state-level markets. That outcome can still improve competitiveness and resilience if it reduces the cost of self-generation, expands supply to productive users, and channels more gas to domestic value addition rather than excessive flaring or export dependence. But it will fall short of strategic ambition if grid reform, market payment discipline, and transmission investment continue to lag fuel-side policy. [IEA] [World Bank]</w:t>
      </w:r>
    </w:p>
    <w:p w14:paraId="79FF3F92">
      <w:pPr>
        <w:spacing w:after="80" w:line="264" w:lineRule="auto"/>
        <w:jc w:val="both"/>
        <w:rPr>
          <w:rFonts w:hint="default" w:ascii="Times New Roman" w:hAnsi="Times New Roman" w:cs="Times New Roman"/>
          <w:sz w:val="24"/>
          <w:szCs w:val="24"/>
        </w:rPr>
      </w:pPr>
      <w:r>
        <w:rPr>
          <w:rFonts w:hint="default" w:ascii="Times New Roman" w:hAnsi="Times New Roman" w:cs="Times New Roman"/>
          <w:sz w:val="24"/>
          <w:szCs w:val="24"/>
        </w:rPr>
        <w:t>The key intelligence judgment is that Nigeria’s current strategy is directionally coherent but operationally unbalanced. It appropriately recognises that gas, renewables, and energy security are complementary rather than mutually exclusive. However, the portfolio will not become genuinely balanced unless policymakers and investors shift attention from headline capacity ambitions to execution metrics: pipeline completion, reliable gas supply to power plants, metering rollouts, transmission performance, cost-reflective but socially managed tariffs, state-level planning quality, solar auction closure, and the commercial operation rate of licensed projects. For government, the strategic opportunity is to use diversification to reduce insecurity and improve industrial competitiveness. For investors and energy companies, the opportunity lies in hybrid portfolios that combine gas, solar, storage, and captive or distributed models. For consumers, the near-term test is simpler: whether diversification delivers more hours of affordable power and less dependence on generators. On that measure, the next five years will be decisive. [RMI] [Energy for Growth Hub] [World Bank]</w:t>
      </w:r>
    </w:p>
    <w:p w14:paraId="02DCAEAC">
      <w:pPr>
        <w:jc w:val="both"/>
        <w:rPr>
          <w:rFonts w:hint="default" w:ascii="Times New Roman" w:hAnsi="Times New Roman" w:cs="Times New Roman"/>
          <w:b/>
          <w:sz w:val="24"/>
          <w:szCs w:val="24"/>
        </w:rPr>
      </w:pPr>
    </w:p>
    <w:p w14:paraId="2912FA8C">
      <w:pPr>
        <w:jc w:val="both"/>
        <w:rPr>
          <w:rFonts w:hint="default" w:ascii="Times New Roman" w:hAnsi="Times New Roman" w:cs="Times New Roman"/>
          <w:b/>
          <w:sz w:val="24"/>
          <w:szCs w:val="24"/>
        </w:rPr>
      </w:pPr>
    </w:p>
    <w:p w14:paraId="1CAD8D73">
      <w:pPr>
        <w:jc w:val="both"/>
        <w:rPr>
          <w:rFonts w:hint="default" w:ascii="Times New Roman" w:hAnsi="Times New Roman" w:cs="Times New Roman"/>
          <w:b/>
          <w:sz w:val="24"/>
          <w:szCs w:val="24"/>
        </w:rPr>
      </w:pPr>
    </w:p>
    <w:p w14:paraId="25AF770D">
      <w:pPr>
        <w:jc w:val="both"/>
        <w:rPr>
          <w:rFonts w:hint="default" w:ascii="Times New Roman" w:hAnsi="Times New Roman" w:cs="Times New Roman"/>
          <w:b/>
          <w:sz w:val="24"/>
          <w:szCs w:val="24"/>
        </w:rPr>
      </w:pPr>
    </w:p>
    <w:p w14:paraId="3892083C">
      <w:pPr>
        <w:jc w:val="both"/>
        <w:rPr>
          <w:rFonts w:hint="default" w:ascii="Times New Roman" w:hAnsi="Times New Roman" w:cs="Times New Roman"/>
          <w:b/>
          <w:sz w:val="24"/>
          <w:szCs w:val="24"/>
        </w:rPr>
      </w:pPr>
    </w:p>
    <w:p w14:paraId="5B4E5332">
      <w:pPr>
        <w:jc w:val="both"/>
        <w:rPr>
          <w:rFonts w:hint="default" w:ascii="Times New Roman" w:hAnsi="Times New Roman" w:cs="Times New Roman"/>
          <w:b/>
          <w:sz w:val="24"/>
          <w:szCs w:val="24"/>
        </w:rPr>
      </w:pPr>
    </w:p>
    <w:p w14:paraId="795121FA">
      <w:pPr>
        <w:jc w:val="both"/>
        <w:rPr>
          <w:rFonts w:hint="default" w:ascii="Times New Roman" w:hAnsi="Times New Roman" w:cs="Times New Roman"/>
          <w:sz w:val="24"/>
          <w:szCs w:val="24"/>
        </w:rPr>
      </w:pPr>
      <w:r>
        <w:rPr>
          <w:rFonts w:hint="default" w:ascii="Times New Roman" w:hAnsi="Times New Roman" w:cs="Times New Roman"/>
          <w:b/>
          <w:sz w:val="24"/>
          <w:szCs w:val="24"/>
        </w:rPr>
        <w:t>References</w:t>
      </w:r>
    </w:p>
    <w:p w14:paraId="5E377C4D">
      <w:pPr>
        <w:spacing w:after="20" w:line="240" w:lineRule="auto"/>
        <w:jc w:val="both"/>
        <w:rPr>
          <w:rFonts w:hint="default" w:ascii="Times New Roman" w:hAnsi="Times New Roman" w:cs="Times New Roman"/>
          <w:sz w:val="24"/>
          <w:szCs w:val="24"/>
        </w:rPr>
      </w:pPr>
      <w:bookmarkStart w:id="0" w:name="_GoBack"/>
      <w:bookmarkEnd w:id="0"/>
      <w:r>
        <w:rPr>
          <w:rFonts w:hint="default" w:ascii="Times New Roman" w:hAnsi="Times New Roman" w:cs="Times New Roman"/>
          <w:sz w:val="24"/>
          <w:szCs w:val="24"/>
        </w:rPr>
        <w:t xml:space="preserve">Nigeria Energy Transition Plan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"https://www.energytransition.gov.ng/"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https://www.energytransition.gov.ng/</w:t>
      </w:r>
      <w:r>
        <w:rPr>
          <w:rFonts w:hint="default" w:ascii="Times New Roman" w:hAnsi="Times New Roman" w:cs="Times New Roman"/>
          <w:color w:val="0563C1"/>
          <w:sz w:val="24"/>
          <w:szCs w:val="24"/>
          <w:u w:val="single"/>
        </w:rPr>
        <w:fldChar w:fldCharType="end"/>
      </w:r>
    </w:p>
    <w:p w14:paraId="77C96DE7">
      <w:pPr>
        <w:spacing w:after="20" w:line="240" w:lineRule="auto"/>
        <w:jc w:val="both"/>
        <w:rPr>
          <w:rFonts w:hint="default" w:ascii="Times New Roman" w:hAnsi="Times New Roman" w:cs="Times New Roman"/>
          <w:sz w:val="24"/>
          <w:szCs w:val="24"/>
        </w:rPr>
      </w:pPr>
    </w:p>
    <w:p w14:paraId="03E13F07">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SEforALL: Nigeria Energy Transition and Investment Plan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"https://www.seforall.org/our-work/initiatives-projects/energy-transition-plans/nigeria"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https://www.seforall.org/our-work/initiatives-projects/energy-transition-plans/nigeria</w:t>
      </w:r>
      <w:r>
        <w:rPr>
          <w:rFonts w:hint="default" w:ascii="Times New Roman" w:hAnsi="Times New Roman" w:cs="Times New Roman"/>
          <w:color w:val="0563C1"/>
          <w:sz w:val="24"/>
          <w:szCs w:val="24"/>
          <w:u w:val="single"/>
        </w:rPr>
        <w:fldChar w:fldCharType="end"/>
      </w:r>
    </w:p>
    <w:p w14:paraId="1EB597E8">
      <w:pPr>
        <w:spacing w:after="20" w:line="240" w:lineRule="auto"/>
        <w:jc w:val="both"/>
        <w:rPr>
          <w:rFonts w:hint="default" w:ascii="Times New Roman" w:hAnsi="Times New Roman" w:cs="Times New Roman"/>
          <w:sz w:val="24"/>
          <w:szCs w:val="24"/>
        </w:rPr>
      </w:pPr>
    </w:p>
    <w:p w14:paraId="3AD9CABC">
      <w:pPr>
        <w:spacing w:after="20" w:line="240" w:lineRule="auto"/>
        <w:jc w:val="both"/>
        <w:rPr>
          <w:rFonts w:hint="default" w:ascii="Times New Roman" w:hAnsi="Times New Roman" w:cs="Times New Roman"/>
          <w:color w:val="0563C1"/>
          <w:sz w:val="24"/>
          <w:szCs w:val="24"/>
          <w:u w:val="single"/>
        </w:rPr>
      </w:pPr>
      <w:r>
        <w:rPr>
          <w:rFonts w:hint="default" w:ascii="Times New Roman" w:hAnsi="Times New Roman" w:cs="Times New Roman"/>
          <w:sz w:val="24"/>
          <w:szCs w:val="24"/>
        </w:rPr>
        <w:t xml:space="preserve">U.S. EIA: Country Analysis Brief, Nigeria (2025)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"https://www.eia.gov/international/content/analysis/countries_long/Nigeria/Nigeria-2025.pdf"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https://www.eia.gov/international/content/analysis/countries_long/Nigeria/Nigeria-2025.pdf</w:t>
      </w:r>
      <w:r>
        <w:rPr>
          <w:rFonts w:hint="default" w:ascii="Times New Roman" w:hAnsi="Times New Roman" w:cs="Times New Roman"/>
          <w:color w:val="0563C1"/>
          <w:sz w:val="24"/>
          <w:szCs w:val="24"/>
          <w:u w:val="single"/>
        </w:rPr>
        <w:fldChar w:fldCharType="end"/>
      </w:r>
    </w:p>
    <w:p w14:paraId="1B3E1AC6">
      <w:pPr>
        <w:spacing w:after="20" w:line="240" w:lineRule="auto"/>
        <w:jc w:val="both"/>
        <w:rPr>
          <w:rFonts w:hint="default" w:ascii="Times New Roman" w:hAnsi="Times New Roman" w:cs="Times New Roman"/>
          <w:color w:val="0563C1"/>
          <w:sz w:val="24"/>
          <w:szCs w:val="24"/>
          <w:u w:val="single"/>
        </w:rPr>
      </w:pPr>
    </w:p>
    <w:p w14:paraId="56DD5D39">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IEA: Nigeria Energy Outlook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"https://www.iea.org/articles/nigeria-energy-outlook"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https://www.iea.org/articles/nigeria-energy-outlook</w:t>
      </w:r>
      <w:r>
        <w:rPr>
          <w:rFonts w:hint="default" w:ascii="Times New Roman" w:hAnsi="Times New Roman" w:cs="Times New Roman"/>
          <w:color w:val="0563C1"/>
          <w:sz w:val="24"/>
          <w:szCs w:val="24"/>
          <w:u w:val="single"/>
        </w:rPr>
        <w:fldChar w:fldCharType="end"/>
      </w:r>
    </w:p>
    <w:p w14:paraId="5B9BA4CC">
      <w:pPr>
        <w:spacing w:after="20" w:line="240" w:lineRule="auto"/>
        <w:jc w:val="both"/>
        <w:rPr>
          <w:rFonts w:hint="default" w:ascii="Times New Roman" w:hAnsi="Times New Roman" w:cs="Times New Roman"/>
          <w:sz w:val="24"/>
          <w:szCs w:val="24"/>
        </w:rPr>
      </w:pPr>
    </w:p>
    <w:p w14:paraId="388F93F7">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World Bank: Nigeria Distributed Access through Renewable Energy Scale-up (DARES)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"https://www.worldbank.org/en/news/press-release/2023/12/15/nigeria-to-expand-access-to-clean-energy-for-17-5-million-people"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https://www.worldbank.org/en/news/press-release/2023/12/15/nigeria-to-expand-access-to-clean-energy-for-17-5-million-people</w:t>
      </w:r>
      <w:r>
        <w:rPr>
          <w:rFonts w:hint="default" w:ascii="Times New Roman" w:hAnsi="Times New Roman" w:cs="Times New Roman"/>
          <w:color w:val="0563C1"/>
          <w:sz w:val="24"/>
          <w:szCs w:val="24"/>
          <w:u w:val="single"/>
        </w:rPr>
        <w:fldChar w:fldCharType="end"/>
      </w:r>
    </w:p>
    <w:p w14:paraId="0F210FAF">
      <w:pPr>
        <w:spacing w:after="20" w:line="240" w:lineRule="auto"/>
        <w:jc w:val="both"/>
        <w:rPr>
          <w:rFonts w:hint="default" w:ascii="Times New Roman" w:hAnsi="Times New Roman" w:cs="Times New Roman"/>
          <w:sz w:val="24"/>
          <w:szCs w:val="24"/>
        </w:rPr>
      </w:pPr>
    </w:p>
    <w:p w14:paraId="48EB2EC9">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World Bank: National Energy Compact for Nigeria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"https://thedocs.worldbank.org/en/doc/2340747bcba6747a15a4ff8cba935fce-0010012025/original/M300-AES-Compact-Nigeria.pdf"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https://thedocs.worldbank.org/en/doc/2340747bcba6747a15a4ff8cba935fce-0010012025/original/M300-AES-Compact-Nigeria.pdf</w:t>
      </w:r>
      <w:r>
        <w:rPr>
          <w:rFonts w:hint="default" w:ascii="Times New Roman" w:hAnsi="Times New Roman" w:cs="Times New Roman"/>
          <w:color w:val="0563C1"/>
          <w:sz w:val="24"/>
          <w:szCs w:val="24"/>
          <w:u w:val="single"/>
        </w:rPr>
        <w:fldChar w:fldCharType="end"/>
      </w:r>
    </w:p>
    <w:p w14:paraId="78F7A5FF">
      <w:pPr>
        <w:spacing w:after="20" w:line="240" w:lineRule="auto"/>
        <w:jc w:val="both"/>
        <w:rPr>
          <w:rFonts w:hint="default" w:ascii="Times New Roman" w:hAnsi="Times New Roman" w:cs="Times New Roman"/>
          <w:sz w:val="24"/>
          <w:szCs w:val="24"/>
        </w:rPr>
      </w:pPr>
    </w:p>
    <w:p w14:paraId="73737D5B">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Rural Electrification Agency: REA deploys over 200 mini-grids in 2025 -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"https://rea.gov.ng/news/REA-deploys-over-200-mini-grids-in-2025.html"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https://rea.gov.ng/news/REA-deploys-over-200-mini-grids-in-2025.html</w:t>
      </w:r>
      <w:r>
        <w:rPr>
          <w:rFonts w:hint="default" w:ascii="Times New Roman" w:hAnsi="Times New Roman" w:cs="Times New Roman"/>
          <w:color w:val="0563C1"/>
          <w:sz w:val="24"/>
          <w:szCs w:val="24"/>
          <w:u w:val="single"/>
        </w:rPr>
        <w:fldChar w:fldCharType="end"/>
      </w:r>
    </w:p>
    <w:p w14:paraId="5E6F88BC">
      <w:pPr>
        <w:spacing w:after="20" w:line="240" w:lineRule="auto"/>
        <w:jc w:val="both"/>
        <w:rPr>
          <w:rFonts w:hint="default" w:ascii="Times New Roman" w:hAnsi="Times New Roman" w:cs="Times New Roman"/>
          <w:sz w:val="24"/>
          <w:szCs w:val="24"/>
        </w:rPr>
      </w:pPr>
    </w:p>
    <w:p w14:paraId="05D141A9">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NERC: Workshop on grid-scale solar programme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"https://nerc.gov.ng/media/nerc-hosts-workshop-on-grid-scale-solar-programme/"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https://nerc.gov.ng/media/nerc-hosts-workshop-on-grid-scale-solar-programme/</w:t>
      </w:r>
      <w:r>
        <w:rPr>
          <w:rFonts w:hint="default" w:ascii="Times New Roman" w:hAnsi="Times New Roman" w:cs="Times New Roman"/>
          <w:color w:val="0563C1"/>
          <w:sz w:val="24"/>
          <w:szCs w:val="24"/>
          <w:u w:val="single"/>
        </w:rPr>
        <w:fldChar w:fldCharType="end"/>
      </w:r>
    </w:p>
    <w:p w14:paraId="30BEE980">
      <w:pPr>
        <w:spacing w:after="20" w:line="240" w:lineRule="auto"/>
        <w:jc w:val="both"/>
        <w:rPr>
          <w:rFonts w:hint="default" w:ascii="Times New Roman" w:hAnsi="Times New Roman" w:cs="Times New Roman"/>
          <w:sz w:val="24"/>
          <w:szCs w:val="24"/>
        </w:rPr>
      </w:pPr>
    </w:p>
    <w:p w14:paraId="47B80052">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RMI: Nigeria’s Electricity Devolution Law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"https://rmi.org/resources/nigerias-electricity-devolution-law-creates-an-opportunity-to-reshape-its-power-system/"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https://rmi.org/resources/nigerias-electricity-devolution-law-creates-an-opportunity-to-reshape-its-power-system/</w:t>
      </w:r>
      <w:r>
        <w:rPr>
          <w:rFonts w:hint="default" w:ascii="Times New Roman" w:hAnsi="Times New Roman" w:cs="Times New Roman"/>
          <w:color w:val="0563C1"/>
          <w:sz w:val="24"/>
          <w:szCs w:val="24"/>
          <w:u w:val="single"/>
        </w:rPr>
        <w:fldChar w:fldCharType="end"/>
      </w:r>
    </w:p>
    <w:p w14:paraId="3D6BEF18">
      <w:pPr>
        <w:spacing w:after="20" w:line="240" w:lineRule="auto"/>
        <w:jc w:val="both"/>
        <w:rPr>
          <w:rFonts w:hint="default" w:ascii="Times New Roman" w:hAnsi="Times New Roman" w:cs="Times New Roman"/>
          <w:sz w:val="24"/>
          <w:szCs w:val="24"/>
        </w:rPr>
      </w:pPr>
    </w:p>
    <w:p w14:paraId="26C1E0A8">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IRENA Statistical Profile: Nigeria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"https://www.irena.org/-/media/Files/IRENA/Agency/Statistics/Statistical_Profiles/Africa/Nigeria_Africa_RE_SP.pdf"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https://www.irena.org/-/media/Files/IRENA/Agency/Statistics/Statistical_Profiles/Africa/Nigeria_Africa_RE_SP.pdf</w:t>
      </w:r>
      <w:r>
        <w:rPr>
          <w:rFonts w:hint="default" w:ascii="Times New Roman" w:hAnsi="Times New Roman" w:cs="Times New Roman"/>
          <w:color w:val="0563C1"/>
          <w:sz w:val="24"/>
          <w:szCs w:val="24"/>
          <w:u w:val="single"/>
        </w:rPr>
        <w:fldChar w:fldCharType="end"/>
      </w:r>
    </w:p>
    <w:p w14:paraId="65908235">
      <w:pPr>
        <w:spacing w:after="20" w:line="240" w:lineRule="auto"/>
        <w:jc w:val="both"/>
        <w:rPr>
          <w:rFonts w:hint="default" w:ascii="Times New Roman" w:hAnsi="Times New Roman" w:cs="Times New Roman"/>
          <w:sz w:val="24"/>
          <w:szCs w:val="24"/>
        </w:rPr>
      </w:pPr>
    </w:p>
    <w:p w14:paraId="17D20690">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IRENA Renewable Energy Roadmap: Nigeria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"https://www.irena.org/-/media/Files/IRENA/Agency/Publication/2023/Jan/IRENA_REMap_Nigeria_2023.pdf"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https://www.irena.org/-/media/Files/IRENA/Agency/Publication/2023/Jan/IRENA_REMap_Nigeria_2023.pdf</w:t>
      </w:r>
      <w:r>
        <w:rPr>
          <w:rFonts w:hint="default" w:ascii="Times New Roman" w:hAnsi="Times New Roman" w:cs="Times New Roman"/>
          <w:color w:val="0563C1"/>
          <w:sz w:val="24"/>
          <w:szCs w:val="24"/>
          <w:u w:val="single"/>
        </w:rPr>
        <w:fldChar w:fldCharType="end"/>
      </w:r>
    </w:p>
    <w:p w14:paraId="15E5FE5D">
      <w:pPr>
        <w:spacing w:after="20" w:line="240" w:lineRule="auto"/>
        <w:jc w:val="both"/>
        <w:rPr>
          <w:rFonts w:hint="default" w:ascii="Times New Roman" w:hAnsi="Times New Roman" w:cs="Times New Roman"/>
          <w:sz w:val="24"/>
          <w:szCs w:val="24"/>
        </w:rPr>
      </w:pPr>
    </w:p>
    <w:p w14:paraId="48F24BF3">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Reuters: Nigeria bets on $2 billion fund to boost energy transition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"https://www.reuters.com/sustainability/cop/nigeria-bets-2-billion-fund-boost-energy-transition-2026-01-13/"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https://www.reuters.com/sustainability/cop/nigeria-bets-2-billion-fund-boost-energy-transition-2026-01-13/</w:t>
      </w:r>
      <w:r>
        <w:rPr>
          <w:rFonts w:hint="default" w:ascii="Times New Roman" w:hAnsi="Times New Roman" w:cs="Times New Roman"/>
          <w:color w:val="0563C1"/>
          <w:sz w:val="24"/>
          <w:szCs w:val="24"/>
          <w:u w:val="single"/>
        </w:rPr>
        <w:fldChar w:fldCharType="end"/>
      </w:r>
    </w:p>
    <w:p w14:paraId="7A3B18E3">
      <w:pPr>
        <w:spacing w:after="20" w:line="240" w:lineRule="auto"/>
        <w:jc w:val="both"/>
        <w:rPr>
          <w:rFonts w:hint="default" w:ascii="Times New Roman" w:hAnsi="Times New Roman" w:cs="Times New Roman"/>
          <w:sz w:val="24"/>
          <w:szCs w:val="24"/>
        </w:rPr>
      </w:pPr>
    </w:p>
    <w:p w14:paraId="09D0D5CC">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Energy for Growth Hub: Nigeria’s Energy Transition Is Stalling Between Ambition and Delivery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"https://energyforgrowth.org/article/nigerias-energy-transition-is-stalling-between-ambition-and-delivery-insights-from-licensing-data-from-2017-to-2025/"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https://energyforgrowth.org/article/nigerias-energy-transition-is-stalling-between-ambition-and-delivery-insights-from-licensing-data-from-2017-to-2025/</w:t>
      </w:r>
      <w:r>
        <w:rPr>
          <w:rFonts w:hint="default" w:ascii="Times New Roman" w:hAnsi="Times New Roman" w:cs="Times New Roman"/>
          <w:color w:val="0563C1"/>
          <w:sz w:val="24"/>
          <w:szCs w:val="24"/>
          <w:u w:val="single"/>
        </w:rPr>
        <w:fldChar w:fldCharType="end"/>
      </w:r>
    </w:p>
    <w:p w14:paraId="617D1540">
      <w:pPr>
        <w:spacing w:after="20" w:line="240" w:lineRule="auto"/>
        <w:jc w:val="both"/>
        <w:rPr>
          <w:rFonts w:hint="default" w:ascii="Times New Roman" w:hAnsi="Times New Roman" w:cs="Times New Roman"/>
          <w:sz w:val="24"/>
          <w:szCs w:val="24"/>
        </w:rPr>
      </w:pPr>
    </w:p>
    <w:p w14:paraId="6CB05E31">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SEforALL: Kenya Energy Transition and Investment Plan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"https://www.seforall.org/our-work/initiatives-projects/energy-transition-plans/kenya"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https://www.seforall.org/our-work/initiatives-projects/energy-transition-plans/kenya</w:t>
      </w:r>
      <w:r>
        <w:rPr>
          <w:rFonts w:hint="default" w:ascii="Times New Roman" w:hAnsi="Times New Roman" w:cs="Times New Roman"/>
          <w:color w:val="0563C1"/>
          <w:sz w:val="24"/>
          <w:szCs w:val="24"/>
          <w:u w:val="single"/>
        </w:rPr>
        <w:fldChar w:fldCharType="end"/>
      </w:r>
    </w:p>
    <w:p w14:paraId="0D2A01A0">
      <w:pPr>
        <w:spacing w:after="20" w:line="240" w:lineRule="auto"/>
        <w:jc w:val="both"/>
        <w:rPr>
          <w:rFonts w:hint="default" w:ascii="Times New Roman" w:hAnsi="Times New Roman" w:cs="Times New Roman"/>
          <w:sz w:val="24"/>
          <w:szCs w:val="24"/>
        </w:rPr>
      </w:pPr>
    </w:p>
    <w:p w14:paraId="72A99122">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IEA: Kenya’s energy sector is making strides toward universal electricity access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"https://www.iea.org/news/kenyas-energy-sector-is-making-strides-toward-universal-electricity-access-clean-cooking-solutions-and-renewable-energy-development"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https://www.iea.org/news/kenyas-energy-sector-is-making-strides-toward-universal-electricity-access-clean-cooking-solutions-and-renewable-energy-development</w:t>
      </w:r>
      <w:r>
        <w:rPr>
          <w:rFonts w:hint="default" w:ascii="Times New Roman" w:hAnsi="Times New Roman" w:cs="Times New Roman"/>
          <w:color w:val="0563C1"/>
          <w:sz w:val="24"/>
          <w:szCs w:val="24"/>
          <w:u w:val="single"/>
        </w:rPr>
        <w:fldChar w:fldCharType="end"/>
      </w:r>
    </w:p>
    <w:p w14:paraId="56015E96">
      <w:pPr>
        <w:spacing w:after="20" w:line="240" w:lineRule="auto"/>
        <w:jc w:val="both"/>
        <w:rPr>
          <w:rFonts w:hint="default" w:ascii="Times New Roman" w:hAnsi="Times New Roman" w:cs="Times New Roman"/>
          <w:sz w:val="24"/>
          <w:szCs w:val="24"/>
        </w:rPr>
      </w:pPr>
    </w:p>
    <w:p w14:paraId="49203610">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Reuters: Egypt reaffirms 42% renewable energy goal for 2030 -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"https://www.reuters.com/business/energy/egypt-reaffirms-42-renewable-energy-goal-2030-urges-international-help-2024-11-12/"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https://www.reuters.com/business/energy/egypt-reaffirms-42-renewable-energy-goal-2030-urges-international-help-2024-11-12/</w:t>
      </w:r>
      <w:r>
        <w:rPr>
          <w:rFonts w:hint="default" w:ascii="Times New Roman" w:hAnsi="Times New Roman" w:cs="Times New Roman"/>
          <w:color w:val="0563C1"/>
          <w:sz w:val="24"/>
          <w:szCs w:val="24"/>
          <w:u w:val="single"/>
        </w:rPr>
        <w:fldChar w:fldCharType="end"/>
      </w:r>
    </w:p>
    <w:p w14:paraId="5C2CB2A6">
      <w:pPr>
        <w:spacing w:after="20" w:line="240" w:lineRule="auto"/>
        <w:jc w:val="both"/>
        <w:rPr>
          <w:rFonts w:hint="default" w:ascii="Times New Roman" w:hAnsi="Times New Roman" w:cs="Times New Roman"/>
          <w:sz w:val="24"/>
          <w:szCs w:val="24"/>
        </w:rPr>
      </w:pPr>
    </w:p>
    <w:p w14:paraId="23A6F9BB">
      <w:pPr>
        <w:spacing w:after="2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IEA: Egypt country profile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"https://www.iea.org/countries/egypt" \h </w:instrText>
      </w:r>
      <w:r>
        <w:rPr>
          <w:rFonts w:hint="default" w:ascii="Times New Roman" w:hAnsi="Times New Roman" w:cs="Times New Roman"/>
          <w:sz w:val="24"/>
          <w:szCs w:val="24"/>
        </w:rPr>
        <w:fldChar w:fldCharType="separate"/>
      </w:r>
      <w:r>
        <w:rPr>
          <w:rFonts w:hint="default" w:ascii="Times New Roman" w:hAnsi="Times New Roman" w:cs="Times New Roman"/>
          <w:color w:val="0563C1"/>
          <w:sz w:val="24"/>
          <w:szCs w:val="24"/>
          <w:u w:val="single"/>
        </w:rPr>
        <w:t>https://www.iea.org/countries/egypt</w:t>
      </w:r>
      <w:r>
        <w:rPr>
          <w:rFonts w:hint="default" w:ascii="Times New Roman" w:hAnsi="Times New Roman" w:cs="Times New Roman"/>
          <w:color w:val="0563C1"/>
          <w:sz w:val="24"/>
          <w:szCs w:val="24"/>
          <w:u w:val="single"/>
        </w:rPr>
        <w:fldChar w:fldCharType="end"/>
      </w:r>
    </w:p>
    <w:sectPr>
      <w:pgSz w:w="12240" w:h="15840"/>
      <w:pgMar w:top="1008" w:right="1152" w:bottom="936" w:left="115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2336F8"/>
    <w:rsid w:val="190C436C"/>
    <w:rsid w:val="6B0E09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heme="minorEastAsia" w:cstheme="minorBidi"/>
      <w:sz w:val="21"/>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1374</Words>
  <Characters>8472</Characters>
  <Lines>0</Lines>
  <Paragraphs>0</Paragraphs>
  <TotalTime>3</TotalTime>
  <ScaleCrop>false</ScaleCrop>
  <LinksUpToDate>false</LinksUpToDate>
  <CharactersWithSpaces>9828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2026-06-20T23:15:51Z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eyJoZGlkIjoiOTViZjMyNThlNzc4NjZhMTRjNzI4MWU4MzRkYzg1ZTkifQ==</vt:lpwstr>
  </property>
  <property fmtid="{D5CDD505-2E9C-101B-9397-08002B2CF9AE}" pid="3" name="KSOProductBuildVer">
    <vt:lpwstr>1033-12.1.0.26880</vt:lpwstr>
  </property>
  <property fmtid="{D5CDD505-2E9C-101B-9397-08002B2CF9AE}" pid="4" name="ICV">
    <vt:lpwstr>DEAA07737F5F42DAA0D139D0EB40019C_12</vt:lpwstr>
  </property>
</Properties>
</file>