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44"/>
          <w:szCs w:val="44"/>
          <w:rtl w:val="0"/>
        </w:rPr>
        <w:t xml:space="preserve">Methane Leak Detection &amp; Regulatory Pressure</w:t>
      </w: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02">
      <w:pPr>
        <w:spacing w:after="240" w:before="24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Executive Summary</w:t>
      </w:r>
    </w:p>
    <w:p w:rsidR="00000000" w:rsidDel="00000000" w:rsidP="00000000" w:rsidRDefault="00000000" w:rsidRPr="00000000" w14:paraId="00000003">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Methane emissions have emerged as one of the most scrutinized environmental risks facing the global oil and gas industry. As the second-largest contributor to anthropogenic climate change after carbon dioxide (</w:t>
      </w:r>
      <w:r w:rsidDel="00000000" w:rsidR="00000000" w:rsidRPr="00000000">
        <w:rPr>
          <w:rFonts w:ascii="Century Gothic" w:cs="Century Gothic" w:eastAsia="Century Gothic" w:hAnsi="Century Gothic"/>
          <w:rtl w:val="0"/>
        </w:rPr>
        <w:t xml:space="preserve">CO₂), methane possesses a global warming potential approximately 80 times greater than CO₂ over a 20-year period</w:t>
      </w:r>
      <w:r w:rsidDel="00000000" w:rsidR="00000000" w:rsidRPr="00000000">
        <w:rPr>
          <w:rFonts w:ascii="Century Gothic" w:cs="Century Gothic" w:eastAsia="Century Gothic" w:hAnsi="Century Gothic"/>
          <w:rtl w:val="0"/>
        </w:rPr>
        <w:t xml:space="preserve">.  In 2026, methane management transitioned from a voluntary Environmental, Social, and Governance (ESG) initiative to a core operational and financial imperative for the oil and gas industry. Recent advances in satellite monitoring, aerial surveillance, continuous sensor networks, and artificial intelligence-driven analytics have dramatically improved the industry's ability to detect and quantify methane leaks. Simultaneously, </w:t>
      </w:r>
      <w:r w:rsidDel="00000000" w:rsidR="00000000" w:rsidRPr="00000000">
        <w:rPr>
          <w:rFonts w:ascii="Century Gothic" w:cs="Century Gothic" w:eastAsia="Century Gothic" w:hAnsi="Century Gothic"/>
          <w:rtl w:val="0"/>
        </w:rPr>
        <w:t xml:space="preserve">regulatory frameworks across major oil-and-gas producing regions have tightened materially since 2023, forcing upstream and midstream operators to accelerate adoption of detection, measurement, and reporting (DMAR) infrastructure. For energy producers, methane management is transitioning from a voluntary environmental initiative to a strategic business imperative with direct implications for revenue preservation, regulatory compliance, financing access, and long-term competitiveness. Figure 1 illustrates the estimated global oil &amp;gas methane emissions by source segment.</w:t>
      </w:r>
      <w:r w:rsidDel="00000000" w:rsidR="00000000" w:rsidRPr="00000000">
        <w:rPr>
          <w:rtl w:val="0"/>
        </w:rPr>
      </w:r>
    </w:p>
    <w:p w:rsidR="00000000" w:rsidDel="00000000" w:rsidP="00000000" w:rsidRDefault="00000000" w:rsidRPr="00000000" w14:paraId="00000004">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943600" cy="21844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21844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after="240" w:befor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Figure 1  Estimated global oil &amp; gas methane emissions by source segment</w:t>
      </w: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jc w:val="both"/>
        <w:rPr>
          <w:rFonts w:ascii="Century Gothic" w:cs="Century Gothic" w:eastAsia="Century Gothic" w:hAnsi="Century Gothic"/>
          <w:color w:val="000000"/>
          <w:sz w:val="22"/>
          <w:szCs w:val="22"/>
        </w:rPr>
      </w:pPr>
      <w:bookmarkStart w:colFirst="0" w:colLast="0" w:name="_nchrghy0au41" w:id="0"/>
      <w:bookmarkEnd w:id="0"/>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jc w:val="both"/>
        <w:rPr>
          <w:rFonts w:ascii="Century Gothic" w:cs="Century Gothic" w:eastAsia="Century Gothic" w:hAnsi="Century Gothic"/>
          <w:b w:val="1"/>
          <w:bCs w:val="1"/>
          <w:color w:val="000000"/>
          <w:sz w:val="26"/>
          <w:szCs w:val="26"/>
        </w:rPr>
      </w:pPr>
      <w:bookmarkStart w:colFirst="0" w:colLast="0" w:name="_6pn7cf2trjfe" w:id="1"/>
      <w:bookmarkEnd w:id="1"/>
      <w:r w:rsidDel="00000000" w:rsidR="00000000" w:rsidRPr="00000000">
        <w:rPr>
          <w:rFonts w:ascii="Century Gothic" w:cs="Century Gothic" w:eastAsia="Century Gothic" w:hAnsi="Century Gothic"/>
          <w:b w:val="1"/>
          <w:bCs w:val="1"/>
          <w:color w:val="000000"/>
          <w:sz w:val="26"/>
          <w:szCs w:val="26"/>
          <w:rtl w:val="0"/>
        </w:rPr>
        <w:t xml:space="preserve">The Regulatory Landscape</w:t>
      </w:r>
    </w:p>
    <w:p w:rsidR="00000000" w:rsidDel="00000000" w:rsidP="00000000" w:rsidRDefault="00000000" w:rsidRPr="00000000" w14:paraId="00000008">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regulatory environment is fragmenting but intensifying. While some jurisdictions (notably in the U.S.) have signaled federal deregulation, global pressure is consolidating through market-access requirements. The European Union’s Methane Regulation stands as the primary global driver. It imposes strict import requirements, effectively forcing international suppliers to prove methane performance to access the premium EU market. Beyond the EU, comprehensive national strategies such as those implemented in China and various U.S. states are prioritizing monitoring, reporting, and verification (MRV) systems, mandating more frequent and accurate leak detection. The table below summarizes the jurisdictions and their key requirements.</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shd w:fill="1c4587"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rPr>
            </w:pPr>
            <w:r w:rsidDel="00000000" w:rsidR="00000000" w:rsidRPr="00000000">
              <w:rPr>
                <w:rFonts w:ascii="Century Gothic" w:cs="Century Gothic" w:eastAsia="Century Gothic" w:hAnsi="Century Gothic"/>
                <w:color w:val="ffffff"/>
                <w:rtl w:val="0"/>
              </w:rPr>
              <w:t xml:space="preserve">Jurisdiction</w:t>
            </w:r>
            <w:r w:rsidDel="00000000" w:rsidR="00000000" w:rsidRPr="00000000">
              <w:rPr>
                <w:rFonts w:ascii="Century Gothic" w:cs="Century Gothic" w:eastAsia="Century Gothic" w:hAnsi="Century Gothic"/>
                <w:color w:val="ffffff"/>
                <w:rtl w:val="0"/>
              </w:rPr>
              <w:t xml:space="preserve"> </w:t>
            </w:r>
          </w:p>
        </w:tc>
        <w:tc>
          <w:tcPr>
            <w:shd w:fill="1c4587"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rPr>
            </w:pPr>
            <w:r w:rsidDel="00000000" w:rsidR="00000000" w:rsidRPr="00000000">
              <w:rPr>
                <w:rFonts w:ascii="Century Gothic" w:cs="Century Gothic" w:eastAsia="Century Gothic" w:hAnsi="Century Gothic"/>
                <w:color w:val="ffffff"/>
                <w:rtl w:val="0"/>
              </w:rPr>
              <w:t xml:space="preserve">Regulation / Framework</w:t>
            </w:r>
            <w:r w:rsidDel="00000000" w:rsidR="00000000" w:rsidRPr="00000000">
              <w:rPr>
                <w:rFonts w:ascii="Century Gothic" w:cs="Century Gothic" w:eastAsia="Century Gothic" w:hAnsi="Century Gothic"/>
                <w:color w:val="ffffff"/>
                <w:rtl w:val="0"/>
              </w:rPr>
              <w:t xml:space="preserve"> </w:t>
            </w:r>
          </w:p>
        </w:tc>
        <w:tc>
          <w:tcPr>
            <w:shd w:fill="1c4587"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rPr>
            </w:pPr>
            <w:r w:rsidDel="00000000" w:rsidR="00000000" w:rsidRPr="00000000">
              <w:rPr>
                <w:rFonts w:ascii="Century Gothic" w:cs="Century Gothic" w:eastAsia="Century Gothic" w:hAnsi="Century Gothic"/>
                <w:color w:val="ffffff"/>
                <w:rtl w:val="0"/>
              </w:rPr>
              <w:t xml:space="preserve">Key Requirement</w:t>
            </w:r>
            <w:r w:rsidDel="00000000" w:rsidR="00000000" w:rsidRPr="00000000">
              <w:rPr>
                <w:rFonts w:ascii="Century Gothic" w:cs="Century Gothic" w:eastAsia="Century Gothic" w:hAnsi="Century Gothic"/>
                <w:color w:val="ffffff"/>
                <w:rtl w:val="0"/>
              </w:rPr>
              <w:t xml:space="preserve"> </w:t>
            </w:r>
          </w:p>
        </w:tc>
        <w:tc>
          <w:tcPr>
            <w:shd w:fill="1c4587"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rPr>
            </w:pPr>
            <w:r w:rsidDel="00000000" w:rsidR="00000000" w:rsidRPr="00000000">
              <w:rPr>
                <w:rFonts w:ascii="Century Gothic" w:cs="Century Gothic" w:eastAsia="Century Gothic" w:hAnsi="Century Gothic"/>
                <w:color w:val="ffffff"/>
                <w:rtl w:val="0"/>
              </w:rPr>
              <w:t xml:space="preserve">Enforcement Date</w:t>
            </w:r>
            <w:r w:rsidDel="00000000" w:rsidR="00000000" w:rsidRPr="00000000">
              <w:rPr>
                <w:rFonts w:ascii="Century Gothic" w:cs="Century Gothic" w:eastAsia="Century Gothic" w:hAnsi="Century Gothic"/>
                <w:color w:val="ffffff"/>
                <w:rtl w:val="0"/>
              </w:rPr>
              <w:t xml:space="preserve"> </w:t>
            </w:r>
          </w:p>
        </w:tc>
        <w:tc>
          <w:tcPr>
            <w:shd w:fill="1c4587"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rPr>
            </w:pPr>
            <w:r w:rsidDel="00000000" w:rsidR="00000000" w:rsidRPr="00000000">
              <w:rPr>
                <w:rFonts w:ascii="Century Gothic" w:cs="Century Gothic" w:eastAsia="Century Gothic" w:hAnsi="Century Gothic"/>
                <w:color w:val="ffffff"/>
                <w:rtl w:val="0"/>
              </w:rPr>
              <w:t xml:space="preserve">Penalty Exposure</w:t>
            </w:r>
            <w:r w:rsidDel="00000000" w:rsidR="00000000" w:rsidRPr="00000000">
              <w:rPr>
                <w:rFonts w:ascii="Century Gothic" w:cs="Century Gothic" w:eastAsia="Century Gothic" w:hAnsi="Century Gothic"/>
                <w:color w:val="ffffff"/>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States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EPA Methane Rule (OOOOb)</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Quarterly LDAR; zero routine flaring; annual third-party verification</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Jan 2025 (phased)</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Up to $15,000/day per violation</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States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IRA Methane Emissions Charge</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Fee of $900–$1,500/t on excess emissions above EPA thresholds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2024 reporting; 2026 fees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$900–$1,500/t surcharge</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European Union</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EU Methane Regulation (2024/1787)</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Mandatory LDAR; reporting for imported LNG; max intensity standards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Aug 2024 (domestic)</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Penalties determined by Member States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Canada</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O&amp;G Methane Regulations (ECCC)</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75% reduction vs 2012 baseline; measurement-based reporting</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Jan 2023</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C$5,000–C$500,000/day</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Norway / UK</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OGMP 2.0 aligned standards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Gold-standard methane reporting; source-level measurement</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2025 voluntary → 2027 mandatory</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Licence conditions risk</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Saudi Arabia / UAE</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National pledges + NOC targets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Near-zero routine flaring; &lt;0.15% methane intensity</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2030 voluntary</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Reputational / ESG capital cost</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Russia / Central Asia</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Minimal binding frameworks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 binding LDAR; voluntary reporting only</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 firm date</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Trade partner pressure only</w:t>
            </w:r>
            <w:r w:rsidDel="00000000" w:rsidR="00000000" w:rsidRPr="00000000">
              <w:rPr>
                <w:rFonts w:ascii="Century Gothic" w:cs="Century Gothic" w:eastAsia="Century Gothic" w:hAnsi="Century Gothic"/>
                <w:rtl w:val="0"/>
              </w:rPr>
              <w:t xml:space="preserve"> </w:t>
            </w:r>
          </w:p>
        </w:tc>
      </w:tr>
    </w:tbl>
    <w:p w:rsidR="00000000" w:rsidDel="00000000" w:rsidP="00000000" w:rsidRDefault="00000000" w:rsidRPr="00000000" w14:paraId="00000031">
      <w:pPr>
        <w:spacing w:after="240" w:befor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2">
      <w:pPr>
        <w:spacing w:after="240" w:before="24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The Technology Revolution in Methane Detection </w:t>
      </w:r>
    </w:p>
    <w:p w:rsidR="00000000" w:rsidDel="00000000" w:rsidP="00000000" w:rsidRDefault="00000000" w:rsidRPr="00000000" w14:paraId="00000033">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Historically, methane monitoring relied on periodic field inspections using handheld instruments, flame ionisation detectors (FIDs), catalytic combustion sensors, and optical gas imaging cameras operated by trained technicians walking well pads and facilities on scheduled cycles. While effective for localised detection of persistent leaks, these methods carried three fundamental limitations: </w:t>
      </w:r>
    </w:p>
    <w:p w:rsidR="00000000" w:rsidDel="00000000" w:rsidP="00000000" w:rsidRDefault="00000000" w:rsidRPr="00000000" w14:paraId="00000034">
      <w:pPr>
        <w:numPr>
          <w:ilvl w:val="0"/>
          <w:numId w:val="6"/>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they could not detect large intermittent "super-emitter" events that occur unpredictably between inspection cycles. </w:t>
      </w:r>
    </w:p>
    <w:p w:rsidR="00000000" w:rsidDel="00000000" w:rsidP="00000000" w:rsidRDefault="00000000" w:rsidRPr="00000000" w14:paraId="00000035">
      <w:pPr>
        <w:numPr>
          <w:ilvl w:val="0"/>
          <w:numId w:val="6"/>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they were prohibitively expensive to deploy at high frequency across large asset portfolios. </w:t>
      </w:r>
    </w:p>
    <w:p w:rsidR="00000000" w:rsidDel="00000000" w:rsidP="00000000" w:rsidRDefault="00000000" w:rsidRPr="00000000" w14:paraId="00000036">
      <w:pPr>
        <w:numPr>
          <w:ilvl w:val="0"/>
          <w:numId w:val="6"/>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they provided no independent verification channel for operator self-reported emissions data.</w:t>
      </w:r>
    </w:p>
    <w:p w:rsidR="00000000" w:rsidDel="00000000" w:rsidP="00000000" w:rsidRDefault="00000000" w:rsidRPr="00000000" w14:paraId="00000037">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rtl w:val="0"/>
        </w:rPr>
        <w:t xml:space="preserve">The convergence of satellite miniaturisation, drone autonomy, low-cost optical sensors, and machine learning is rendering the old inspection paradigm obsolete. </w:t>
      </w:r>
      <w:r w:rsidDel="00000000" w:rsidR="00000000" w:rsidRPr="00000000">
        <w:rPr>
          <w:rtl w:val="0"/>
        </w:rPr>
      </w:r>
    </w:p>
    <w:p w:rsidR="00000000" w:rsidDel="00000000" w:rsidP="00000000" w:rsidRDefault="00000000" w:rsidRPr="00000000" w14:paraId="00000038">
      <w:pPr>
        <w:numPr>
          <w:ilvl w:val="0"/>
          <w:numId w:val="1"/>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Satellite-Based Monitoring</w:t>
      </w:r>
    </w:p>
    <w:p w:rsidR="00000000" w:rsidDel="00000000" w:rsidP="00000000" w:rsidRDefault="00000000" w:rsidRPr="00000000" w14:paraId="00000039">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Satellite monitoring has undergone a step-change in capability since 2018. The generation of dedicated methane-sensing spacecraft now operational, led by GHGSat, MethaneSAT (Environmental Defense Fund), the Copernicus Sentinel-5P constellation, and Carbon Mapper delivers near-continuous basin-level emissions intelligence that would have required thousands of ground inspectors to replicate just a decade ago.</w:t>
      </w:r>
    </w:p>
    <w:p w:rsidR="00000000" w:rsidDel="00000000" w:rsidP="00000000" w:rsidRDefault="00000000" w:rsidRPr="00000000" w14:paraId="0000003A">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fundamental operating principle exploits the spectral absorption signature of methane at short-wave infrared (SWIR) wavelengths (~1.65 µm and ~2.3 µm). Hyperspectral imagers on LEO satellites scan surface reflectance, and onboard or ground-based algorithms identify elevated methane column concentrations against background atmospheric levels. Detection thresholds have improved dramatically: first-generation instruments required plumes exceeding 1,000 kg CH₄/hr to achieve reliable attribution; the MethaneSAT payload achieves basin-average sensitivity in the sub-10 ppb range, while GHGSat's current constellation detects point sources above approximately 100 kg/hr, with its Gen-3 payloads (launched 2024–25) targeting 25 kg/hr, a threshold that captures the majority of individually significant industrial leaks.</w:t>
      </w:r>
    </w:p>
    <w:p w:rsidR="00000000" w:rsidDel="00000000" w:rsidP="00000000" w:rsidRDefault="00000000" w:rsidRPr="00000000" w14:paraId="0000003B">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Key Satellite Operators &amp; Capabilities (2025) </w:t>
      </w:r>
      <w:r w:rsidDel="00000000" w:rsidR="00000000" w:rsidRPr="00000000">
        <w:rPr>
          <w:rtl w:val="0"/>
        </w:rPr>
      </w:r>
    </w:p>
    <w:p w:rsidR="00000000" w:rsidDel="00000000" w:rsidP="00000000" w:rsidRDefault="00000000" w:rsidRPr="00000000" w14:paraId="0000003C">
      <w:pPr>
        <w:jc w:val="both"/>
        <w:rPr>
          <w:rFonts w:ascii="Century Gothic" w:cs="Century Gothic" w:eastAsia="Century Gothic" w:hAnsi="Century Gothic"/>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shd w:fill="1c4587"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Operators </w:t>
            </w:r>
          </w:p>
        </w:tc>
        <w:tc>
          <w:tcPr>
            <w:shd w:fill="1c4587"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Platform </w:t>
            </w:r>
          </w:p>
        </w:tc>
        <w:tc>
          <w:tcPr>
            <w:shd w:fill="1c4587"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Detection threshold</w:t>
            </w:r>
          </w:p>
        </w:tc>
        <w:tc>
          <w:tcPr>
            <w:shd w:fill="1c4587"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Spatial resolution </w:t>
            </w:r>
          </w:p>
        </w:tc>
        <w:tc>
          <w:tcPr>
            <w:shd w:fill="1c4587"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Primary use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GHGSat</w:t>
            </w:r>
            <w:r w:rsidDel="00000000" w:rsidR="00000000" w:rsidRPr="00000000">
              <w:rPr>
                <w:rFonts w:ascii="Century Gothic" w:cs="Century Gothic" w:eastAsia="Century Gothic" w:hAnsi="Century Gothic"/>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18-satellite LEO constellation</w:t>
            </w:r>
            <w:r w:rsidDel="00000000" w:rsidR="00000000" w:rsidRPr="00000000">
              <w:rPr>
                <w:rFonts w:ascii="Century Gothic" w:cs="Century Gothic" w:eastAsia="Century Gothic" w:hAnsi="Century Gothic"/>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Approximately </w:t>
            </w:r>
            <w:r w:rsidDel="00000000" w:rsidR="00000000" w:rsidRPr="00000000">
              <w:rPr>
                <w:rFonts w:ascii="Century Gothic" w:cs="Century Gothic" w:eastAsia="Century Gothic" w:hAnsi="Century Gothic"/>
                <w:rtl w:val="0"/>
              </w:rPr>
              <w:t xml:space="preserve">25 kg/hr (Gen-3)</w:t>
            </w:r>
            <w:r w:rsidDel="00000000" w:rsidR="00000000" w:rsidRPr="00000000">
              <w:rPr>
                <w:rFonts w:ascii="Century Gothic" w:cs="Century Gothic" w:eastAsia="Century Gothic" w:hAnsi="Century Gothic"/>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25×25 m</w:t>
            </w:r>
            <w:r w:rsidDel="00000000" w:rsidR="00000000" w:rsidRPr="00000000">
              <w:rPr>
                <w:rFonts w:ascii="Century Gothic" w:cs="Century Gothic" w:eastAsia="Century Gothic" w:hAnsi="Century Gothic"/>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Facility-level attribution</w:t>
            </w:r>
            <w:r w:rsidDel="00000000" w:rsidR="00000000" w:rsidRPr="00000000">
              <w:rPr>
                <w:rFonts w:ascii="Century Gothic" w:cs="Century Gothic" w:eastAsia="Century Gothic" w:hAnsi="Century Gothic"/>
                <w:rtl w:val="0"/>
              </w:rPr>
              <w:t xml:space="preser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MethaneSAT (EDF)</w:t>
            </w:r>
            <w:r w:rsidDel="00000000" w:rsidR="00000000" w:rsidRPr="00000000">
              <w:rPr>
                <w:rFonts w:ascii="Century Gothic" w:cs="Century Gothic" w:eastAsia="Century Gothic" w:hAnsi="Century Gothic"/>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Single LEO spacecraft</w:t>
            </w:r>
            <w:r w:rsidDel="00000000" w:rsidR="00000000" w:rsidRPr="00000000">
              <w:rPr>
                <w:rFonts w:ascii="Century Gothic" w:cs="Century Gothic" w:eastAsia="Century Gothic" w:hAnsi="Century Gothic"/>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Sub-10 ppb regional</w:t>
            </w:r>
            <w:r w:rsidDel="00000000" w:rsidR="00000000" w:rsidRPr="00000000">
              <w:rPr>
                <w:rFonts w:ascii="Century Gothic" w:cs="Century Gothic" w:eastAsia="Century Gothic" w:hAnsi="Century Gothic"/>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 km</w:t>
            </w:r>
            <w:r w:rsidDel="00000000" w:rsidR="00000000" w:rsidRPr="00000000">
              <w:rPr>
                <w:rFonts w:ascii="Century Gothic" w:cs="Century Gothic" w:eastAsia="Century Gothic" w:hAnsi="Century Gothic"/>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Basin-total quantification</w:t>
            </w:r>
            <w:r w:rsidDel="00000000" w:rsidR="00000000" w:rsidRPr="00000000">
              <w:rPr>
                <w:rFonts w:ascii="Century Gothic" w:cs="Century Gothic" w:eastAsia="Century Gothic" w:hAnsi="Century Gothic"/>
                <w:rtl w:val="0"/>
              </w:rPr>
              <w:t xml:space="preser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Sentinel-5P (ESA)</w:t>
            </w:r>
            <w:r w:rsidDel="00000000" w:rsidR="00000000" w:rsidRPr="00000000">
              <w:rPr>
                <w:rFonts w:ascii="Century Gothic" w:cs="Century Gothic" w:eastAsia="Century Gothic" w:hAnsi="Century Gothic"/>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Copernicus programme</w:t>
            </w:r>
            <w:r w:rsidDel="00000000" w:rsidR="00000000" w:rsidRPr="00000000">
              <w:rPr>
                <w:rFonts w:ascii="Century Gothic" w:cs="Century Gothic" w:eastAsia="Century Gothic" w:hAnsi="Century Gothic"/>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~1,000 kg/hr</w:t>
            </w:r>
            <w:r w:rsidDel="00000000" w:rsidR="00000000" w:rsidRPr="00000000">
              <w:rPr>
                <w:rFonts w:ascii="Century Gothic" w:cs="Century Gothic" w:eastAsia="Century Gothic" w:hAnsi="Century Gothic"/>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3.5×5.5 km</w:t>
            </w:r>
            <w:r w:rsidDel="00000000" w:rsidR="00000000" w:rsidRPr="00000000">
              <w:rPr>
                <w:rFonts w:ascii="Century Gothic" w:cs="Century Gothic" w:eastAsia="Century Gothic" w:hAnsi="Century Gothic"/>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Global mega-plume identification</w:t>
            </w:r>
            <w:r w:rsidDel="00000000" w:rsidR="00000000" w:rsidRPr="00000000">
              <w:rPr>
                <w:rFonts w:ascii="Century Gothic" w:cs="Century Gothic" w:eastAsia="Century Gothic" w:hAnsi="Century Gothic"/>
                <w:rtl w:val="0"/>
              </w:rPr>
              <w:t xml:space="preser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Carbon Mapper</w:t>
            </w:r>
            <w:r w:rsidDel="00000000" w:rsidR="00000000" w:rsidRPr="00000000">
              <w:rPr>
                <w:rFonts w:ascii="Century Gothic" w:cs="Century Gothic" w:eastAsia="Century Gothic" w:hAnsi="Century Gothic"/>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NASA-JPL / Planet</w:t>
            </w:r>
            <w:r w:rsidDel="00000000" w:rsidR="00000000" w:rsidRPr="00000000">
              <w:rPr>
                <w:rFonts w:ascii="Century Gothic" w:cs="Century Gothic" w:eastAsia="Century Gothic" w:hAnsi="Century Gothic"/>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~100 kg/hr</w:t>
            </w:r>
            <w:r w:rsidDel="00000000" w:rsidR="00000000" w:rsidRPr="00000000">
              <w:rPr>
                <w:rFonts w:ascii="Century Gothic" w:cs="Century Gothic" w:eastAsia="Century Gothic" w:hAnsi="Century Gothic"/>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30×30 m</w:t>
            </w:r>
            <w:r w:rsidDel="00000000" w:rsidR="00000000" w:rsidRPr="00000000">
              <w:rPr>
                <w:rFonts w:ascii="Century Gothic" w:cs="Century Gothic" w:eastAsia="Century Gothic" w:hAnsi="Century Gothic"/>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Facility-level point-source</w:t>
            </w:r>
            <w:r w:rsidDel="00000000" w:rsidR="00000000" w:rsidRPr="00000000">
              <w:rPr>
                <w:rFonts w:ascii="Century Gothic" w:cs="Century Gothic" w:eastAsia="Century Gothic" w:hAnsi="Century Gothic"/>
                <w:rtl w:val="0"/>
              </w:rPr>
              <w:t xml:space="preser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Kayrros</w:t>
            </w:r>
            <w:r w:rsidDel="00000000" w:rsidR="00000000" w:rsidRPr="00000000">
              <w:rPr>
                <w:rFonts w:ascii="Century Gothic" w:cs="Century Gothic" w:eastAsia="Century Gothic" w:hAnsi="Century Gothic"/>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Multi-satellite fusion</w:t>
            </w:r>
            <w:r w:rsidDel="00000000" w:rsidR="00000000" w:rsidRPr="00000000">
              <w:rPr>
                <w:rFonts w:ascii="Century Gothic" w:cs="Century Gothic" w:eastAsia="Century Gothic" w:hAnsi="Century Gothic"/>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Aggregated</w:t>
            </w:r>
            <w:r w:rsidDel="00000000" w:rsidR="00000000" w:rsidRPr="00000000">
              <w:rPr>
                <w:rFonts w:ascii="Century Gothic" w:cs="Century Gothic" w:eastAsia="Century Gothic" w:hAnsi="Century Gothic"/>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Variable</w:t>
            </w:r>
            <w:r w:rsidDel="00000000" w:rsidR="00000000" w:rsidRPr="00000000">
              <w:rPr>
                <w:rFonts w:ascii="Century Gothic" w:cs="Century Gothic" w:eastAsia="Century Gothic" w:hAnsi="Century Gothic"/>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Analytics &amp; regulatory reporting</w:t>
            </w:r>
            <w:r w:rsidDel="00000000" w:rsidR="00000000" w:rsidRPr="00000000">
              <w:rPr>
                <w:rFonts w:ascii="Century Gothic" w:cs="Century Gothic" w:eastAsia="Century Gothic" w:hAnsi="Century Gothic"/>
                <w:rtl w:val="0"/>
              </w:rPr>
              <w:t xml:space="preserve"> </w:t>
            </w:r>
          </w:p>
        </w:tc>
      </w:tr>
    </w:tbl>
    <w:p w:rsidR="00000000" w:rsidDel="00000000" w:rsidP="00000000" w:rsidRDefault="00000000" w:rsidRPr="00000000" w14:paraId="0000005B">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C">
      <w:pPr>
        <w:numPr>
          <w:ilvl w:val="0"/>
          <w:numId w:val="4"/>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 Aerial Surveys &amp; UAV / Drone Surveillance</w:t>
      </w:r>
    </w:p>
    <w:p w:rsidR="00000000" w:rsidDel="00000000" w:rsidP="00000000" w:rsidRDefault="00000000" w:rsidRPr="00000000" w14:paraId="0000005D">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Unmanned aerial vehicles and aircraft-mounted sensor systems occupy a critical middle tier in the detection hierarchy, bridging the gap between satellite-scale basin monitoring and fixed-point ground sensor networks. Their primary application is Leak Detection and Repair (LDAR) programs, where the goal is systematic survey of facility components (valves, flanges, connectors, compressor seals, tank hatches) to identify and prioritise repair of individual leak sources. The technology disruption in this tier is driven by three converging factors: </w:t>
      </w:r>
    </w:p>
    <w:p w:rsidR="00000000" w:rsidDel="00000000" w:rsidP="00000000" w:rsidRDefault="00000000" w:rsidRPr="00000000" w14:paraId="0000005E">
      <w:pPr>
        <w:numPr>
          <w:ilvl w:val="0"/>
          <w:numId w:val="5"/>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availability of lightweight, high-sensitivity optical gas imaging (OGI) cameras that can be integrated onto consumer-grade UAV platforms</w:t>
      </w:r>
    </w:p>
    <w:p w:rsidR="00000000" w:rsidDel="00000000" w:rsidP="00000000" w:rsidRDefault="00000000" w:rsidRPr="00000000" w14:paraId="0000005F">
      <w:pPr>
        <w:numPr>
          <w:ilvl w:val="0"/>
          <w:numId w:val="5"/>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development of tunable diode laser absorption spectroscopy (TDLAS) instruments small enough for drone payload constraints</w:t>
      </w:r>
    </w:p>
    <w:p w:rsidR="00000000" w:rsidDel="00000000" w:rsidP="00000000" w:rsidRDefault="00000000" w:rsidRPr="00000000" w14:paraId="00000060">
      <w:pPr>
        <w:numPr>
          <w:ilvl w:val="0"/>
          <w:numId w:val="5"/>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advances in autonomous flight planning software that allow pre-programmed survey routes to be executed without continuous pilot intervention.</w:t>
      </w:r>
    </w:p>
    <w:p w:rsidR="00000000" w:rsidDel="00000000" w:rsidP="00000000" w:rsidRDefault="00000000" w:rsidRPr="00000000" w14:paraId="00000061">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2">
      <w:pPr>
        <w:numPr>
          <w:ilvl w:val="0"/>
          <w:numId w:val="2"/>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Continuous Ground-Based Sensor Networks</w:t>
      </w:r>
    </w:p>
    <w:p w:rsidR="00000000" w:rsidDel="00000000" w:rsidP="00000000" w:rsidRDefault="00000000" w:rsidRPr="00000000" w14:paraId="00000063">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Continuous monitoring is the frontier of operational methane management, representing a paradigm shift from compliance-driven inspection to operational emissions intelligence. Rather than identifying leaks on a quarterly or annual survey cycle, fixed sensor networks provide operators with minute-resolution data on methane concentrations across a facility, enabling leak identification within hours of onset, automated alerts before small leaks escalate to reportable events, and continuous emissions quantification for OGMP 2.0 gold-standard reporting.</w:t>
      </w:r>
    </w:p>
    <w:p w:rsidR="00000000" w:rsidDel="00000000" w:rsidP="00000000" w:rsidRDefault="00000000" w:rsidRPr="00000000" w14:paraId="00000064">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industry is adopting two primary sensor architectures. The first is a sparse perimeter network,  typically 4–12 sensors deployed around a facility perimeter combined with meteorological data and dispersion modelling to back-calculate emission rates and approximate source locations. The second is a dense component-level network, individual sensors placed directly on high-risk components (compressor seals, pressure relief valves, pig traps) to provide near-certain source attribution. The two approaches are increasingly combined in hybrid architectures, with perimeter networks triggering targeted component-level monitoring when elevated concentrations are detected.</w:t>
      </w:r>
    </w:p>
    <w:p w:rsidR="00000000" w:rsidDel="00000000" w:rsidP="00000000" w:rsidRDefault="00000000" w:rsidRPr="00000000" w14:paraId="00000065">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Leading Continuous Monitoring Platforms (2025) </w:t>
      </w:r>
    </w:p>
    <w:p w:rsidR="00000000" w:rsidDel="00000000" w:rsidP="00000000" w:rsidRDefault="00000000" w:rsidRPr="00000000" w14:paraId="00000066">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7">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8">
      <w:pPr>
        <w:jc w:val="both"/>
        <w:rPr>
          <w:rFonts w:ascii="Century Gothic" w:cs="Century Gothic" w:eastAsia="Century Gothic" w:hAnsi="Century Gothic"/>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1455"/>
        <w:gridCol w:w="1560"/>
        <w:gridCol w:w="1545"/>
        <w:gridCol w:w="1605"/>
        <w:gridCol w:w="1530"/>
        <w:tblGridChange w:id="0">
          <w:tblGrid>
            <w:gridCol w:w="1665"/>
            <w:gridCol w:w="1455"/>
            <w:gridCol w:w="1560"/>
            <w:gridCol w:w="1545"/>
            <w:gridCol w:w="1605"/>
            <w:gridCol w:w="1530"/>
          </w:tblGrid>
        </w:tblGridChange>
      </w:tblGrid>
      <w:tr>
        <w:trPr>
          <w:cantSplit w:val="0"/>
          <w:tblHeader w:val="0"/>
        </w:trPr>
        <w:tc>
          <w:tcPr>
            <w:shd w:fill="1c4587"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sz w:val="20"/>
                <w:szCs w:val="20"/>
              </w:rPr>
            </w:pPr>
            <w:r w:rsidDel="00000000" w:rsidR="00000000" w:rsidRPr="00000000">
              <w:rPr>
                <w:rFonts w:ascii="Century Gothic" w:cs="Century Gothic" w:eastAsia="Century Gothic" w:hAnsi="Century Gothic"/>
                <w:color w:val="ffffff"/>
                <w:sz w:val="20"/>
                <w:szCs w:val="20"/>
                <w:rtl w:val="0"/>
              </w:rPr>
              <w:t xml:space="preserve">Platform </w:t>
            </w:r>
          </w:p>
        </w:tc>
        <w:tc>
          <w:tcPr>
            <w:shd w:fill="1c4587"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sz w:val="20"/>
                <w:szCs w:val="20"/>
              </w:rPr>
            </w:pPr>
            <w:r w:rsidDel="00000000" w:rsidR="00000000" w:rsidRPr="00000000">
              <w:rPr>
                <w:rFonts w:ascii="Century Gothic" w:cs="Century Gothic" w:eastAsia="Century Gothic" w:hAnsi="Century Gothic"/>
                <w:color w:val="ffffff"/>
                <w:sz w:val="20"/>
                <w:szCs w:val="20"/>
                <w:rtl w:val="0"/>
              </w:rPr>
              <w:t xml:space="preserve">Sensory type</w:t>
            </w:r>
          </w:p>
        </w:tc>
        <w:tc>
          <w:tcPr>
            <w:shd w:fill="1c4587"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sz w:val="20"/>
                <w:szCs w:val="20"/>
              </w:rPr>
            </w:pPr>
            <w:r w:rsidDel="00000000" w:rsidR="00000000" w:rsidRPr="00000000">
              <w:rPr>
                <w:rFonts w:ascii="Century Gothic" w:cs="Century Gothic" w:eastAsia="Century Gothic" w:hAnsi="Century Gothic"/>
                <w:color w:val="ffffff"/>
                <w:sz w:val="20"/>
                <w:szCs w:val="20"/>
                <w:rtl w:val="0"/>
              </w:rPr>
              <w:t xml:space="preserve">Architecture </w:t>
            </w:r>
          </w:p>
        </w:tc>
        <w:tc>
          <w:tcPr>
            <w:shd w:fill="1c4587"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sz w:val="20"/>
                <w:szCs w:val="20"/>
              </w:rPr>
            </w:pPr>
            <w:r w:rsidDel="00000000" w:rsidR="00000000" w:rsidRPr="00000000">
              <w:rPr>
                <w:rFonts w:ascii="Century Gothic" w:cs="Century Gothic" w:eastAsia="Century Gothic" w:hAnsi="Century Gothic"/>
                <w:color w:val="ffffff"/>
                <w:sz w:val="20"/>
                <w:szCs w:val="20"/>
                <w:rtl w:val="0"/>
              </w:rPr>
              <w:t xml:space="preserve">Detection limit</w:t>
            </w:r>
          </w:p>
        </w:tc>
        <w:tc>
          <w:tcPr>
            <w:shd w:fill="1c4587"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sz w:val="20"/>
                <w:szCs w:val="20"/>
              </w:rPr>
            </w:pPr>
            <w:r w:rsidDel="00000000" w:rsidR="00000000" w:rsidRPr="00000000">
              <w:rPr>
                <w:rFonts w:ascii="Century Gothic" w:cs="Century Gothic" w:eastAsia="Century Gothic" w:hAnsi="Century Gothic"/>
                <w:color w:val="ffffff"/>
                <w:sz w:val="20"/>
                <w:szCs w:val="20"/>
                <w:rtl w:val="0"/>
              </w:rPr>
              <w:t xml:space="preserve">Key differentiator </w:t>
            </w:r>
          </w:p>
        </w:tc>
        <w:tc>
          <w:tcPr>
            <w:shd w:fill="1c4587"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color w:val="ffffff"/>
                <w:sz w:val="20"/>
                <w:szCs w:val="20"/>
              </w:rPr>
            </w:pPr>
            <w:r w:rsidDel="00000000" w:rsidR="00000000" w:rsidRPr="00000000">
              <w:rPr>
                <w:rFonts w:ascii="Century Gothic" w:cs="Century Gothic" w:eastAsia="Century Gothic" w:hAnsi="Century Gothic"/>
                <w:color w:val="ffffff"/>
                <w:sz w:val="20"/>
                <w:szCs w:val="20"/>
                <w:rtl w:val="0"/>
              </w:rPr>
              <w:t xml:space="preserve">Commercial status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Project Canary</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Electrochemical + optical</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Dense component-level</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 ppm above background</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TrustWell certification standard</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Deployed at 2,000+ sites (US)</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Earthview (ABB)</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Open-path TDLAS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Perimeter fence-line</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~0.1 ppm-m path-integrated</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 moving parts; low maintenance</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Commercial — scaling</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Quanta3 (Heath)</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Laser-based point sensor</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Dense component + perimeter</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~10 ppb point</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AI leak attribution</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Commercial</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Sensirion SCD41</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PAS (photoacoustic)</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Component-level IoT</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~40 ppm</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Ultra-low cost ($15/sensor)</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Emerging — cost-disruptive</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LongPath Technologies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Dual-comb laser spectroscopy</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Long-range perimeter</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Sub-ppb at 500m path</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Highest sensitivity available</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Early commercial</w:t>
            </w:r>
            <w:r w:rsidDel="00000000" w:rsidR="00000000" w:rsidRPr="00000000">
              <w:rPr>
                <w:rFonts w:ascii="Century Gothic" w:cs="Century Gothic" w:eastAsia="Century Gothic" w:hAnsi="Century Gothic"/>
                <w:rtl w:val="0"/>
              </w:rPr>
              <w:t xml:space="preserve"> </w:t>
            </w:r>
          </w:p>
        </w:tc>
      </w:tr>
    </w:tbl>
    <w:p w:rsidR="00000000" w:rsidDel="00000000" w:rsidP="00000000" w:rsidRDefault="00000000" w:rsidRPr="00000000" w14:paraId="0000008D">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E">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F">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0">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1">
      <w:pPr>
        <w:pStyle w:val="Heading3"/>
        <w:keepNext w:val="0"/>
        <w:keepLines w:val="0"/>
        <w:spacing w:before="0" w:lineRule="auto"/>
        <w:jc w:val="both"/>
        <w:rPr>
          <w:rFonts w:ascii="Century Gothic" w:cs="Century Gothic" w:eastAsia="Century Gothic" w:hAnsi="Century Gothic"/>
          <w:b w:val="1"/>
          <w:bCs w:val="1"/>
          <w:color w:val="000000"/>
          <w:sz w:val="22"/>
          <w:szCs w:val="22"/>
        </w:rPr>
      </w:pPr>
      <w:bookmarkStart w:colFirst="0" w:colLast="0" w:name="_77lrb69u4q6k" w:id="2"/>
      <w:bookmarkEnd w:id="2"/>
      <w:r w:rsidDel="00000000" w:rsidR="00000000" w:rsidRPr="00000000">
        <w:rPr>
          <w:rFonts w:ascii="Century Gothic" w:cs="Century Gothic" w:eastAsia="Century Gothic" w:hAnsi="Century Gothic"/>
          <w:b w:val="1"/>
          <w:bCs w:val="1"/>
          <w:color w:val="000000"/>
          <w:sz w:val="22"/>
          <w:szCs w:val="22"/>
          <w:rtl w:val="0"/>
        </w:rPr>
        <w:t xml:space="preserve">Commercial Implications</w:t>
      </w:r>
    </w:p>
    <w:p w:rsidR="00000000" w:rsidDel="00000000" w:rsidP="00000000" w:rsidRDefault="00000000" w:rsidRPr="00000000" w14:paraId="00000092">
      <w:pPr>
        <w:numPr>
          <w:ilvl w:val="0"/>
          <w:numId w:val="3"/>
        </w:numPr>
        <w:spacing w:after="0" w:after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Product Recovery:</w:t>
      </w:r>
      <w:r w:rsidDel="00000000" w:rsidR="00000000" w:rsidRPr="00000000">
        <w:rPr>
          <w:rFonts w:ascii="Century Gothic" w:cs="Century Gothic" w:eastAsia="Century Gothic" w:hAnsi="Century Gothic"/>
          <w:rtl w:val="0"/>
        </w:rPr>
        <w:t xml:space="preserve"> Methane in the pipe is revenue. Advanced detection enables the rapid identification and repair of leaks, directly reducing the volume of lost gas.</w:t>
      </w:r>
    </w:p>
    <w:p w:rsidR="00000000" w:rsidDel="00000000" w:rsidP="00000000" w:rsidRDefault="00000000" w:rsidRPr="00000000" w14:paraId="00000093">
      <w:pPr>
        <w:numPr>
          <w:ilvl w:val="0"/>
          <w:numId w:val="3"/>
        </w:numPr>
        <w:spacing w:after="0" w:after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Data as an Asset: </w:t>
      </w:r>
      <w:r w:rsidDel="00000000" w:rsidR="00000000" w:rsidRPr="00000000">
        <w:rPr>
          <w:rFonts w:ascii="Century Gothic" w:cs="Century Gothic" w:eastAsia="Century Gothic" w:hAnsi="Century Gothic"/>
          <w:rtl w:val="0"/>
        </w:rPr>
        <w:t xml:space="preserve">High-fidelity, verifiable emissions data is critical for participating in emerging carbon-differentiated gas markets. Producers who can certify low-methane intensity are positioned to command a price premium.</w:t>
      </w:r>
    </w:p>
    <w:p w:rsidR="00000000" w:rsidDel="00000000" w:rsidP="00000000" w:rsidRDefault="00000000" w:rsidRPr="00000000" w14:paraId="00000094">
      <w:pPr>
        <w:numPr>
          <w:ilvl w:val="0"/>
          <w:numId w:val="3"/>
        </w:numPr>
        <w:spacing w:after="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Risk Mitigation: </w:t>
      </w:r>
      <w:r w:rsidDel="00000000" w:rsidR="00000000" w:rsidRPr="00000000">
        <w:rPr>
          <w:rFonts w:ascii="Century Gothic" w:cs="Century Gothic" w:eastAsia="Century Gothic" w:hAnsi="Century Gothic"/>
          <w:rtl w:val="0"/>
        </w:rPr>
        <w:t xml:space="preserve">Non-compliance now carries significant financial and reputation risks. Companies relying on legacy, infrequent manual checks are increasingly vulnerable to data gaps that regulators and investors are less willing to tolerate.</w:t>
      </w:r>
    </w:p>
    <w:p w:rsidR="00000000" w:rsidDel="00000000" w:rsidP="00000000" w:rsidRDefault="00000000" w:rsidRPr="00000000" w14:paraId="00000095">
      <w:pPr>
        <w:pStyle w:val="Heading2"/>
        <w:keepNext w:val="0"/>
        <w:keepLines w:val="0"/>
        <w:spacing w:after="80" w:lineRule="auto"/>
        <w:jc w:val="both"/>
        <w:rPr>
          <w:rFonts w:ascii="Century Gothic" w:cs="Century Gothic" w:eastAsia="Century Gothic" w:hAnsi="Century Gothic"/>
          <w:b w:val="1"/>
          <w:bCs w:val="1"/>
          <w:sz w:val="22"/>
          <w:szCs w:val="22"/>
        </w:rPr>
      </w:pPr>
      <w:bookmarkStart w:colFirst="0" w:colLast="0" w:name="_v0ltqq9t9xbq" w:id="3"/>
      <w:bookmarkEnd w:id="3"/>
      <w:r w:rsidDel="00000000" w:rsidR="00000000" w:rsidRPr="00000000">
        <w:rPr>
          <w:rFonts w:ascii="Century Gothic" w:cs="Century Gothic" w:eastAsia="Century Gothic" w:hAnsi="Century Gothic"/>
          <w:b w:val="1"/>
          <w:bCs w:val="1"/>
          <w:sz w:val="22"/>
          <w:szCs w:val="22"/>
          <w:rtl w:val="0"/>
        </w:rPr>
        <w:t xml:space="preserve">Outlook</w:t>
      </w:r>
    </w:p>
    <w:p w:rsidR="00000000" w:rsidDel="00000000" w:rsidP="00000000" w:rsidRDefault="00000000" w:rsidRPr="00000000" w14:paraId="00000096">
      <w:pPr>
        <w:pStyle w:val="Heading3"/>
        <w:keepNext w:val="0"/>
        <w:keepLines w:val="0"/>
        <w:spacing w:after="240" w:before="240" w:lineRule="auto"/>
        <w:jc w:val="both"/>
        <w:rPr>
          <w:rFonts w:ascii="Century Gothic" w:cs="Century Gothic" w:eastAsia="Century Gothic" w:hAnsi="Century Gothic"/>
          <w:color w:val="000000"/>
          <w:sz w:val="22"/>
          <w:szCs w:val="22"/>
        </w:rPr>
      </w:pPr>
      <w:bookmarkStart w:colFirst="0" w:colLast="0" w:name="_8pz9ix6s4pxi" w:id="4"/>
      <w:bookmarkEnd w:id="4"/>
      <w:r w:rsidDel="00000000" w:rsidR="00000000" w:rsidRPr="00000000">
        <w:rPr>
          <w:rFonts w:ascii="Century Gothic" w:cs="Century Gothic" w:eastAsia="Century Gothic" w:hAnsi="Century Gothic"/>
          <w:color w:val="000000"/>
          <w:sz w:val="22"/>
          <w:szCs w:val="22"/>
          <w:rtl w:val="0"/>
        </w:rPr>
        <w:t xml:space="preserve">Methane emissions management is entering a new era characterized by unprecedented transparency and accountability. The combination of advanced detection technologies, satellite surveillance, investor expectations, and increasingly stringent regulations is making methane performance a core operational metric across the oil and gas industry.</w:t>
      </w:r>
    </w:p>
    <w:p w:rsidR="00000000" w:rsidDel="00000000" w:rsidP="00000000" w:rsidRDefault="00000000" w:rsidRPr="00000000" w14:paraId="00000097">
      <w:pPr>
        <w:pStyle w:val="Heading3"/>
        <w:keepNext w:val="0"/>
        <w:keepLines w:val="0"/>
        <w:spacing w:after="240" w:before="240" w:lineRule="auto"/>
        <w:jc w:val="both"/>
        <w:rPr>
          <w:rFonts w:ascii="Century Gothic" w:cs="Century Gothic" w:eastAsia="Century Gothic" w:hAnsi="Century Gothic"/>
          <w:color w:val="000000"/>
          <w:sz w:val="22"/>
          <w:szCs w:val="22"/>
        </w:rPr>
      </w:pPr>
      <w:bookmarkStart w:colFirst="0" w:colLast="0" w:name="_8pz9ix6s4pxi" w:id="4"/>
      <w:bookmarkEnd w:id="4"/>
      <w:r w:rsidDel="00000000" w:rsidR="00000000" w:rsidRPr="00000000">
        <w:rPr>
          <w:rFonts w:ascii="Century Gothic" w:cs="Century Gothic" w:eastAsia="Century Gothic" w:hAnsi="Century Gothic"/>
          <w:color w:val="000000"/>
          <w:sz w:val="22"/>
          <w:szCs w:val="22"/>
          <w:rtl w:val="0"/>
        </w:rPr>
        <w:t xml:space="preserve">Over the next five years, operators are likely to face growing pressure to implement continuous monitoring systems, enhance leak detection programs, and demonstrate measurable emissions reductions. Companies that proactively invest in methane management technologies are expected to benefit from improved regulatory compliance, stronger investor confidence, reduced product loss, and enhanced market access.</w:t>
      </w:r>
    </w:p>
    <w:p w:rsidR="00000000" w:rsidDel="00000000" w:rsidP="00000000" w:rsidRDefault="00000000" w:rsidRPr="00000000" w14:paraId="00000098">
      <w:pPr>
        <w:spacing w:after="240" w:before="24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9">
      <w:pPr>
        <w:spacing w:after="240" w:before="24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Conclusion </w:t>
      </w:r>
    </w:p>
    <w:p w:rsidR="00000000" w:rsidDel="00000000" w:rsidP="00000000" w:rsidRDefault="00000000" w:rsidRPr="00000000" w14:paraId="0000009A">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methane leak detection sector has passed an inflection point. Regulatory pressure across both producing and importing jurisdictions is now a durable structural feature, not a cyclical risk. Operators that delay investment in measurement infrastructure face compounding exposure: regulatory penalties, loss of premium LNG contract positions, and ESG capital cost premiums. The technology gap between advanced detection methods and current industry practice remains wide particularly in Central Asia, Africa, and parts of Latin America, representing both the largest abatement opportunity and the largest unpriced emissions risk globally.</w:t>
      </w:r>
    </w:p>
    <w:p w:rsidR="00000000" w:rsidDel="00000000" w:rsidP="00000000" w:rsidRDefault="00000000" w:rsidRPr="00000000" w14:paraId="0000009B">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 technology investors, the analytics and data integration layer represents the most defensible value pool as hardware commodities. For energy operators, the strategic play is pre-emptive measurement leadership, using superior methane data as a commercial differentiator in an increasingly intensity-sensitive gas market. </w:t>
      </w:r>
      <w:r w:rsidDel="00000000" w:rsidR="00000000" w:rsidRPr="00000000">
        <w:rPr>
          <w:rtl w:val="0"/>
        </w:rPr>
      </w:r>
    </w:p>
    <w:p w:rsidR="00000000" w:rsidDel="00000000" w:rsidP="00000000" w:rsidRDefault="00000000" w:rsidRPr="00000000" w14:paraId="0000009C">
      <w:pPr>
        <w:spacing w:after="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D">
      <w:pPr>
        <w:spacing w:after="240" w:befor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E">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F">
      <w:pPr>
        <w:jc w:val="both"/>
        <w:rPr>
          <w:rFonts w:ascii="Century Gothic" w:cs="Century Gothic" w:eastAsia="Century Gothic" w:hAnsi="Century Gothic"/>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