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95F55" w14:textId="27943EBE"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t>BALANCING LNG EXPORTS, DOMESTIC GAS OBLIGATIONS AND REGIONAL PIPELINE MARKETS IN MOZAMBIQUE</w:t>
      </w:r>
    </w:p>
    <w:p w14:paraId="7D1B22EE"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Executive Summary</w:t>
      </w:r>
    </w:p>
    <w:p w14:paraId="1B5B3A32" w14:textId="65D61CA0"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Mozambique stands at a critical inflection point in its gas </w:t>
      </w:r>
      <w:r w:rsidRPr="003F6A2F">
        <w:rPr>
          <w:rFonts w:ascii="Times New Roman" w:hAnsi="Times New Roman" w:cs="Times New Roman"/>
        </w:rPr>
        <w:t>commercialization</w:t>
      </w:r>
      <w:r w:rsidRPr="003F6A2F">
        <w:rPr>
          <w:rFonts w:ascii="Times New Roman" w:hAnsi="Times New Roman" w:cs="Times New Roman"/>
        </w:rPr>
        <w:t xml:space="preserve"> strategy. With approximately 126 trillion cubic feet (TCF) of recoverable gas reserves in the Rovuma Basin, the country must </w:t>
      </w:r>
      <w:proofErr w:type="spellStart"/>
      <w:r w:rsidRPr="003F6A2F">
        <w:rPr>
          <w:rFonts w:ascii="Times New Roman" w:hAnsi="Times New Roman" w:cs="Times New Roman"/>
        </w:rPr>
        <w:t>optimise</w:t>
      </w:r>
      <w:proofErr w:type="spellEnd"/>
      <w:r w:rsidRPr="003F6A2F">
        <w:rPr>
          <w:rFonts w:ascii="Times New Roman" w:hAnsi="Times New Roman" w:cs="Times New Roman"/>
        </w:rPr>
        <w:t xml:space="preserve"> allocation between high-margin LNG exports, domestic market obligations (DMO), and emerging regional pipeline demand across the Southern African Development Community (SADC). TotalEnergies' Mozambique LNG project (13.12 MTPA, $20 billion FID) has resumed construction under a </w:t>
      </w:r>
      <w:proofErr w:type="spellStart"/>
      <w:r w:rsidRPr="003F6A2F">
        <w:rPr>
          <w:rFonts w:ascii="Times New Roman" w:hAnsi="Times New Roman" w:cs="Times New Roman"/>
        </w:rPr>
        <w:t>securitised</w:t>
      </w:r>
      <w:proofErr w:type="spellEnd"/>
      <w:r w:rsidRPr="003F6A2F">
        <w:rPr>
          <w:rFonts w:ascii="Times New Roman" w:hAnsi="Times New Roman" w:cs="Times New Roman"/>
        </w:rPr>
        <w:t xml:space="preserve"> enclave model following the March 2021 force majeure, with first exports now expected by 2029. ExxonMobil lifted force majeure on the 18 MTPA Rovuma LNG project in November 2025, targeting FID in 2026 and first LNG by 2030.</w:t>
      </w:r>
    </w:p>
    <w:p w14:paraId="15D45A0C"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This intelligence note critically evaluates five gas allocation scenarios through 2045. Our analysis indicates that a </w:t>
      </w:r>
      <w:r w:rsidRPr="003F6A2F">
        <w:rPr>
          <w:rFonts w:ascii="Times New Roman" w:hAnsi="Times New Roman" w:cs="Times New Roman"/>
          <w:b/>
          <w:bCs/>
        </w:rPr>
        <w:t>"Balanced Allocation" strategy</w:t>
      </w:r>
      <w:r w:rsidRPr="003F6A2F">
        <w:rPr>
          <w:rFonts w:ascii="Times New Roman" w:hAnsi="Times New Roman" w:cs="Times New Roman"/>
        </w:rPr>
        <w:t xml:space="preserve"> (70% LNG export, 15% domestic, 15% regional pipeline) delivers the optimal risk-adjusted returns, with a projected portfolio NPV of $15.2 billion and IRR of 19.8%. Pure LNG </w:t>
      </w:r>
      <w:proofErr w:type="spellStart"/>
      <w:r w:rsidRPr="003F6A2F">
        <w:rPr>
          <w:rFonts w:ascii="Times New Roman" w:hAnsi="Times New Roman" w:cs="Times New Roman"/>
        </w:rPr>
        <w:t>maximisation</w:t>
      </w:r>
      <w:proofErr w:type="spellEnd"/>
      <w:r w:rsidRPr="003F6A2F">
        <w:rPr>
          <w:rFonts w:ascii="Times New Roman" w:hAnsi="Times New Roman" w:cs="Times New Roman"/>
        </w:rPr>
        <w:t xml:space="preserve"> yields higher nominal NPV ($18.5bn) but concentrates geopolitical and security risk. Conversely, domestic </w:t>
      </w:r>
      <w:proofErr w:type="spellStart"/>
      <w:r w:rsidRPr="003F6A2F">
        <w:rPr>
          <w:rFonts w:ascii="Times New Roman" w:hAnsi="Times New Roman" w:cs="Times New Roman"/>
        </w:rPr>
        <w:t>prioritisation</w:t>
      </w:r>
      <w:proofErr w:type="spellEnd"/>
      <w:r w:rsidRPr="003F6A2F">
        <w:rPr>
          <w:rFonts w:ascii="Times New Roman" w:hAnsi="Times New Roman" w:cs="Times New Roman"/>
        </w:rPr>
        <w:t xml:space="preserve"> sacrifices 55% of project NPV due to </w:t>
      </w:r>
      <w:proofErr w:type="spellStart"/>
      <w:r w:rsidRPr="003F6A2F">
        <w:rPr>
          <w:rFonts w:ascii="Times New Roman" w:hAnsi="Times New Roman" w:cs="Times New Roman"/>
        </w:rPr>
        <w:t>subsidised</w:t>
      </w:r>
      <w:proofErr w:type="spellEnd"/>
      <w:r w:rsidRPr="003F6A2F">
        <w:rPr>
          <w:rFonts w:ascii="Times New Roman" w:hAnsi="Times New Roman" w:cs="Times New Roman"/>
        </w:rPr>
        <w:t xml:space="preserve"> pricing structures and limited offtake depth.</w:t>
      </w:r>
    </w:p>
    <w:p w14:paraId="0E8F3596"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Key findings:</w:t>
      </w:r>
    </w:p>
    <w:p w14:paraId="62785A6E" w14:textId="51F59CBA" w:rsidR="003F6A2F" w:rsidRPr="003F6A2F" w:rsidRDefault="003F6A2F" w:rsidP="005E7DA2">
      <w:pPr>
        <w:numPr>
          <w:ilvl w:val="0"/>
          <w:numId w:val="3"/>
        </w:numPr>
        <w:spacing w:after="0" w:line="240" w:lineRule="auto"/>
        <w:jc w:val="both"/>
        <w:rPr>
          <w:rFonts w:ascii="Times New Roman" w:hAnsi="Times New Roman" w:cs="Times New Roman"/>
        </w:rPr>
      </w:pPr>
      <w:r w:rsidRPr="003F6A2F">
        <w:rPr>
          <w:rFonts w:ascii="Times New Roman" w:hAnsi="Times New Roman" w:cs="Times New Roman"/>
          <w:b/>
          <w:bCs/>
        </w:rPr>
        <w:t>Global LNG market context:</w:t>
      </w:r>
      <w:r w:rsidRPr="003F6A2F">
        <w:rPr>
          <w:rFonts w:ascii="Times New Roman" w:hAnsi="Times New Roman" w:cs="Times New Roman"/>
        </w:rPr>
        <w:t xml:space="preserve"> JKM and TTF prices averaged ~$10.5–13.5/MMBtu in 2024–2025, with Henry Hub at $3.5–4.5/MMBtu. By 2026, additional liquefaction capacity is expected to soften prices toward 11/MMBtu, though Middle East supply disruptions and Asian demand growth create upside volatility</w:t>
      </w:r>
      <w:r w:rsidR="003E3C7E">
        <w:rPr>
          <w:rFonts w:ascii="Times New Roman" w:hAnsi="Times New Roman" w:cs="Times New Roman"/>
        </w:rPr>
        <w:t>.</w:t>
      </w:r>
    </w:p>
    <w:p w14:paraId="217328DC" w14:textId="4BA7CB2D" w:rsidR="003F6A2F" w:rsidRPr="003F6A2F" w:rsidRDefault="003F6A2F" w:rsidP="005E7DA2">
      <w:pPr>
        <w:numPr>
          <w:ilvl w:val="0"/>
          <w:numId w:val="3"/>
        </w:numPr>
        <w:spacing w:after="0" w:line="240" w:lineRule="auto"/>
        <w:jc w:val="both"/>
        <w:rPr>
          <w:rFonts w:ascii="Times New Roman" w:hAnsi="Times New Roman" w:cs="Times New Roman"/>
        </w:rPr>
      </w:pPr>
      <w:r w:rsidRPr="003F6A2F">
        <w:rPr>
          <w:rFonts w:ascii="Times New Roman" w:hAnsi="Times New Roman" w:cs="Times New Roman"/>
          <w:b/>
          <w:bCs/>
        </w:rPr>
        <w:t>Domestic Market Obligations:</w:t>
      </w:r>
      <w:r w:rsidRPr="003F6A2F">
        <w:rPr>
          <w:rFonts w:ascii="Times New Roman" w:hAnsi="Times New Roman" w:cs="Times New Roman"/>
        </w:rPr>
        <w:t xml:space="preserve"> Area 1 concessionaires have committed to 400 </w:t>
      </w:r>
      <w:proofErr w:type="spellStart"/>
      <w:r w:rsidRPr="003F6A2F">
        <w:rPr>
          <w:rFonts w:ascii="Times New Roman" w:hAnsi="Times New Roman" w:cs="Times New Roman"/>
        </w:rPr>
        <w:t>MMscf</w:t>
      </w:r>
      <w:proofErr w:type="spellEnd"/>
      <w:r w:rsidRPr="003F6A2F">
        <w:rPr>
          <w:rFonts w:ascii="Times New Roman" w:hAnsi="Times New Roman" w:cs="Times New Roman"/>
        </w:rPr>
        <w:t xml:space="preserve">/d (phased 100 + 300), while Area 4 has committed to 500 </w:t>
      </w:r>
      <w:proofErr w:type="spellStart"/>
      <w:r w:rsidRPr="003F6A2F">
        <w:rPr>
          <w:rFonts w:ascii="Times New Roman" w:hAnsi="Times New Roman" w:cs="Times New Roman"/>
        </w:rPr>
        <w:t>MMscf</w:t>
      </w:r>
      <w:proofErr w:type="spellEnd"/>
      <w:r w:rsidRPr="003F6A2F">
        <w:rPr>
          <w:rFonts w:ascii="Times New Roman" w:hAnsi="Times New Roman" w:cs="Times New Roman"/>
        </w:rPr>
        <w:t>/d (phased 150 + 350)</w:t>
      </w:r>
      <w:r w:rsidR="003E3C7E">
        <w:rPr>
          <w:rFonts w:ascii="Times New Roman" w:hAnsi="Times New Roman" w:cs="Times New Roman"/>
        </w:rPr>
        <w:t>.</w:t>
      </w:r>
    </w:p>
    <w:p w14:paraId="1620141E" w14:textId="4A66ECAF" w:rsidR="003F6A2F" w:rsidRPr="003F6A2F" w:rsidRDefault="003F6A2F" w:rsidP="005E7DA2">
      <w:pPr>
        <w:numPr>
          <w:ilvl w:val="0"/>
          <w:numId w:val="3"/>
        </w:numPr>
        <w:spacing w:after="0" w:line="240" w:lineRule="auto"/>
        <w:jc w:val="both"/>
        <w:rPr>
          <w:rFonts w:ascii="Times New Roman" w:hAnsi="Times New Roman" w:cs="Times New Roman"/>
        </w:rPr>
      </w:pPr>
      <w:r w:rsidRPr="003F6A2F">
        <w:rPr>
          <w:rFonts w:ascii="Times New Roman" w:hAnsi="Times New Roman" w:cs="Times New Roman"/>
          <w:b/>
          <w:bCs/>
        </w:rPr>
        <w:t>South Africa's gas cliff:</w:t>
      </w:r>
      <w:r w:rsidRPr="003F6A2F">
        <w:rPr>
          <w:rFonts w:ascii="Times New Roman" w:hAnsi="Times New Roman" w:cs="Times New Roman"/>
        </w:rPr>
        <w:t xml:space="preserve"> The ROMPCO pipeline from Pande-</w:t>
      </w:r>
      <w:proofErr w:type="spellStart"/>
      <w:r w:rsidRPr="003F6A2F">
        <w:rPr>
          <w:rFonts w:ascii="Times New Roman" w:hAnsi="Times New Roman" w:cs="Times New Roman"/>
        </w:rPr>
        <w:t>Temane</w:t>
      </w:r>
      <w:proofErr w:type="spellEnd"/>
      <w:r w:rsidRPr="003F6A2F">
        <w:rPr>
          <w:rFonts w:ascii="Times New Roman" w:hAnsi="Times New Roman" w:cs="Times New Roman"/>
        </w:rPr>
        <w:t xml:space="preserve"> is depleting (75.91% exhausted), with third-party supply expected to cease by mid-2027. South Africa's IRP 2025 targets 6,000 MW of gas-to-power by 2030 and 16,000 MW by 2039, creating substantial import demand</w:t>
      </w:r>
      <w:r w:rsidR="003E3C7E">
        <w:rPr>
          <w:rFonts w:ascii="Times New Roman" w:hAnsi="Times New Roman" w:cs="Times New Roman"/>
        </w:rPr>
        <w:t>.</w:t>
      </w:r>
    </w:p>
    <w:p w14:paraId="7AC43FEA" w14:textId="76995B8F" w:rsidR="003F6A2F" w:rsidRDefault="003F6A2F" w:rsidP="005E7DA2">
      <w:pPr>
        <w:numPr>
          <w:ilvl w:val="0"/>
          <w:numId w:val="3"/>
        </w:numPr>
        <w:spacing w:after="0" w:line="240" w:lineRule="auto"/>
        <w:jc w:val="both"/>
        <w:rPr>
          <w:rFonts w:ascii="Times New Roman" w:hAnsi="Times New Roman" w:cs="Times New Roman"/>
        </w:rPr>
      </w:pPr>
      <w:r w:rsidRPr="003F6A2F">
        <w:rPr>
          <w:rFonts w:ascii="Times New Roman" w:hAnsi="Times New Roman" w:cs="Times New Roman"/>
          <w:b/>
          <w:bCs/>
        </w:rPr>
        <w:t>Security premium:</w:t>
      </w:r>
      <w:r w:rsidRPr="003F6A2F">
        <w:rPr>
          <w:rFonts w:ascii="Times New Roman" w:hAnsi="Times New Roman" w:cs="Times New Roman"/>
        </w:rPr>
        <w:t xml:space="preserve"> The </w:t>
      </w:r>
      <w:proofErr w:type="spellStart"/>
      <w:r w:rsidRPr="003F6A2F">
        <w:rPr>
          <w:rFonts w:ascii="Times New Roman" w:hAnsi="Times New Roman" w:cs="Times New Roman"/>
        </w:rPr>
        <w:t>securitised</w:t>
      </w:r>
      <w:proofErr w:type="spellEnd"/>
      <w:r w:rsidRPr="003F6A2F">
        <w:rPr>
          <w:rFonts w:ascii="Times New Roman" w:hAnsi="Times New Roman" w:cs="Times New Roman"/>
        </w:rPr>
        <w:t xml:space="preserve"> enclave model at </w:t>
      </w:r>
      <w:proofErr w:type="spellStart"/>
      <w:r w:rsidRPr="003F6A2F">
        <w:rPr>
          <w:rFonts w:ascii="Times New Roman" w:hAnsi="Times New Roman" w:cs="Times New Roman"/>
        </w:rPr>
        <w:t>Afungi</w:t>
      </w:r>
      <w:proofErr w:type="spellEnd"/>
      <w:r w:rsidRPr="003F6A2F">
        <w:rPr>
          <w:rFonts w:ascii="Times New Roman" w:hAnsi="Times New Roman" w:cs="Times New Roman"/>
        </w:rPr>
        <w:t>, protected by ~5,000 Rwandan troops, adds approximately $1.5 billion in annual security costs, directly reducing government take</w:t>
      </w:r>
      <w:r w:rsidR="003E3C7E">
        <w:rPr>
          <w:rFonts w:ascii="Times New Roman" w:hAnsi="Times New Roman" w:cs="Times New Roman"/>
        </w:rPr>
        <w:t>.</w:t>
      </w:r>
    </w:p>
    <w:p w14:paraId="4E82F2B6" w14:textId="77777777" w:rsidR="003E3C7E" w:rsidRPr="003F6A2F" w:rsidRDefault="003E3C7E" w:rsidP="005E7DA2">
      <w:pPr>
        <w:spacing w:line="240" w:lineRule="auto"/>
        <w:ind w:left="720"/>
        <w:jc w:val="both"/>
        <w:rPr>
          <w:rFonts w:ascii="Times New Roman" w:hAnsi="Times New Roman" w:cs="Times New Roman"/>
        </w:rPr>
      </w:pPr>
    </w:p>
    <w:p w14:paraId="55D4EB38"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1. Mozambique's Emerging Role in Global LNG Supply</w:t>
      </w:r>
    </w:p>
    <w:p w14:paraId="15230237" w14:textId="37F16A6F"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Mozambique possesses the geological endowment to become a top-ten global LNG exporter. The Rovuma Basin's Area 1 (Anadarko/TotalEnergies) and Area 4 (Eni/ExxonMobil) contain sufficient reserves to support 60–90 </w:t>
      </w:r>
      <w:proofErr w:type="spellStart"/>
      <w:r w:rsidRPr="003F6A2F">
        <w:rPr>
          <w:rFonts w:ascii="Times New Roman" w:hAnsi="Times New Roman" w:cs="Times New Roman"/>
        </w:rPr>
        <w:t>MMtpa</w:t>
      </w:r>
      <w:proofErr w:type="spellEnd"/>
      <w:r w:rsidRPr="003F6A2F">
        <w:rPr>
          <w:rFonts w:ascii="Times New Roman" w:hAnsi="Times New Roman" w:cs="Times New Roman"/>
        </w:rPr>
        <w:t xml:space="preserve"> of additional LNG beyond the initial 31 </w:t>
      </w:r>
      <w:proofErr w:type="spellStart"/>
      <w:r w:rsidRPr="003F6A2F">
        <w:rPr>
          <w:rFonts w:ascii="Times New Roman" w:hAnsi="Times New Roman" w:cs="Times New Roman"/>
        </w:rPr>
        <w:t>MMtpa</w:t>
      </w:r>
      <w:proofErr w:type="spellEnd"/>
      <w:r w:rsidRPr="003F6A2F">
        <w:rPr>
          <w:rFonts w:ascii="Times New Roman" w:hAnsi="Times New Roman" w:cs="Times New Roman"/>
        </w:rPr>
        <w:t xml:space="preserve"> wave. The IEA forecasts Asian demand for African LNG could reach 60–70 million </w:t>
      </w:r>
      <w:proofErr w:type="spellStart"/>
      <w:r w:rsidRPr="003F6A2F">
        <w:rPr>
          <w:rFonts w:ascii="Times New Roman" w:hAnsi="Times New Roman" w:cs="Times New Roman"/>
        </w:rPr>
        <w:t>tonnes</w:t>
      </w:r>
      <w:proofErr w:type="spellEnd"/>
      <w:r w:rsidRPr="003F6A2F">
        <w:rPr>
          <w:rFonts w:ascii="Times New Roman" w:hAnsi="Times New Roman" w:cs="Times New Roman"/>
        </w:rPr>
        <w:t xml:space="preserve"> by 2050 in a low-transition scenario, positioning Mozambique's Atlantic/Indian Ocean location as strategically advantaged for both European and Asian markets</w:t>
      </w:r>
      <w:r w:rsidR="003E3C7E">
        <w:rPr>
          <w:rFonts w:ascii="Times New Roman" w:hAnsi="Times New Roman" w:cs="Times New Roman"/>
        </w:rPr>
        <w:t>.</w:t>
      </w:r>
    </w:p>
    <w:p w14:paraId="003F2D99" w14:textId="1475121F"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However, the decade-long delay caused by the Cabo Delgado insurgency has permanently altered the competitive landscape. Qatar and the United States have captured market share that would have belonged to Mozambique had original 2024 start-up timelines held. The global LNG market, which </w:t>
      </w:r>
      <w:r w:rsidRPr="003F6A2F">
        <w:rPr>
          <w:rFonts w:ascii="Times New Roman" w:hAnsi="Times New Roman" w:cs="Times New Roman"/>
        </w:rPr>
        <w:lastRenderedPageBreak/>
        <w:t xml:space="preserve">faced supply deficits in 2024–2025 due to Mozambique delays, will see 54 Mtpa of new liquefaction capacity come online in 2025–2026, tightening netback economics for new entrants </w:t>
      </w:r>
    </w:p>
    <w:p w14:paraId="12C4F1F8" w14:textId="77777777" w:rsid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LNG Price Sensitivity Analysis</w:t>
      </w:r>
    </w:p>
    <w:p w14:paraId="28837117" w14:textId="30F3ECEE" w:rsidR="003F6A2F" w:rsidRPr="003F6A2F" w:rsidRDefault="003E3C7E" w:rsidP="005E7DA2">
      <w:pPr>
        <w:spacing w:line="240" w:lineRule="auto"/>
        <w:jc w:val="both"/>
        <w:rPr>
          <w:rFonts w:ascii="Times New Roman" w:hAnsi="Times New Roman" w:cs="Times New Roman"/>
        </w:rPr>
      </w:pPr>
      <w:r>
        <w:rPr>
          <w:rFonts w:ascii="Times New Roman" w:hAnsi="Times New Roman" w:cs="Times New Roman"/>
          <w:noProof/>
        </w:rPr>
        <w:drawing>
          <wp:inline distT="0" distB="0" distL="0" distR="0" wp14:anchorId="57786E4C" wp14:editId="39EE1636">
            <wp:extent cx="5943600" cy="2961640"/>
            <wp:effectExtent l="0" t="0" r="0" b="0"/>
            <wp:docPr id="8071454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145421" name="Picture 80714542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961640"/>
                    </a:xfrm>
                    <a:prstGeom prst="rect">
                      <a:avLst/>
                    </a:prstGeom>
                  </pic:spPr>
                </pic:pic>
              </a:graphicData>
            </a:graphic>
          </wp:inline>
        </w:drawing>
      </w:r>
    </w:p>
    <w:p w14:paraId="32842A99" w14:textId="785884A9" w:rsid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The chart illustrates JKM, TTF, and Henry Hub trajectories through 2030. Mozambique LNG project economics remain robust across all but the lowest price scenarios, given the basin's low production costs ($3.50–4.50/MMBtu FOB breakeven). The critical risk is not absolute price level but </w:t>
      </w:r>
      <w:r w:rsidRPr="003F6A2F">
        <w:rPr>
          <w:rFonts w:ascii="Times New Roman" w:hAnsi="Times New Roman" w:cs="Times New Roman"/>
          <w:b/>
          <w:bCs/>
        </w:rPr>
        <w:t>price volatility</w:t>
      </w:r>
      <w:r w:rsidRPr="003F6A2F">
        <w:rPr>
          <w:rFonts w:ascii="Times New Roman" w:hAnsi="Times New Roman" w:cs="Times New Roman"/>
        </w:rPr>
        <w:t xml:space="preserve"> and the convergence of global benchmarks with US variable export costs as 110 Mtpa of American capacity ramps up through 2030 </w:t>
      </w:r>
    </w:p>
    <w:p w14:paraId="776D3755" w14:textId="77777777" w:rsidR="003E3C7E" w:rsidRPr="003F6A2F" w:rsidRDefault="003E3C7E" w:rsidP="005E7DA2">
      <w:pPr>
        <w:spacing w:line="240" w:lineRule="auto"/>
        <w:jc w:val="both"/>
        <w:rPr>
          <w:rFonts w:ascii="Times New Roman" w:hAnsi="Times New Roman" w:cs="Times New Roman"/>
        </w:rPr>
      </w:pPr>
    </w:p>
    <w:p w14:paraId="1362EC5A"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2. Existing LNG Commercial Structures and Export Commitments</w:t>
      </w:r>
    </w:p>
    <w:p w14:paraId="5511F815"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Mozambique LNG (Area 1) operates under an EPCC (Exploration and Production Concession Contract) framework with the following commercial architecture:</w:t>
      </w:r>
    </w:p>
    <w:p w14:paraId="2D673118" w14:textId="77777777" w:rsidR="003F6A2F" w:rsidRPr="003F6A2F" w:rsidRDefault="003F6A2F" w:rsidP="005E7DA2">
      <w:pPr>
        <w:numPr>
          <w:ilvl w:val="0"/>
          <w:numId w:val="4"/>
        </w:numPr>
        <w:spacing w:after="0" w:line="240" w:lineRule="auto"/>
        <w:jc w:val="both"/>
        <w:rPr>
          <w:rFonts w:ascii="Times New Roman" w:hAnsi="Times New Roman" w:cs="Times New Roman"/>
        </w:rPr>
      </w:pPr>
      <w:r w:rsidRPr="003F6A2F">
        <w:rPr>
          <w:rFonts w:ascii="Times New Roman" w:hAnsi="Times New Roman" w:cs="Times New Roman"/>
          <w:b/>
          <w:bCs/>
        </w:rPr>
        <w:t>Capacity:</w:t>
      </w:r>
      <w:r w:rsidRPr="003F6A2F">
        <w:rPr>
          <w:rFonts w:ascii="Times New Roman" w:hAnsi="Times New Roman" w:cs="Times New Roman"/>
        </w:rPr>
        <w:t xml:space="preserve"> 13.12 MTPA initial (two trains), expansion potential to 43 MTPA</w:t>
      </w:r>
    </w:p>
    <w:p w14:paraId="6AD33C09" w14:textId="77777777" w:rsidR="003F6A2F" w:rsidRPr="003F6A2F" w:rsidRDefault="003F6A2F" w:rsidP="005E7DA2">
      <w:pPr>
        <w:numPr>
          <w:ilvl w:val="0"/>
          <w:numId w:val="4"/>
        </w:numPr>
        <w:spacing w:after="0" w:line="240" w:lineRule="auto"/>
        <w:jc w:val="both"/>
        <w:rPr>
          <w:rFonts w:ascii="Times New Roman" w:hAnsi="Times New Roman" w:cs="Times New Roman"/>
        </w:rPr>
      </w:pPr>
      <w:r w:rsidRPr="003F6A2F">
        <w:rPr>
          <w:rFonts w:ascii="Times New Roman" w:hAnsi="Times New Roman" w:cs="Times New Roman"/>
          <w:b/>
          <w:bCs/>
        </w:rPr>
        <w:t>FID:</w:t>
      </w:r>
      <w:r w:rsidRPr="003F6A2F">
        <w:rPr>
          <w:rFonts w:ascii="Times New Roman" w:hAnsi="Times New Roman" w:cs="Times New Roman"/>
        </w:rPr>
        <w:t xml:space="preserve"> $19.6 billion (2019), restarted January 2026</w:t>
      </w:r>
    </w:p>
    <w:p w14:paraId="44B308B3" w14:textId="77777777" w:rsidR="003F6A2F" w:rsidRPr="003F6A2F" w:rsidRDefault="003F6A2F" w:rsidP="005E7DA2">
      <w:pPr>
        <w:numPr>
          <w:ilvl w:val="0"/>
          <w:numId w:val="4"/>
        </w:numPr>
        <w:spacing w:after="0" w:line="240" w:lineRule="auto"/>
        <w:jc w:val="both"/>
        <w:rPr>
          <w:rFonts w:ascii="Times New Roman" w:hAnsi="Times New Roman" w:cs="Times New Roman"/>
        </w:rPr>
      </w:pPr>
      <w:r w:rsidRPr="003F6A2F">
        <w:rPr>
          <w:rFonts w:ascii="Times New Roman" w:hAnsi="Times New Roman" w:cs="Times New Roman"/>
          <w:b/>
          <w:bCs/>
        </w:rPr>
        <w:t>Offtake:</w:t>
      </w:r>
      <w:r w:rsidRPr="003F6A2F">
        <w:rPr>
          <w:rFonts w:ascii="Times New Roman" w:hAnsi="Times New Roman" w:cs="Times New Roman"/>
        </w:rPr>
        <w:t xml:space="preserve"> Predominantly long-term contracts with Asian buyers (CNPC, Shell portfolio, KOGAS)</w:t>
      </w:r>
    </w:p>
    <w:p w14:paraId="2361965E" w14:textId="77777777" w:rsidR="003F6A2F" w:rsidRPr="003F6A2F" w:rsidRDefault="003F6A2F" w:rsidP="005E7DA2">
      <w:pPr>
        <w:numPr>
          <w:ilvl w:val="0"/>
          <w:numId w:val="4"/>
        </w:numPr>
        <w:spacing w:after="0" w:line="240" w:lineRule="auto"/>
        <w:jc w:val="both"/>
        <w:rPr>
          <w:rFonts w:ascii="Times New Roman" w:hAnsi="Times New Roman" w:cs="Times New Roman"/>
        </w:rPr>
      </w:pPr>
      <w:r w:rsidRPr="003F6A2F">
        <w:rPr>
          <w:rFonts w:ascii="Times New Roman" w:hAnsi="Times New Roman" w:cs="Times New Roman"/>
          <w:b/>
          <w:bCs/>
        </w:rPr>
        <w:t>Pricing:</w:t>
      </w:r>
      <w:r w:rsidRPr="003F6A2F">
        <w:rPr>
          <w:rFonts w:ascii="Times New Roman" w:hAnsi="Times New Roman" w:cs="Times New Roman"/>
        </w:rPr>
        <w:t xml:space="preserve"> Oil-indexed (S-curve, 11–14.5% slope) with limited spot exposure</w:t>
      </w:r>
    </w:p>
    <w:p w14:paraId="71D257BB"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Rovuma LNG (Area 4) commercial structure:</w:t>
      </w:r>
    </w:p>
    <w:p w14:paraId="2D7C9AFE" w14:textId="77777777" w:rsidR="003F6A2F" w:rsidRPr="003F6A2F" w:rsidRDefault="003F6A2F" w:rsidP="005E7DA2">
      <w:pPr>
        <w:numPr>
          <w:ilvl w:val="0"/>
          <w:numId w:val="5"/>
        </w:numPr>
        <w:spacing w:after="0" w:line="240" w:lineRule="auto"/>
        <w:jc w:val="both"/>
        <w:rPr>
          <w:rFonts w:ascii="Times New Roman" w:hAnsi="Times New Roman" w:cs="Times New Roman"/>
        </w:rPr>
      </w:pPr>
      <w:r w:rsidRPr="003F6A2F">
        <w:rPr>
          <w:rFonts w:ascii="Times New Roman" w:hAnsi="Times New Roman" w:cs="Times New Roman"/>
          <w:b/>
          <w:bCs/>
        </w:rPr>
        <w:t>Capacity:</w:t>
      </w:r>
      <w:r w:rsidRPr="003F6A2F">
        <w:rPr>
          <w:rFonts w:ascii="Times New Roman" w:hAnsi="Times New Roman" w:cs="Times New Roman"/>
        </w:rPr>
        <w:t xml:space="preserve"> 18 MTPA (two trains)</w:t>
      </w:r>
    </w:p>
    <w:p w14:paraId="2052D812" w14:textId="77777777" w:rsidR="003F6A2F" w:rsidRPr="003F6A2F" w:rsidRDefault="003F6A2F" w:rsidP="005E7DA2">
      <w:pPr>
        <w:numPr>
          <w:ilvl w:val="0"/>
          <w:numId w:val="5"/>
        </w:numPr>
        <w:spacing w:after="0" w:line="240" w:lineRule="auto"/>
        <w:jc w:val="both"/>
        <w:rPr>
          <w:rFonts w:ascii="Times New Roman" w:hAnsi="Times New Roman" w:cs="Times New Roman"/>
        </w:rPr>
      </w:pPr>
      <w:r w:rsidRPr="003F6A2F">
        <w:rPr>
          <w:rFonts w:ascii="Times New Roman" w:hAnsi="Times New Roman" w:cs="Times New Roman"/>
          <w:b/>
          <w:bCs/>
        </w:rPr>
        <w:t>FID:</w:t>
      </w:r>
      <w:r w:rsidRPr="003F6A2F">
        <w:rPr>
          <w:rFonts w:ascii="Times New Roman" w:hAnsi="Times New Roman" w:cs="Times New Roman"/>
        </w:rPr>
        <w:t xml:space="preserve"> Anticipated 2026</w:t>
      </w:r>
    </w:p>
    <w:p w14:paraId="2537DD31" w14:textId="77777777" w:rsidR="003F6A2F" w:rsidRPr="003F6A2F" w:rsidRDefault="003F6A2F" w:rsidP="005E7DA2">
      <w:pPr>
        <w:numPr>
          <w:ilvl w:val="0"/>
          <w:numId w:val="5"/>
        </w:numPr>
        <w:spacing w:after="0" w:line="240" w:lineRule="auto"/>
        <w:jc w:val="both"/>
        <w:rPr>
          <w:rFonts w:ascii="Times New Roman" w:hAnsi="Times New Roman" w:cs="Times New Roman"/>
        </w:rPr>
      </w:pPr>
      <w:r w:rsidRPr="003F6A2F">
        <w:rPr>
          <w:rFonts w:ascii="Times New Roman" w:hAnsi="Times New Roman" w:cs="Times New Roman"/>
          <w:b/>
          <w:bCs/>
        </w:rPr>
        <w:t>Reserves:</w:t>
      </w:r>
      <w:r w:rsidRPr="003F6A2F">
        <w:rPr>
          <w:rFonts w:ascii="Times New Roman" w:hAnsi="Times New Roman" w:cs="Times New Roman"/>
        </w:rPr>
        <w:t xml:space="preserve"> 21.7 TCF developed from Mamba complex </w:t>
      </w:r>
    </w:p>
    <w:p w14:paraId="6B2D728C" w14:textId="77777777" w:rsidR="003F6A2F" w:rsidRPr="003F6A2F" w:rsidRDefault="003F6A2F" w:rsidP="005E7DA2">
      <w:pPr>
        <w:numPr>
          <w:ilvl w:val="0"/>
          <w:numId w:val="5"/>
        </w:numPr>
        <w:spacing w:after="0" w:line="240" w:lineRule="auto"/>
        <w:jc w:val="both"/>
        <w:rPr>
          <w:rFonts w:ascii="Times New Roman" w:hAnsi="Times New Roman" w:cs="Times New Roman"/>
        </w:rPr>
      </w:pPr>
      <w:r w:rsidRPr="003F6A2F">
        <w:rPr>
          <w:rFonts w:ascii="Times New Roman" w:hAnsi="Times New Roman" w:cs="Times New Roman"/>
          <w:b/>
          <w:bCs/>
        </w:rPr>
        <w:t>Offtake:</w:t>
      </w:r>
      <w:r w:rsidRPr="003F6A2F">
        <w:rPr>
          <w:rFonts w:ascii="Times New Roman" w:hAnsi="Times New Roman" w:cs="Times New Roman"/>
        </w:rPr>
        <w:t xml:space="preserve"> ExxonMobil portfolio marketing, Indian and Asian utility buyers</w:t>
      </w:r>
    </w:p>
    <w:p w14:paraId="49904538"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Coral South FLNG (3.4 MTPA, operational) and Coral North FLNG (3.6 MTPA, under construction) provide near-term cash flow but limited domestic gas offtake due to floating facility constraints.</w:t>
      </w:r>
    </w:p>
    <w:p w14:paraId="3EBC3F99"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lastRenderedPageBreak/>
        <w:t>Fiscal Terms:</w:t>
      </w:r>
      <w:r w:rsidRPr="003F6A2F">
        <w:rPr>
          <w:rFonts w:ascii="Times New Roman" w:hAnsi="Times New Roman" w:cs="Times New Roman"/>
        </w:rPr>
        <w:t xml:space="preserve"> Government revenue derives from:</w:t>
      </w:r>
    </w:p>
    <w:p w14:paraId="56E0AAA5" w14:textId="77777777" w:rsidR="003F6A2F" w:rsidRPr="003F6A2F" w:rsidRDefault="003F6A2F" w:rsidP="005E7DA2">
      <w:pPr>
        <w:numPr>
          <w:ilvl w:val="0"/>
          <w:numId w:val="6"/>
        </w:numPr>
        <w:spacing w:after="0" w:line="240" w:lineRule="auto"/>
        <w:jc w:val="both"/>
        <w:rPr>
          <w:rFonts w:ascii="Times New Roman" w:hAnsi="Times New Roman" w:cs="Times New Roman"/>
        </w:rPr>
      </w:pPr>
      <w:r w:rsidRPr="003F6A2F">
        <w:rPr>
          <w:rFonts w:ascii="Times New Roman" w:hAnsi="Times New Roman" w:cs="Times New Roman"/>
        </w:rPr>
        <w:t>Royalty: ~2% on gas, ~3% on condensate (increasing 2 percentage points every ten years)</w:t>
      </w:r>
    </w:p>
    <w:p w14:paraId="03FF6286" w14:textId="77777777" w:rsidR="003F6A2F" w:rsidRPr="003F6A2F" w:rsidRDefault="003F6A2F" w:rsidP="005E7DA2">
      <w:pPr>
        <w:numPr>
          <w:ilvl w:val="0"/>
          <w:numId w:val="6"/>
        </w:numPr>
        <w:spacing w:after="0" w:line="240" w:lineRule="auto"/>
        <w:jc w:val="both"/>
        <w:rPr>
          <w:rFonts w:ascii="Times New Roman" w:hAnsi="Times New Roman" w:cs="Times New Roman"/>
        </w:rPr>
      </w:pPr>
      <w:r w:rsidRPr="003F6A2F">
        <w:rPr>
          <w:rFonts w:ascii="Times New Roman" w:hAnsi="Times New Roman" w:cs="Times New Roman"/>
        </w:rPr>
        <w:t>Cost recovery ceiling: 65–75% of net revenues during payback</w:t>
      </w:r>
    </w:p>
    <w:p w14:paraId="77735557" w14:textId="77777777" w:rsidR="003F6A2F" w:rsidRPr="003F6A2F" w:rsidRDefault="003F6A2F" w:rsidP="005E7DA2">
      <w:pPr>
        <w:numPr>
          <w:ilvl w:val="0"/>
          <w:numId w:val="6"/>
        </w:numPr>
        <w:spacing w:after="0" w:line="240" w:lineRule="auto"/>
        <w:jc w:val="both"/>
        <w:rPr>
          <w:rFonts w:ascii="Times New Roman" w:hAnsi="Times New Roman" w:cs="Times New Roman"/>
        </w:rPr>
      </w:pPr>
      <w:r w:rsidRPr="003F6A2F">
        <w:rPr>
          <w:rFonts w:ascii="Times New Roman" w:hAnsi="Times New Roman" w:cs="Times New Roman"/>
        </w:rPr>
        <w:t>Profit petroleum split: R-factor progressive sliding scale</w:t>
      </w:r>
    </w:p>
    <w:p w14:paraId="1E9DE052" w14:textId="77777777" w:rsidR="003F6A2F" w:rsidRPr="003F6A2F" w:rsidRDefault="003F6A2F" w:rsidP="005E7DA2">
      <w:pPr>
        <w:numPr>
          <w:ilvl w:val="0"/>
          <w:numId w:val="6"/>
        </w:numPr>
        <w:spacing w:after="0" w:line="240" w:lineRule="auto"/>
        <w:jc w:val="both"/>
        <w:rPr>
          <w:rFonts w:ascii="Times New Roman" w:hAnsi="Times New Roman" w:cs="Times New Roman"/>
        </w:rPr>
      </w:pPr>
      <w:r w:rsidRPr="003F6A2F">
        <w:rPr>
          <w:rFonts w:ascii="Times New Roman" w:hAnsi="Times New Roman" w:cs="Times New Roman"/>
        </w:rPr>
        <w:t xml:space="preserve">Corporate income tax: 32% </w:t>
      </w:r>
    </w:p>
    <w:p w14:paraId="29B36B0E" w14:textId="6F79E4E6" w:rsidR="003F6A2F" w:rsidRPr="003F6A2F" w:rsidRDefault="003F6A2F" w:rsidP="005E7DA2">
      <w:pPr>
        <w:spacing w:line="240" w:lineRule="auto"/>
        <w:jc w:val="both"/>
        <w:rPr>
          <w:rFonts w:ascii="Times New Roman" w:hAnsi="Times New Roman" w:cs="Times New Roman"/>
        </w:rPr>
      </w:pPr>
    </w:p>
    <w:p w14:paraId="631EB394"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3. Domestic Market Obligation (DMO) Framework</w:t>
      </w:r>
    </w:p>
    <w:p w14:paraId="3570D33D" w14:textId="23AA8ACD"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Mozambique's DMO framework mandates that Area 1 and Area 4 concessionaires allocate a combined 900 </w:t>
      </w:r>
      <w:proofErr w:type="spellStart"/>
      <w:r w:rsidRPr="003F6A2F">
        <w:rPr>
          <w:rFonts w:ascii="Times New Roman" w:hAnsi="Times New Roman" w:cs="Times New Roman"/>
        </w:rPr>
        <w:t>MMscf</w:t>
      </w:r>
      <w:proofErr w:type="spellEnd"/>
      <w:r w:rsidRPr="003F6A2F">
        <w:rPr>
          <w:rFonts w:ascii="Times New Roman" w:hAnsi="Times New Roman" w:cs="Times New Roman"/>
        </w:rPr>
        <w:t>/d for domestic use:</w:t>
      </w:r>
    </w:p>
    <w:tbl>
      <w:tblPr>
        <w:tblStyle w:val="TableGrid"/>
        <w:tblW w:w="0" w:type="auto"/>
        <w:tblLook w:val="04A0" w:firstRow="1" w:lastRow="0" w:firstColumn="1" w:lastColumn="0" w:noHBand="0" w:noVBand="1"/>
      </w:tblPr>
      <w:tblGrid>
        <w:gridCol w:w="956"/>
        <w:gridCol w:w="2051"/>
        <w:gridCol w:w="2051"/>
        <w:gridCol w:w="741"/>
        <w:gridCol w:w="1996"/>
      </w:tblGrid>
      <w:tr w:rsidR="003F6A2F" w:rsidRPr="003F6A2F" w14:paraId="68FA365A" w14:textId="77777777" w:rsidTr="003E3C7E">
        <w:tc>
          <w:tcPr>
            <w:tcW w:w="0" w:type="auto"/>
            <w:hideMark/>
          </w:tcPr>
          <w:p w14:paraId="44649B1C" w14:textId="77777777" w:rsidR="003F6A2F" w:rsidRPr="003F6A2F" w:rsidRDefault="003F6A2F" w:rsidP="005E7DA2">
            <w:pPr>
              <w:spacing w:after="160"/>
              <w:jc w:val="both"/>
              <w:rPr>
                <w:rFonts w:ascii="Times New Roman" w:hAnsi="Times New Roman" w:cs="Times New Roman"/>
                <w:b/>
                <w:bCs/>
              </w:rPr>
            </w:pPr>
            <w:r w:rsidRPr="003F6A2F">
              <w:rPr>
                <w:rFonts w:ascii="Times New Roman" w:hAnsi="Times New Roman" w:cs="Times New Roman"/>
                <w:b/>
                <w:bCs/>
              </w:rPr>
              <w:t>Phase</w:t>
            </w:r>
          </w:p>
        </w:tc>
        <w:tc>
          <w:tcPr>
            <w:tcW w:w="0" w:type="auto"/>
            <w:hideMark/>
          </w:tcPr>
          <w:p w14:paraId="629F53BE" w14:textId="77777777" w:rsidR="003F6A2F" w:rsidRPr="003F6A2F" w:rsidRDefault="003F6A2F" w:rsidP="005E7DA2">
            <w:pPr>
              <w:spacing w:after="160"/>
              <w:jc w:val="both"/>
              <w:rPr>
                <w:rFonts w:ascii="Times New Roman" w:hAnsi="Times New Roman" w:cs="Times New Roman"/>
                <w:b/>
                <w:bCs/>
              </w:rPr>
            </w:pPr>
            <w:r w:rsidRPr="003F6A2F">
              <w:rPr>
                <w:rFonts w:ascii="Times New Roman" w:hAnsi="Times New Roman" w:cs="Times New Roman"/>
                <w:b/>
                <w:bCs/>
              </w:rPr>
              <w:t>Area 1 (</w:t>
            </w:r>
            <w:proofErr w:type="spellStart"/>
            <w:r w:rsidRPr="003F6A2F">
              <w:rPr>
                <w:rFonts w:ascii="Times New Roman" w:hAnsi="Times New Roman" w:cs="Times New Roman"/>
                <w:b/>
                <w:bCs/>
              </w:rPr>
              <w:t>MMscf</w:t>
            </w:r>
            <w:proofErr w:type="spellEnd"/>
            <w:r w:rsidRPr="003F6A2F">
              <w:rPr>
                <w:rFonts w:ascii="Times New Roman" w:hAnsi="Times New Roman" w:cs="Times New Roman"/>
                <w:b/>
                <w:bCs/>
              </w:rPr>
              <w:t>/d)</w:t>
            </w:r>
          </w:p>
        </w:tc>
        <w:tc>
          <w:tcPr>
            <w:tcW w:w="0" w:type="auto"/>
            <w:hideMark/>
          </w:tcPr>
          <w:p w14:paraId="155C804F" w14:textId="77777777" w:rsidR="003F6A2F" w:rsidRPr="003F6A2F" w:rsidRDefault="003F6A2F" w:rsidP="005E7DA2">
            <w:pPr>
              <w:spacing w:after="160"/>
              <w:jc w:val="both"/>
              <w:rPr>
                <w:rFonts w:ascii="Times New Roman" w:hAnsi="Times New Roman" w:cs="Times New Roman"/>
                <w:b/>
                <w:bCs/>
              </w:rPr>
            </w:pPr>
            <w:r w:rsidRPr="003F6A2F">
              <w:rPr>
                <w:rFonts w:ascii="Times New Roman" w:hAnsi="Times New Roman" w:cs="Times New Roman"/>
                <w:b/>
                <w:bCs/>
              </w:rPr>
              <w:t>Area 4 (</w:t>
            </w:r>
            <w:proofErr w:type="spellStart"/>
            <w:r w:rsidRPr="003F6A2F">
              <w:rPr>
                <w:rFonts w:ascii="Times New Roman" w:hAnsi="Times New Roman" w:cs="Times New Roman"/>
                <w:b/>
                <w:bCs/>
              </w:rPr>
              <w:t>MMscf</w:t>
            </w:r>
            <w:proofErr w:type="spellEnd"/>
            <w:r w:rsidRPr="003F6A2F">
              <w:rPr>
                <w:rFonts w:ascii="Times New Roman" w:hAnsi="Times New Roman" w:cs="Times New Roman"/>
                <w:b/>
                <w:bCs/>
              </w:rPr>
              <w:t>/d)</w:t>
            </w:r>
          </w:p>
        </w:tc>
        <w:tc>
          <w:tcPr>
            <w:tcW w:w="0" w:type="auto"/>
            <w:hideMark/>
          </w:tcPr>
          <w:p w14:paraId="18B319D6" w14:textId="77777777" w:rsidR="003F6A2F" w:rsidRPr="003F6A2F" w:rsidRDefault="003F6A2F" w:rsidP="005E7DA2">
            <w:pPr>
              <w:spacing w:after="160"/>
              <w:jc w:val="both"/>
              <w:rPr>
                <w:rFonts w:ascii="Times New Roman" w:hAnsi="Times New Roman" w:cs="Times New Roman"/>
                <w:b/>
                <w:bCs/>
              </w:rPr>
            </w:pPr>
            <w:r w:rsidRPr="003F6A2F">
              <w:rPr>
                <w:rFonts w:ascii="Times New Roman" w:hAnsi="Times New Roman" w:cs="Times New Roman"/>
                <w:b/>
                <w:bCs/>
              </w:rPr>
              <w:t>Total</w:t>
            </w:r>
          </w:p>
        </w:tc>
        <w:tc>
          <w:tcPr>
            <w:tcW w:w="0" w:type="auto"/>
            <w:hideMark/>
          </w:tcPr>
          <w:p w14:paraId="29F2F6FE" w14:textId="77777777" w:rsidR="003F6A2F" w:rsidRPr="003F6A2F" w:rsidRDefault="003F6A2F" w:rsidP="005E7DA2">
            <w:pPr>
              <w:spacing w:after="160"/>
              <w:jc w:val="both"/>
              <w:rPr>
                <w:rFonts w:ascii="Times New Roman" w:hAnsi="Times New Roman" w:cs="Times New Roman"/>
                <w:b/>
                <w:bCs/>
              </w:rPr>
            </w:pPr>
            <w:r w:rsidRPr="003F6A2F">
              <w:rPr>
                <w:rFonts w:ascii="Times New Roman" w:hAnsi="Times New Roman" w:cs="Times New Roman"/>
                <w:b/>
                <w:bCs/>
              </w:rPr>
              <w:t>Timing</w:t>
            </w:r>
          </w:p>
        </w:tc>
      </w:tr>
      <w:tr w:rsidR="003F6A2F" w:rsidRPr="003F6A2F" w14:paraId="67B6BE78" w14:textId="77777777" w:rsidTr="003E3C7E">
        <w:tc>
          <w:tcPr>
            <w:tcW w:w="0" w:type="auto"/>
            <w:hideMark/>
          </w:tcPr>
          <w:p w14:paraId="620410DB"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Phase 1</w:t>
            </w:r>
          </w:p>
        </w:tc>
        <w:tc>
          <w:tcPr>
            <w:tcW w:w="0" w:type="auto"/>
            <w:hideMark/>
          </w:tcPr>
          <w:p w14:paraId="51078C8E"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100</w:t>
            </w:r>
          </w:p>
        </w:tc>
        <w:tc>
          <w:tcPr>
            <w:tcW w:w="0" w:type="auto"/>
            <w:hideMark/>
          </w:tcPr>
          <w:p w14:paraId="29A80C1D"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150</w:t>
            </w:r>
          </w:p>
        </w:tc>
        <w:tc>
          <w:tcPr>
            <w:tcW w:w="0" w:type="auto"/>
            <w:hideMark/>
          </w:tcPr>
          <w:p w14:paraId="2EE576EC"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250</w:t>
            </w:r>
          </w:p>
        </w:tc>
        <w:tc>
          <w:tcPr>
            <w:tcW w:w="0" w:type="auto"/>
            <w:hideMark/>
          </w:tcPr>
          <w:p w14:paraId="34101307"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LNG start-up</w:t>
            </w:r>
          </w:p>
        </w:tc>
      </w:tr>
      <w:tr w:rsidR="003F6A2F" w:rsidRPr="003F6A2F" w14:paraId="72555813" w14:textId="77777777" w:rsidTr="003E3C7E">
        <w:tc>
          <w:tcPr>
            <w:tcW w:w="0" w:type="auto"/>
            <w:hideMark/>
          </w:tcPr>
          <w:p w14:paraId="68B5F402"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Phase 2</w:t>
            </w:r>
          </w:p>
        </w:tc>
        <w:tc>
          <w:tcPr>
            <w:tcW w:w="0" w:type="auto"/>
            <w:hideMark/>
          </w:tcPr>
          <w:p w14:paraId="275ED894"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300</w:t>
            </w:r>
          </w:p>
        </w:tc>
        <w:tc>
          <w:tcPr>
            <w:tcW w:w="0" w:type="auto"/>
            <w:hideMark/>
          </w:tcPr>
          <w:p w14:paraId="7CA77629"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350</w:t>
            </w:r>
          </w:p>
        </w:tc>
        <w:tc>
          <w:tcPr>
            <w:tcW w:w="0" w:type="auto"/>
            <w:hideMark/>
          </w:tcPr>
          <w:p w14:paraId="3F6CFF47"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650</w:t>
            </w:r>
          </w:p>
        </w:tc>
        <w:tc>
          <w:tcPr>
            <w:tcW w:w="0" w:type="auto"/>
            <w:hideMark/>
          </w:tcPr>
          <w:p w14:paraId="538A0E59"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Post cost-recovery</w:t>
            </w:r>
          </w:p>
        </w:tc>
      </w:tr>
      <w:tr w:rsidR="003F6A2F" w:rsidRPr="003F6A2F" w14:paraId="1306DED4" w14:textId="77777777" w:rsidTr="003E3C7E">
        <w:tc>
          <w:tcPr>
            <w:tcW w:w="0" w:type="auto"/>
            <w:hideMark/>
          </w:tcPr>
          <w:p w14:paraId="4F20D8BF"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b/>
                <w:bCs/>
              </w:rPr>
              <w:t>Total</w:t>
            </w:r>
          </w:p>
        </w:tc>
        <w:tc>
          <w:tcPr>
            <w:tcW w:w="0" w:type="auto"/>
            <w:hideMark/>
          </w:tcPr>
          <w:p w14:paraId="3A27FD5D"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b/>
                <w:bCs/>
              </w:rPr>
              <w:t>400</w:t>
            </w:r>
          </w:p>
        </w:tc>
        <w:tc>
          <w:tcPr>
            <w:tcW w:w="0" w:type="auto"/>
            <w:hideMark/>
          </w:tcPr>
          <w:p w14:paraId="2B2FBACB"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b/>
                <w:bCs/>
              </w:rPr>
              <w:t>500</w:t>
            </w:r>
          </w:p>
        </w:tc>
        <w:tc>
          <w:tcPr>
            <w:tcW w:w="0" w:type="auto"/>
            <w:hideMark/>
          </w:tcPr>
          <w:p w14:paraId="611DC7B3"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b/>
                <w:bCs/>
              </w:rPr>
              <w:t>900</w:t>
            </w:r>
          </w:p>
        </w:tc>
        <w:tc>
          <w:tcPr>
            <w:tcW w:w="0" w:type="auto"/>
            <w:hideMark/>
          </w:tcPr>
          <w:p w14:paraId="4E830295"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Full plateau</w:t>
            </w:r>
          </w:p>
        </w:tc>
      </w:tr>
    </w:tbl>
    <w:p w14:paraId="2D27DDF9" w14:textId="77777777" w:rsidR="003E3C7E" w:rsidRDefault="003E3C7E" w:rsidP="005E7DA2">
      <w:pPr>
        <w:spacing w:line="240" w:lineRule="auto"/>
        <w:jc w:val="both"/>
        <w:rPr>
          <w:rFonts w:ascii="Times New Roman" w:hAnsi="Times New Roman" w:cs="Times New Roman"/>
          <w:b/>
          <w:bCs/>
        </w:rPr>
      </w:pPr>
    </w:p>
    <w:p w14:paraId="099F368C" w14:textId="6A53D539"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t>Critical constraint:</w:t>
      </w:r>
      <w:r w:rsidRPr="003F6A2F">
        <w:rPr>
          <w:rFonts w:ascii="Times New Roman" w:hAnsi="Times New Roman" w:cs="Times New Roman"/>
        </w:rPr>
        <w:t xml:space="preserve"> DMO gas is virtually all contracted to LNG export projects. The 900 </w:t>
      </w:r>
      <w:proofErr w:type="spellStart"/>
      <w:r w:rsidRPr="003F6A2F">
        <w:rPr>
          <w:rFonts w:ascii="Times New Roman" w:hAnsi="Times New Roman" w:cs="Times New Roman"/>
        </w:rPr>
        <w:t>MMscf</w:t>
      </w:r>
      <w:proofErr w:type="spellEnd"/>
      <w:r w:rsidRPr="003F6A2F">
        <w:rPr>
          <w:rFonts w:ascii="Times New Roman" w:hAnsi="Times New Roman" w:cs="Times New Roman"/>
        </w:rPr>
        <w:t xml:space="preserve">/d represents less than 5% of total Rovuma production but faces a fundamental </w:t>
      </w:r>
      <w:r w:rsidRPr="003F6A2F">
        <w:rPr>
          <w:rFonts w:ascii="Times New Roman" w:hAnsi="Times New Roman" w:cs="Times New Roman"/>
          <w:b/>
          <w:bCs/>
        </w:rPr>
        <w:t>absorption problem</w:t>
      </w:r>
      <w:r w:rsidRPr="003F6A2F">
        <w:rPr>
          <w:rFonts w:ascii="Times New Roman" w:hAnsi="Times New Roman" w:cs="Times New Roman"/>
        </w:rPr>
        <w:t xml:space="preserve">. Mozambique lacks credible offtake projects at scale. The 450 MW </w:t>
      </w:r>
      <w:proofErr w:type="spellStart"/>
      <w:r w:rsidRPr="003F6A2F">
        <w:rPr>
          <w:rFonts w:ascii="Times New Roman" w:hAnsi="Times New Roman" w:cs="Times New Roman"/>
        </w:rPr>
        <w:t>Temane</w:t>
      </w:r>
      <w:proofErr w:type="spellEnd"/>
      <w:r w:rsidRPr="003F6A2F">
        <w:rPr>
          <w:rFonts w:ascii="Times New Roman" w:hAnsi="Times New Roman" w:cs="Times New Roman"/>
        </w:rPr>
        <w:t xml:space="preserve"> gas plant and Nacala GTP (+650 MW) are insufficient to anchor Phase 2 volumes. Without industrial </w:t>
      </w:r>
      <w:proofErr w:type="spellStart"/>
      <w:r w:rsidRPr="003F6A2F">
        <w:rPr>
          <w:rFonts w:ascii="Times New Roman" w:hAnsi="Times New Roman" w:cs="Times New Roman"/>
        </w:rPr>
        <w:t>fertiliser</w:t>
      </w:r>
      <w:proofErr w:type="spellEnd"/>
      <w:r w:rsidRPr="003F6A2F">
        <w:rPr>
          <w:rFonts w:ascii="Times New Roman" w:hAnsi="Times New Roman" w:cs="Times New Roman"/>
        </w:rPr>
        <w:t>, methanol, or steel projects reaching FID, DMO gas risks being re-exported as LNG or flared.</w:t>
      </w:r>
    </w:p>
    <w:p w14:paraId="3BFC4FEF" w14:textId="6D7B735E" w:rsidR="003F6A2F" w:rsidRPr="003F6A2F" w:rsidRDefault="003F6A2F" w:rsidP="005E7DA2">
      <w:pPr>
        <w:spacing w:line="240" w:lineRule="auto"/>
        <w:jc w:val="both"/>
        <w:rPr>
          <w:rFonts w:ascii="Times New Roman" w:hAnsi="Times New Roman" w:cs="Times New Roman"/>
        </w:rPr>
      </w:pPr>
    </w:p>
    <w:p w14:paraId="59934AB5"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4. Domestic Industrial Gas Demand Outlook</w:t>
      </w:r>
    </w:p>
    <w:p w14:paraId="02A5D527"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Mozambique's domestic gas demand is currently dominated by:</w:t>
      </w:r>
    </w:p>
    <w:p w14:paraId="2EEEF304" w14:textId="77777777" w:rsidR="003F6A2F" w:rsidRPr="003F6A2F" w:rsidRDefault="003F6A2F" w:rsidP="005E7DA2">
      <w:pPr>
        <w:numPr>
          <w:ilvl w:val="0"/>
          <w:numId w:val="7"/>
        </w:numPr>
        <w:spacing w:after="0" w:line="240" w:lineRule="auto"/>
        <w:jc w:val="both"/>
        <w:rPr>
          <w:rFonts w:ascii="Times New Roman" w:hAnsi="Times New Roman" w:cs="Times New Roman"/>
        </w:rPr>
      </w:pPr>
      <w:r w:rsidRPr="003F6A2F">
        <w:rPr>
          <w:rFonts w:ascii="Times New Roman" w:hAnsi="Times New Roman" w:cs="Times New Roman"/>
          <w:b/>
          <w:bCs/>
        </w:rPr>
        <w:t>Power generation:</w:t>
      </w:r>
      <w:r w:rsidRPr="003F6A2F">
        <w:rPr>
          <w:rFonts w:ascii="Times New Roman" w:hAnsi="Times New Roman" w:cs="Times New Roman"/>
        </w:rPr>
        <w:t xml:space="preserve"> ~38 PJ/year (</w:t>
      </w:r>
      <w:proofErr w:type="spellStart"/>
      <w:r w:rsidRPr="003F6A2F">
        <w:rPr>
          <w:rFonts w:ascii="Times New Roman" w:hAnsi="Times New Roman" w:cs="Times New Roman"/>
        </w:rPr>
        <w:t>Temane</w:t>
      </w:r>
      <w:proofErr w:type="spellEnd"/>
      <w:r w:rsidRPr="003F6A2F">
        <w:rPr>
          <w:rFonts w:ascii="Times New Roman" w:hAnsi="Times New Roman" w:cs="Times New Roman"/>
        </w:rPr>
        <w:t xml:space="preserve">, </w:t>
      </w:r>
      <w:proofErr w:type="spellStart"/>
      <w:r w:rsidRPr="003F6A2F">
        <w:rPr>
          <w:rFonts w:ascii="Times New Roman" w:hAnsi="Times New Roman" w:cs="Times New Roman"/>
        </w:rPr>
        <w:t>Ressano</w:t>
      </w:r>
      <w:proofErr w:type="spellEnd"/>
      <w:r w:rsidRPr="003F6A2F">
        <w:rPr>
          <w:rFonts w:ascii="Times New Roman" w:hAnsi="Times New Roman" w:cs="Times New Roman"/>
        </w:rPr>
        <w:t xml:space="preserve"> Garcia, Nacala emergency plant)</w:t>
      </w:r>
    </w:p>
    <w:p w14:paraId="1FED9CA0" w14:textId="77777777" w:rsidR="003F6A2F" w:rsidRPr="003F6A2F" w:rsidRDefault="003F6A2F" w:rsidP="005E7DA2">
      <w:pPr>
        <w:numPr>
          <w:ilvl w:val="0"/>
          <w:numId w:val="7"/>
        </w:numPr>
        <w:spacing w:after="0" w:line="240" w:lineRule="auto"/>
        <w:jc w:val="both"/>
        <w:rPr>
          <w:rFonts w:ascii="Times New Roman" w:hAnsi="Times New Roman" w:cs="Times New Roman"/>
        </w:rPr>
      </w:pPr>
      <w:r w:rsidRPr="003F6A2F">
        <w:rPr>
          <w:rFonts w:ascii="Times New Roman" w:hAnsi="Times New Roman" w:cs="Times New Roman"/>
          <w:b/>
          <w:bCs/>
        </w:rPr>
        <w:t>Industry:</w:t>
      </w:r>
      <w:r w:rsidRPr="003F6A2F">
        <w:rPr>
          <w:rFonts w:ascii="Times New Roman" w:hAnsi="Times New Roman" w:cs="Times New Roman"/>
        </w:rPr>
        <w:t xml:space="preserve"> Cement, ceramics, metal processing (~15 PJ/year)</w:t>
      </w:r>
    </w:p>
    <w:p w14:paraId="799E6B21" w14:textId="77777777" w:rsidR="003F6A2F" w:rsidRDefault="003F6A2F" w:rsidP="005E7DA2">
      <w:pPr>
        <w:numPr>
          <w:ilvl w:val="0"/>
          <w:numId w:val="7"/>
        </w:numPr>
        <w:spacing w:after="0" w:line="240" w:lineRule="auto"/>
        <w:jc w:val="both"/>
        <w:rPr>
          <w:rFonts w:ascii="Times New Roman" w:hAnsi="Times New Roman" w:cs="Times New Roman"/>
        </w:rPr>
      </w:pPr>
      <w:r w:rsidRPr="003F6A2F">
        <w:rPr>
          <w:rFonts w:ascii="Times New Roman" w:hAnsi="Times New Roman" w:cs="Times New Roman"/>
          <w:b/>
          <w:bCs/>
        </w:rPr>
        <w:t>Transport:</w:t>
      </w:r>
      <w:r w:rsidRPr="003F6A2F">
        <w:rPr>
          <w:rFonts w:ascii="Times New Roman" w:hAnsi="Times New Roman" w:cs="Times New Roman"/>
        </w:rPr>
        <w:t xml:space="preserve"> Minimal CNG penetration</w:t>
      </w:r>
    </w:p>
    <w:p w14:paraId="5C83DC5E" w14:textId="77777777" w:rsidR="003E3C7E" w:rsidRPr="003F6A2F" w:rsidRDefault="003E3C7E" w:rsidP="005E7DA2">
      <w:pPr>
        <w:spacing w:after="0" w:line="240" w:lineRule="auto"/>
        <w:ind w:left="720"/>
        <w:jc w:val="both"/>
        <w:rPr>
          <w:rFonts w:ascii="Times New Roman" w:hAnsi="Times New Roman" w:cs="Times New Roman"/>
        </w:rPr>
      </w:pPr>
    </w:p>
    <w:p w14:paraId="4D80DC5B"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The SADC Regional Gas Master Plan identifies Nacala as a potential gas hub for </w:t>
      </w:r>
      <w:proofErr w:type="spellStart"/>
      <w:r w:rsidRPr="003F6A2F">
        <w:rPr>
          <w:rFonts w:ascii="Times New Roman" w:hAnsi="Times New Roman" w:cs="Times New Roman"/>
        </w:rPr>
        <w:t>fertiliser</w:t>
      </w:r>
      <w:proofErr w:type="spellEnd"/>
      <w:r w:rsidRPr="003F6A2F">
        <w:rPr>
          <w:rFonts w:ascii="Times New Roman" w:hAnsi="Times New Roman" w:cs="Times New Roman"/>
        </w:rPr>
        <w:t xml:space="preserve">, steel, and petrochemicals </w:t>
      </w:r>
    </w:p>
    <w:p w14:paraId="63926334"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However, techno-economic analysis indicates that at delivered gas prices above $6/MMBtu, many downstream projects fail to achieve hurdle rates. The government's challenge is to balance:</w:t>
      </w:r>
    </w:p>
    <w:p w14:paraId="01F49B0F" w14:textId="2DC14F5F" w:rsidR="003F6A2F" w:rsidRPr="003F6A2F" w:rsidRDefault="003F6A2F" w:rsidP="005E7DA2">
      <w:pPr>
        <w:numPr>
          <w:ilvl w:val="0"/>
          <w:numId w:val="8"/>
        </w:numPr>
        <w:spacing w:after="0" w:line="240" w:lineRule="auto"/>
        <w:jc w:val="both"/>
        <w:rPr>
          <w:rFonts w:ascii="Times New Roman" w:hAnsi="Times New Roman" w:cs="Times New Roman"/>
        </w:rPr>
      </w:pPr>
      <w:r w:rsidRPr="003F6A2F">
        <w:rPr>
          <w:rFonts w:ascii="Times New Roman" w:hAnsi="Times New Roman" w:cs="Times New Roman"/>
          <w:b/>
          <w:bCs/>
        </w:rPr>
        <w:t>Low DMO prices</w:t>
      </w:r>
      <w:r w:rsidRPr="003F6A2F">
        <w:rPr>
          <w:rFonts w:ascii="Times New Roman" w:hAnsi="Times New Roman" w:cs="Times New Roman"/>
        </w:rPr>
        <w:t xml:space="preserve"> ($3–5/MMBtu) to </w:t>
      </w:r>
      <w:r w:rsidR="003E3C7E" w:rsidRPr="003F6A2F">
        <w:rPr>
          <w:rFonts w:ascii="Times New Roman" w:hAnsi="Times New Roman" w:cs="Times New Roman"/>
        </w:rPr>
        <w:t>incentivize</w:t>
      </w:r>
      <w:r w:rsidRPr="003F6A2F">
        <w:rPr>
          <w:rFonts w:ascii="Times New Roman" w:hAnsi="Times New Roman" w:cs="Times New Roman"/>
        </w:rPr>
        <w:t xml:space="preserve"> </w:t>
      </w:r>
      <w:r w:rsidR="003E3C7E" w:rsidRPr="003F6A2F">
        <w:rPr>
          <w:rFonts w:ascii="Times New Roman" w:hAnsi="Times New Roman" w:cs="Times New Roman"/>
        </w:rPr>
        <w:t>industrialization</w:t>
      </w:r>
    </w:p>
    <w:p w14:paraId="1FED47C6" w14:textId="77777777" w:rsidR="003F6A2F" w:rsidRPr="003F6A2F" w:rsidRDefault="003F6A2F" w:rsidP="005E7DA2">
      <w:pPr>
        <w:numPr>
          <w:ilvl w:val="0"/>
          <w:numId w:val="8"/>
        </w:numPr>
        <w:spacing w:after="0" w:line="240" w:lineRule="auto"/>
        <w:jc w:val="both"/>
        <w:rPr>
          <w:rFonts w:ascii="Times New Roman" w:hAnsi="Times New Roman" w:cs="Times New Roman"/>
        </w:rPr>
      </w:pPr>
      <w:r w:rsidRPr="003F6A2F">
        <w:rPr>
          <w:rFonts w:ascii="Times New Roman" w:hAnsi="Times New Roman" w:cs="Times New Roman"/>
          <w:b/>
          <w:bCs/>
        </w:rPr>
        <w:t>Opportunity cost</w:t>
      </w:r>
      <w:r w:rsidRPr="003F6A2F">
        <w:rPr>
          <w:rFonts w:ascii="Times New Roman" w:hAnsi="Times New Roman" w:cs="Times New Roman"/>
        </w:rPr>
        <w:t xml:space="preserve"> of foregone LNG exports at $10–18/MMBtu</w:t>
      </w:r>
    </w:p>
    <w:p w14:paraId="6CE728AF" w14:textId="77777777" w:rsidR="003F6A2F" w:rsidRPr="003F6A2F" w:rsidRDefault="003F6A2F" w:rsidP="005E7DA2">
      <w:pPr>
        <w:numPr>
          <w:ilvl w:val="0"/>
          <w:numId w:val="8"/>
        </w:numPr>
        <w:spacing w:after="0" w:line="240" w:lineRule="auto"/>
        <w:jc w:val="both"/>
        <w:rPr>
          <w:rFonts w:ascii="Times New Roman" w:hAnsi="Times New Roman" w:cs="Times New Roman"/>
        </w:rPr>
      </w:pPr>
      <w:r w:rsidRPr="003F6A2F">
        <w:rPr>
          <w:rFonts w:ascii="Times New Roman" w:hAnsi="Times New Roman" w:cs="Times New Roman"/>
          <w:b/>
          <w:bCs/>
        </w:rPr>
        <w:t>Fiscal sustainability</w:t>
      </w:r>
      <w:r w:rsidRPr="003F6A2F">
        <w:rPr>
          <w:rFonts w:ascii="Times New Roman" w:hAnsi="Times New Roman" w:cs="Times New Roman"/>
        </w:rPr>
        <w:t xml:space="preserve"> of subsidy regimes</w:t>
      </w:r>
    </w:p>
    <w:p w14:paraId="7B10A36D" w14:textId="49A9DD90" w:rsidR="003F6A2F" w:rsidRPr="003F6A2F" w:rsidRDefault="003F6A2F" w:rsidP="005E7DA2">
      <w:pPr>
        <w:spacing w:line="240" w:lineRule="auto"/>
        <w:jc w:val="both"/>
        <w:rPr>
          <w:rFonts w:ascii="Times New Roman" w:hAnsi="Times New Roman" w:cs="Times New Roman"/>
        </w:rPr>
      </w:pPr>
    </w:p>
    <w:p w14:paraId="485A957E"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5. Gas Demand from Mozambique's Power Sector</w:t>
      </w:r>
    </w:p>
    <w:p w14:paraId="13C3E505" w14:textId="31AE52E9" w:rsidR="003F6A2F" w:rsidRPr="003F6A2F" w:rsidRDefault="003F6A2F" w:rsidP="005E7DA2">
      <w:pPr>
        <w:spacing w:line="240" w:lineRule="auto"/>
        <w:jc w:val="both"/>
        <w:rPr>
          <w:rFonts w:ascii="Times New Roman" w:hAnsi="Times New Roman" w:cs="Times New Roman"/>
        </w:rPr>
      </w:pPr>
      <w:proofErr w:type="spellStart"/>
      <w:r w:rsidRPr="003F6A2F">
        <w:rPr>
          <w:rFonts w:ascii="Times New Roman" w:hAnsi="Times New Roman" w:cs="Times New Roman"/>
        </w:rPr>
        <w:lastRenderedPageBreak/>
        <w:t>Electricidade</w:t>
      </w:r>
      <w:proofErr w:type="spellEnd"/>
      <w:r w:rsidRPr="003F6A2F">
        <w:rPr>
          <w:rFonts w:ascii="Times New Roman" w:hAnsi="Times New Roman" w:cs="Times New Roman"/>
        </w:rPr>
        <w:t xml:space="preserve"> de Moçambique (EDM) dominates the power sector, with gas-fired generation representing ~18% of installed capacity (454 MW gas vs 2,193 MW hydro). The Energy Transition Strategy (2023) targets 1,004 MW gas capacity by 2032 and universal electrification by 2030.</w:t>
      </w:r>
    </w:p>
    <w:p w14:paraId="5D35A411"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Key power projects requiring gas:</w:t>
      </w:r>
    </w:p>
    <w:p w14:paraId="6DE4034E" w14:textId="77777777" w:rsidR="003F6A2F" w:rsidRPr="003F6A2F" w:rsidRDefault="003F6A2F" w:rsidP="005E7DA2">
      <w:pPr>
        <w:numPr>
          <w:ilvl w:val="0"/>
          <w:numId w:val="9"/>
        </w:numPr>
        <w:spacing w:line="240" w:lineRule="auto"/>
        <w:jc w:val="both"/>
        <w:rPr>
          <w:rFonts w:ascii="Times New Roman" w:hAnsi="Times New Roman" w:cs="Times New Roman"/>
        </w:rPr>
      </w:pPr>
      <w:proofErr w:type="spellStart"/>
      <w:r w:rsidRPr="003F6A2F">
        <w:rPr>
          <w:rFonts w:ascii="Times New Roman" w:hAnsi="Times New Roman" w:cs="Times New Roman"/>
          <w:b/>
          <w:bCs/>
        </w:rPr>
        <w:t>Temane</w:t>
      </w:r>
      <w:proofErr w:type="spellEnd"/>
      <w:r w:rsidRPr="003F6A2F">
        <w:rPr>
          <w:rFonts w:ascii="Times New Roman" w:hAnsi="Times New Roman" w:cs="Times New Roman"/>
          <w:b/>
          <w:bCs/>
        </w:rPr>
        <w:t xml:space="preserve"> CTT:</w:t>
      </w:r>
      <w:r w:rsidRPr="003F6A2F">
        <w:rPr>
          <w:rFonts w:ascii="Times New Roman" w:hAnsi="Times New Roman" w:cs="Times New Roman"/>
        </w:rPr>
        <w:t xml:space="preserve"> 450 MW (operational, expansion planned)</w:t>
      </w:r>
    </w:p>
    <w:p w14:paraId="5F5FAD16" w14:textId="77777777" w:rsidR="003F6A2F" w:rsidRPr="003F6A2F" w:rsidRDefault="003F6A2F" w:rsidP="005E7DA2">
      <w:pPr>
        <w:numPr>
          <w:ilvl w:val="0"/>
          <w:numId w:val="9"/>
        </w:numPr>
        <w:spacing w:line="240" w:lineRule="auto"/>
        <w:jc w:val="both"/>
        <w:rPr>
          <w:rFonts w:ascii="Times New Roman" w:hAnsi="Times New Roman" w:cs="Times New Roman"/>
        </w:rPr>
      </w:pPr>
      <w:r w:rsidRPr="003F6A2F">
        <w:rPr>
          <w:rFonts w:ascii="Times New Roman" w:hAnsi="Times New Roman" w:cs="Times New Roman"/>
          <w:b/>
          <w:bCs/>
        </w:rPr>
        <w:t>Nacala GTP:</w:t>
      </w:r>
      <w:r w:rsidRPr="003F6A2F">
        <w:rPr>
          <w:rFonts w:ascii="Times New Roman" w:hAnsi="Times New Roman" w:cs="Times New Roman"/>
        </w:rPr>
        <w:t xml:space="preserve"> +650 MW ($759m CAPEX, 2026 target) </w:t>
      </w:r>
    </w:p>
    <w:p w14:paraId="7480189B" w14:textId="77777777" w:rsidR="003F6A2F" w:rsidRPr="003F6A2F" w:rsidRDefault="003F6A2F" w:rsidP="005E7DA2">
      <w:pPr>
        <w:numPr>
          <w:ilvl w:val="0"/>
          <w:numId w:val="9"/>
        </w:numPr>
        <w:spacing w:line="240" w:lineRule="auto"/>
        <w:jc w:val="both"/>
        <w:rPr>
          <w:rFonts w:ascii="Times New Roman" w:hAnsi="Times New Roman" w:cs="Times New Roman"/>
        </w:rPr>
      </w:pPr>
      <w:r w:rsidRPr="003F6A2F">
        <w:rPr>
          <w:rFonts w:ascii="Times New Roman" w:hAnsi="Times New Roman" w:cs="Times New Roman"/>
          <w:b/>
          <w:bCs/>
        </w:rPr>
        <w:t>Maputo/</w:t>
      </w:r>
      <w:proofErr w:type="spellStart"/>
      <w:r w:rsidRPr="003F6A2F">
        <w:rPr>
          <w:rFonts w:ascii="Times New Roman" w:hAnsi="Times New Roman" w:cs="Times New Roman"/>
          <w:b/>
          <w:bCs/>
        </w:rPr>
        <w:t>Beluluane</w:t>
      </w:r>
      <w:proofErr w:type="spellEnd"/>
      <w:r w:rsidRPr="003F6A2F">
        <w:rPr>
          <w:rFonts w:ascii="Times New Roman" w:hAnsi="Times New Roman" w:cs="Times New Roman"/>
          <w:b/>
          <w:bCs/>
        </w:rPr>
        <w:t>:</w:t>
      </w:r>
      <w:r w:rsidRPr="003F6A2F">
        <w:rPr>
          <w:rFonts w:ascii="Times New Roman" w:hAnsi="Times New Roman" w:cs="Times New Roman"/>
        </w:rPr>
        <w:t xml:space="preserve"> 400 MW IPP ($2.3bn) </w:t>
      </w:r>
    </w:p>
    <w:p w14:paraId="46002DA6" w14:textId="7572B749" w:rsid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At full </w:t>
      </w:r>
      <w:proofErr w:type="spellStart"/>
      <w:r w:rsidRPr="003F6A2F">
        <w:rPr>
          <w:rFonts w:ascii="Times New Roman" w:hAnsi="Times New Roman" w:cs="Times New Roman"/>
        </w:rPr>
        <w:t>utilisation</w:t>
      </w:r>
      <w:proofErr w:type="spellEnd"/>
      <w:r w:rsidRPr="003F6A2F">
        <w:rPr>
          <w:rFonts w:ascii="Times New Roman" w:hAnsi="Times New Roman" w:cs="Times New Roman"/>
        </w:rPr>
        <w:t>, Mozambique's power sector could absorb 100–150 PJ/year by 2035—still only ~15% of DMO Phase 2 volumes.</w:t>
      </w:r>
    </w:p>
    <w:p w14:paraId="6EA50C9C" w14:textId="77777777" w:rsidR="003E3C7E" w:rsidRPr="003F6A2F" w:rsidRDefault="003E3C7E" w:rsidP="005E7DA2">
      <w:pPr>
        <w:spacing w:line="240" w:lineRule="auto"/>
        <w:jc w:val="both"/>
        <w:rPr>
          <w:rFonts w:ascii="Times New Roman" w:hAnsi="Times New Roman" w:cs="Times New Roman"/>
        </w:rPr>
      </w:pPr>
    </w:p>
    <w:p w14:paraId="0FE42355"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6. Regional Demand Across SADC</w:t>
      </w:r>
    </w:p>
    <w:p w14:paraId="3E2C282E"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The SADC region presents a bifurcated gas demand landscape:</w:t>
      </w:r>
    </w:p>
    <w:p w14:paraId="3F0E3E4F"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t xml:space="preserve">Coastal demand </w:t>
      </w:r>
      <w:proofErr w:type="spellStart"/>
      <w:r w:rsidRPr="003F6A2F">
        <w:rPr>
          <w:rFonts w:ascii="Times New Roman" w:hAnsi="Times New Roman" w:cs="Times New Roman"/>
          <w:b/>
          <w:bCs/>
        </w:rPr>
        <w:t>centres</w:t>
      </w:r>
      <w:proofErr w:type="spellEnd"/>
      <w:r w:rsidRPr="003F6A2F">
        <w:rPr>
          <w:rFonts w:ascii="Times New Roman" w:hAnsi="Times New Roman" w:cs="Times New Roman"/>
          <w:b/>
          <w:bCs/>
        </w:rPr>
        <w:t xml:space="preserve"> (pipeline-viable):</w:t>
      </w:r>
    </w:p>
    <w:p w14:paraId="20792F1F" w14:textId="77777777" w:rsidR="003F6A2F" w:rsidRPr="003F6A2F" w:rsidRDefault="003F6A2F" w:rsidP="005E7DA2">
      <w:pPr>
        <w:numPr>
          <w:ilvl w:val="0"/>
          <w:numId w:val="10"/>
        </w:numPr>
        <w:spacing w:line="240" w:lineRule="auto"/>
        <w:jc w:val="both"/>
        <w:rPr>
          <w:rFonts w:ascii="Times New Roman" w:hAnsi="Times New Roman" w:cs="Times New Roman"/>
        </w:rPr>
      </w:pPr>
      <w:r w:rsidRPr="003F6A2F">
        <w:rPr>
          <w:rFonts w:ascii="Times New Roman" w:hAnsi="Times New Roman" w:cs="Times New Roman"/>
          <w:b/>
          <w:bCs/>
        </w:rPr>
        <w:t>South Africa:</w:t>
      </w:r>
      <w:r w:rsidRPr="003F6A2F">
        <w:rPr>
          <w:rFonts w:ascii="Times New Roman" w:hAnsi="Times New Roman" w:cs="Times New Roman"/>
        </w:rPr>
        <w:t xml:space="preserve"> 489 </w:t>
      </w:r>
      <w:proofErr w:type="spellStart"/>
      <w:r w:rsidRPr="003F6A2F">
        <w:rPr>
          <w:rFonts w:ascii="Times New Roman" w:hAnsi="Times New Roman" w:cs="Times New Roman"/>
        </w:rPr>
        <w:t>MMscf</w:t>
      </w:r>
      <w:proofErr w:type="spellEnd"/>
      <w:r w:rsidRPr="003F6A2F">
        <w:rPr>
          <w:rFonts w:ascii="Times New Roman" w:hAnsi="Times New Roman" w:cs="Times New Roman"/>
        </w:rPr>
        <w:t>/d current demand (~197 PJ/year industrial, declining Pande-</w:t>
      </w:r>
      <w:proofErr w:type="spellStart"/>
      <w:r w:rsidRPr="003F6A2F">
        <w:rPr>
          <w:rFonts w:ascii="Times New Roman" w:hAnsi="Times New Roman" w:cs="Times New Roman"/>
        </w:rPr>
        <w:t>Temane</w:t>
      </w:r>
      <w:proofErr w:type="spellEnd"/>
      <w:r w:rsidRPr="003F6A2F">
        <w:rPr>
          <w:rFonts w:ascii="Times New Roman" w:hAnsi="Times New Roman" w:cs="Times New Roman"/>
        </w:rPr>
        <w:t xml:space="preserve"> supply) </w:t>
      </w:r>
    </w:p>
    <w:p w14:paraId="64118A9B" w14:textId="77777777" w:rsidR="003F6A2F" w:rsidRPr="003F6A2F" w:rsidRDefault="003F6A2F" w:rsidP="005E7DA2">
      <w:pPr>
        <w:numPr>
          <w:ilvl w:val="0"/>
          <w:numId w:val="10"/>
        </w:numPr>
        <w:spacing w:line="240" w:lineRule="auto"/>
        <w:jc w:val="both"/>
        <w:rPr>
          <w:rFonts w:ascii="Times New Roman" w:hAnsi="Times New Roman" w:cs="Times New Roman"/>
        </w:rPr>
      </w:pPr>
      <w:r w:rsidRPr="003F6A2F">
        <w:rPr>
          <w:rFonts w:ascii="Times New Roman" w:hAnsi="Times New Roman" w:cs="Times New Roman"/>
          <w:b/>
          <w:bCs/>
        </w:rPr>
        <w:t>Mozambique south:</w:t>
      </w:r>
      <w:r w:rsidRPr="003F6A2F">
        <w:rPr>
          <w:rFonts w:ascii="Times New Roman" w:hAnsi="Times New Roman" w:cs="Times New Roman"/>
        </w:rPr>
        <w:t xml:space="preserve"> 94 </w:t>
      </w:r>
      <w:proofErr w:type="spellStart"/>
      <w:r w:rsidRPr="003F6A2F">
        <w:rPr>
          <w:rFonts w:ascii="Times New Roman" w:hAnsi="Times New Roman" w:cs="Times New Roman"/>
        </w:rPr>
        <w:t>MMscf</w:t>
      </w:r>
      <w:proofErr w:type="spellEnd"/>
      <w:r w:rsidRPr="003F6A2F">
        <w:rPr>
          <w:rFonts w:ascii="Times New Roman" w:hAnsi="Times New Roman" w:cs="Times New Roman"/>
        </w:rPr>
        <w:t xml:space="preserve">/d (38 PJ/year) industrial demand </w:t>
      </w:r>
    </w:p>
    <w:p w14:paraId="0FFF4E0E"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t>Inland/emerging markets (truck/CNG initially):</w:t>
      </w:r>
    </w:p>
    <w:p w14:paraId="50621839" w14:textId="77777777" w:rsidR="003F6A2F" w:rsidRPr="003F6A2F" w:rsidRDefault="003F6A2F" w:rsidP="005E7DA2">
      <w:pPr>
        <w:numPr>
          <w:ilvl w:val="0"/>
          <w:numId w:val="11"/>
        </w:numPr>
        <w:spacing w:line="240" w:lineRule="auto"/>
        <w:jc w:val="both"/>
        <w:rPr>
          <w:rFonts w:ascii="Times New Roman" w:hAnsi="Times New Roman" w:cs="Times New Roman"/>
        </w:rPr>
      </w:pPr>
      <w:r w:rsidRPr="003F6A2F">
        <w:rPr>
          <w:rFonts w:ascii="Times New Roman" w:hAnsi="Times New Roman" w:cs="Times New Roman"/>
          <w:b/>
          <w:bCs/>
        </w:rPr>
        <w:t>Zimbabwe:</w:t>
      </w:r>
      <w:r w:rsidRPr="003F6A2F">
        <w:rPr>
          <w:rFonts w:ascii="Times New Roman" w:hAnsi="Times New Roman" w:cs="Times New Roman"/>
        </w:rPr>
        <w:t xml:space="preserve"> </w:t>
      </w:r>
      <w:proofErr w:type="spellStart"/>
      <w:r w:rsidRPr="003F6A2F">
        <w:rPr>
          <w:rFonts w:ascii="Times New Roman" w:hAnsi="Times New Roman" w:cs="Times New Roman"/>
        </w:rPr>
        <w:t>Cabora</w:t>
      </w:r>
      <w:proofErr w:type="spellEnd"/>
      <w:r w:rsidRPr="003F6A2F">
        <w:rPr>
          <w:rFonts w:ascii="Times New Roman" w:hAnsi="Times New Roman" w:cs="Times New Roman"/>
        </w:rPr>
        <w:t xml:space="preserve"> Bassa Basin exploration (Invictus Energy, potential 4–7 TCF) </w:t>
      </w:r>
    </w:p>
    <w:p w14:paraId="5E4811D4" w14:textId="77777777" w:rsidR="003F6A2F" w:rsidRPr="003F6A2F" w:rsidRDefault="003F6A2F" w:rsidP="005E7DA2">
      <w:pPr>
        <w:numPr>
          <w:ilvl w:val="0"/>
          <w:numId w:val="11"/>
        </w:numPr>
        <w:spacing w:line="240" w:lineRule="auto"/>
        <w:jc w:val="both"/>
        <w:rPr>
          <w:rFonts w:ascii="Times New Roman" w:hAnsi="Times New Roman" w:cs="Times New Roman"/>
        </w:rPr>
      </w:pPr>
      <w:r w:rsidRPr="003F6A2F">
        <w:rPr>
          <w:rFonts w:ascii="Times New Roman" w:hAnsi="Times New Roman" w:cs="Times New Roman"/>
          <w:b/>
          <w:bCs/>
        </w:rPr>
        <w:t>Zambia/Malawi:</w:t>
      </w:r>
      <w:r w:rsidRPr="003F6A2F">
        <w:rPr>
          <w:rFonts w:ascii="Times New Roman" w:hAnsi="Times New Roman" w:cs="Times New Roman"/>
        </w:rPr>
        <w:t xml:space="preserve"> 20–30 PJ aggregate latent demand for diesel/HFO replacement </w:t>
      </w:r>
    </w:p>
    <w:p w14:paraId="0ADB51EB" w14:textId="77777777" w:rsidR="003E3C7E" w:rsidRDefault="003E3C7E" w:rsidP="005E7DA2">
      <w:pPr>
        <w:spacing w:line="240" w:lineRule="auto"/>
        <w:jc w:val="both"/>
        <w:rPr>
          <w:rFonts w:ascii="Times New Roman" w:hAnsi="Times New Roman" w:cs="Times New Roman"/>
          <w:b/>
          <w:bCs/>
        </w:rPr>
      </w:pPr>
    </w:p>
    <w:p w14:paraId="0DE0EB07" w14:textId="4CE1BB4D" w:rsid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Regional Gas Demand Forecast</w:t>
      </w:r>
    </w:p>
    <w:p w14:paraId="760F2B7F" w14:textId="2E2A8215" w:rsidR="003E3C7E" w:rsidRPr="003F6A2F" w:rsidRDefault="003E3C7E" w:rsidP="005E7DA2">
      <w:pPr>
        <w:spacing w:line="24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2FCD3CB1" wp14:editId="095C6DD4">
            <wp:extent cx="5943600" cy="3161665"/>
            <wp:effectExtent l="0" t="0" r="0" b="635"/>
            <wp:docPr id="10794116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11691" name="Picture 107941169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161665"/>
                    </a:xfrm>
                    <a:prstGeom prst="rect">
                      <a:avLst/>
                    </a:prstGeom>
                  </pic:spPr>
                </pic:pic>
              </a:graphicData>
            </a:graphic>
          </wp:inline>
        </w:drawing>
      </w:r>
    </w:p>
    <w:p w14:paraId="43A65D57"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The forecast indicates total SADC gas demand rising from ~285 PJ/year (2024) to ~835 PJ/year by 2045, driven primarily by South African power sector demand and Mozambique domestic growth. However, infrastructure constraints limit pipeline-delivered volumes to ~500 PJ/year by 2040.</w:t>
      </w:r>
    </w:p>
    <w:p w14:paraId="6057A33A" w14:textId="054B8614" w:rsidR="003F6A2F" w:rsidRPr="003F6A2F" w:rsidRDefault="003F6A2F" w:rsidP="005E7DA2">
      <w:pPr>
        <w:spacing w:line="240" w:lineRule="auto"/>
        <w:jc w:val="both"/>
        <w:rPr>
          <w:rFonts w:ascii="Times New Roman" w:hAnsi="Times New Roman" w:cs="Times New Roman"/>
        </w:rPr>
      </w:pPr>
    </w:p>
    <w:p w14:paraId="1D1DD2FF"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 xml:space="preserve">7. Pipeline </w:t>
      </w:r>
      <w:proofErr w:type="spellStart"/>
      <w:r w:rsidRPr="003F6A2F">
        <w:rPr>
          <w:rFonts w:ascii="Times New Roman" w:hAnsi="Times New Roman" w:cs="Times New Roman"/>
          <w:b/>
          <w:bCs/>
        </w:rPr>
        <w:t>Commercialisation</w:t>
      </w:r>
      <w:proofErr w:type="spellEnd"/>
      <w:r w:rsidRPr="003F6A2F">
        <w:rPr>
          <w:rFonts w:ascii="Times New Roman" w:hAnsi="Times New Roman" w:cs="Times New Roman"/>
          <w:b/>
          <w:bCs/>
        </w:rPr>
        <w:t xml:space="preserve"> Opportunities</w:t>
      </w:r>
    </w:p>
    <w:p w14:paraId="1C343BD5"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The SADC Regional Gas Master Plan (2025) </w:t>
      </w:r>
      <w:proofErr w:type="spellStart"/>
      <w:r w:rsidRPr="003F6A2F">
        <w:rPr>
          <w:rFonts w:ascii="Times New Roman" w:hAnsi="Times New Roman" w:cs="Times New Roman"/>
        </w:rPr>
        <w:t>prioritises</w:t>
      </w:r>
      <w:proofErr w:type="spellEnd"/>
      <w:r w:rsidRPr="003F6A2F">
        <w:rPr>
          <w:rFonts w:ascii="Times New Roman" w:hAnsi="Times New Roman" w:cs="Times New Roman"/>
        </w:rPr>
        <w:t xml:space="preserve"> three corridors:</w:t>
      </w:r>
    </w:p>
    <w:p w14:paraId="1AE820E4" w14:textId="77777777" w:rsidR="003F6A2F" w:rsidRPr="003F6A2F" w:rsidRDefault="003F6A2F" w:rsidP="005E7DA2">
      <w:pPr>
        <w:numPr>
          <w:ilvl w:val="0"/>
          <w:numId w:val="12"/>
        </w:numPr>
        <w:spacing w:line="240" w:lineRule="auto"/>
        <w:jc w:val="both"/>
        <w:rPr>
          <w:rFonts w:ascii="Times New Roman" w:hAnsi="Times New Roman" w:cs="Times New Roman"/>
        </w:rPr>
      </w:pPr>
      <w:proofErr w:type="spellStart"/>
      <w:r w:rsidRPr="003F6A2F">
        <w:rPr>
          <w:rFonts w:ascii="Times New Roman" w:hAnsi="Times New Roman" w:cs="Times New Roman"/>
          <w:b/>
          <w:bCs/>
        </w:rPr>
        <w:t>Afungi</w:t>
      </w:r>
      <w:proofErr w:type="spellEnd"/>
      <w:r w:rsidRPr="003F6A2F">
        <w:rPr>
          <w:rFonts w:ascii="Times New Roman" w:hAnsi="Times New Roman" w:cs="Times New Roman"/>
          <w:b/>
          <w:bCs/>
        </w:rPr>
        <w:t>-Nacala-Ndola Corridor:</w:t>
      </w:r>
      <w:r w:rsidRPr="003F6A2F">
        <w:rPr>
          <w:rFonts w:ascii="Times New Roman" w:hAnsi="Times New Roman" w:cs="Times New Roman"/>
        </w:rPr>
        <w:t xml:space="preserve"> Large-scale GTP at Nacala ($759m) anchoring pipeline to Malawi/Zambia. CAPEX: $1.0bn (</w:t>
      </w:r>
      <w:proofErr w:type="spellStart"/>
      <w:r w:rsidRPr="003F6A2F">
        <w:rPr>
          <w:rFonts w:ascii="Times New Roman" w:hAnsi="Times New Roman" w:cs="Times New Roman"/>
        </w:rPr>
        <w:t>Afungi</w:t>
      </w:r>
      <w:proofErr w:type="spellEnd"/>
      <w:r w:rsidRPr="003F6A2F">
        <w:rPr>
          <w:rFonts w:ascii="Times New Roman" w:hAnsi="Times New Roman" w:cs="Times New Roman"/>
        </w:rPr>
        <w:t>-Nacala) + $3.3bn (Nacala-Pande-</w:t>
      </w:r>
      <w:proofErr w:type="spellStart"/>
      <w:r w:rsidRPr="003F6A2F">
        <w:rPr>
          <w:rFonts w:ascii="Times New Roman" w:hAnsi="Times New Roman" w:cs="Times New Roman"/>
        </w:rPr>
        <w:t>Temane</w:t>
      </w:r>
      <w:proofErr w:type="spellEnd"/>
      <w:r w:rsidRPr="003F6A2F">
        <w:rPr>
          <w:rFonts w:ascii="Times New Roman" w:hAnsi="Times New Roman" w:cs="Times New Roman"/>
        </w:rPr>
        <w:t xml:space="preserve">) </w:t>
      </w:r>
    </w:p>
    <w:p w14:paraId="56427B61" w14:textId="77777777" w:rsidR="003F6A2F" w:rsidRPr="003F6A2F" w:rsidRDefault="003F6A2F" w:rsidP="005E7DA2">
      <w:pPr>
        <w:numPr>
          <w:ilvl w:val="0"/>
          <w:numId w:val="12"/>
        </w:numPr>
        <w:spacing w:line="240" w:lineRule="auto"/>
        <w:jc w:val="both"/>
        <w:rPr>
          <w:rFonts w:ascii="Times New Roman" w:hAnsi="Times New Roman" w:cs="Times New Roman"/>
        </w:rPr>
      </w:pPr>
      <w:r w:rsidRPr="003F6A2F">
        <w:rPr>
          <w:rFonts w:ascii="Times New Roman" w:hAnsi="Times New Roman" w:cs="Times New Roman"/>
          <w:b/>
          <w:bCs/>
        </w:rPr>
        <w:t>East Coast to South Africa:</w:t>
      </w:r>
      <w:r w:rsidRPr="003F6A2F">
        <w:rPr>
          <w:rFonts w:ascii="Times New Roman" w:hAnsi="Times New Roman" w:cs="Times New Roman"/>
        </w:rPr>
        <w:t xml:space="preserve"> Matola FSRU ($466m) + pipeline to ROMPCO ($60m), plus Richards Bay FSRU ($252m) and pipeline to Secunda ($1.68bn) </w:t>
      </w:r>
    </w:p>
    <w:p w14:paraId="4F842D0D" w14:textId="77777777" w:rsidR="003F6A2F" w:rsidRPr="003F6A2F" w:rsidRDefault="003F6A2F" w:rsidP="005E7DA2">
      <w:pPr>
        <w:numPr>
          <w:ilvl w:val="0"/>
          <w:numId w:val="12"/>
        </w:numPr>
        <w:spacing w:line="240" w:lineRule="auto"/>
        <w:jc w:val="both"/>
        <w:rPr>
          <w:rFonts w:ascii="Times New Roman" w:hAnsi="Times New Roman" w:cs="Times New Roman"/>
        </w:rPr>
      </w:pPr>
      <w:proofErr w:type="spellStart"/>
      <w:r w:rsidRPr="003F6A2F">
        <w:rPr>
          <w:rFonts w:ascii="Times New Roman" w:hAnsi="Times New Roman" w:cs="Times New Roman"/>
          <w:b/>
          <w:bCs/>
        </w:rPr>
        <w:t>Afungi</w:t>
      </w:r>
      <w:proofErr w:type="spellEnd"/>
      <w:r w:rsidRPr="003F6A2F">
        <w:rPr>
          <w:rFonts w:ascii="Times New Roman" w:hAnsi="Times New Roman" w:cs="Times New Roman"/>
          <w:b/>
          <w:bCs/>
        </w:rPr>
        <w:t>-Dar es Salaam-Mombasa:</w:t>
      </w:r>
      <w:r w:rsidRPr="003F6A2F">
        <w:rPr>
          <w:rFonts w:ascii="Times New Roman" w:hAnsi="Times New Roman" w:cs="Times New Roman"/>
        </w:rPr>
        <w:t xml:space="preserve"> Regional pipeline enabling Tanzania/Kenya integration</w:t>
      </w:r>
    </w:p>
    <w:p w14:paraId="0BADFEFD" w14:textId="47DAFA45"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t>Pipeline economics challenge:</w:t>
      </w:r>
      <w:r w:rsidRPr="003F6A2F">
        <w:rPr>
          <w:rFonts w:ascii="Times New Roman" w:hAnsi="Times New Roman" w:cs="Times New Roman"/>
        </w:rPr>
        <w:t xml:space="preserve"> At volumes below 200 PJ/year, unit transport costs exceed $2.50/MMBtu, rendering pipeline delivery uncompetitive against LNG trucking or CNG for inland markets </w:t>
      </w:r>
    </w:p>
    <w:p w14:paraId="254D77D7" w14:textId="0086E116"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8. LNG versus Pipeline Economics</w:t>
      </w:r>
    </w:p>
    <w:tbl>
      <w:tblPr>
        <w:tblStyle w:val="TableGrid"/>
        <w:tblW w:w="0" w:type="auto"/>
        <w:tblLook w:val="04A0" w:firstRow="1" w:lastRow="0" w:firstColumn="1" w:lastColumn="0" w:noHBand="0" w:noVBand="1"/>
      </w:tblPr>
      <w:tblGrid>
        <w:gridCol w:w="1865"/>
        <w:gridCol w:w="2728"/>
        <w:gridCol w:w="2442"/>
        <w:gridCol w:w="2315"/>
      </w:tblGrid>
      <w:tr w:rsidR="003F6A2F" w:rsidRPr="003F6A2F" w14:paraId="7F0FBB1E" w14:textId="77777777" w:rsidTr="003E3C7E">
        <w:tc>
          <w:tcPr>
            <w:tcW w:w="0" w:type="auto"/>
            <w:hideMark/>
          </w:tcPr>
          <w:p w14:paraId="27FB43CE" w14:textId="77777777" w:rsidR="003F6A2F" w:rsidRPr="003F6A2F" w:rsidRDefault="003F6A2F" w:rsidP="005E7DA2">
            <w:pPr>
              <w:spacing w:after="160"/>
              <w:jc w:val="both"/>
              <w:rPr>
                <w:rFonts w:ascii="Times New Roman" w:hAnsi="Times New Roman" w:cs="Times New Roman"/>
                <w:b/>
                <w:bCs/>
              </w:rPr>
            </w:pPr>
            <w:r w:rsidRPr="003F6A2F">
              <w:rPr>
                <w:rFonts w:ascii="Times New Roman" w:hAnsi="Times New Roman" w:cs="Times New Roman"/>
                <w:b/>
                <w:bCs/>
              </w:rPr>
              <w:t>Metric</w:t>
            </w:r>
          </w:p>
        </w:tc>
        <w:tc>
          <w:tcPr>
            <w:tcW w:w="0" w:type="auto"/>
            <w:hideMark/>
          </w:tcPr>
          <w:p w14:paraId="6D65015C" w14:textId="77777777" w:rsidR="003F6A2F" w:rsidRPr="003F6A2F" w:rsidRDefault="003F6A2F" w:rsidP="005E7DA2">
            <w:pPr>
              <w:spacing w:after="160"/>
              <w:jc w:val="both"/>
              <w:rPr>
                <w:rFonts w:ascii="Times New Roman" w:hAnsi="Times New Roman" w:cs="Times New Roman"/>
                <w:b/>
                <w:bCs/>
              </w:rPr>
            </w:pPr>
            <w:r w:rsidRPr="003F6A2F">
              <w:rPr>
                <w:rFonts w:ascii="Times New Roman" w:hAnsi="Times New Roman" w:cs="Times New Roman"/>
                <w:b/>
                <w:bCs/>
              </w:rPr>
              <w:t>LNG Export</w:t>
            </w:r>
          </w:p>
        </w:tc>
        <w:tc>
          <w:tcPr>
            <w:tcW w:w="0" w:type="auto"/>
            <w:hideMark/>
          </w:tcPr>
          <w:p w14:paraId="56F22A38" w14:textId="77777777" w:rsidR="003F6A2F" w:rsidRPr="003F6A2F" w:rsidRDefault="003F6A2F" w:rsidP="005E7DA2">
            <w:pPr>
              <w:spacing w:after="160"/>
              <w:jc w:val="both"/>
              <w:rPr>
                <w:rFonts w:ascii="Times New Roman" w:hAnsi="Times New Roman" w:cs="Times New Roman"/>
                <w:b/>
                <w:bCs/>
              </w:rPr>
            </w:pPr>
            <w:r w:rsidRPr="003F6A2F">
              <w:rPr>
                <w:rFonts w:ascii="Times New Roman" w:hAnsi="Times New Roman" w:cs="Times New Roman"/>
                <w:b/>
                <w:bCs/>
              </w:rPr>
              <w:t>Domestic Pipeline</w:t>
            </w:r>
          </w:p>
        </w:tc>
        <w:tc>
          <w:tcPr>
            <w:tcW w:w="0" w:type="auto"/>
            <w:hideMark/>
          </w:tcPr>
          <w:p w14:paraId="234A93AB" w14:textId="77777777" w:rsidR="003F6A2F" w:rsidRPr="003F6A2F" w:rsidRDefault="003F6A2F" w:rsidP="005E7DA2">
            <w:pPr>
              <w:spacing w:after="160"/>
              <w:jc w:val="both"/>
              <w:rPr>
                <w:rFonts w:ascii="Times New Roman" w:hAnsi="Times New Roman" w:cs="Times New Roman"/>
                <w:b/>
                <w:bCs/>
              </w:rPr>
            </w:pPr>
            <w:r w:rsidRPr="003F6A2F">
              <w:rPr>
                <w:rFonts w:ascii="Times New Roman" w:hAnsi="Times New Roman" w:cs="Times New Roman"/>
                <w:b/>
                <w:bCs/>
              </w:rPr>
              <w:t>Regional Pipeline</w:t>
            </w:r>
          </w:p>
        </w:tc>
      </w:tr>
      <w:tr w:rsidR="003F6A2F" w:rsidRPr="003F6A2F" w14:paraId="370A3533" w14:textId="77777777" w:rsidTr="003E3C7E">
        <w:tc>
          <w:tcPr>
            <w:tcW w:w="0" w:type="auto"/>
            <w:hideMark/>
          </w:tcPr>
          <w:p w14:paraId="198A705A" w14:textId="266D6A1B"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b/>
                <w:bCs/>
              </w:rPr>
              <w:t xml:space="preserve">Price </w:t>
            </w:r>
            <w:r w:rsidR="00C0345B" w:rsidRPr="003F6A2F">
              <w:rPr>
                <w:rFonts w:ascii="Times New Roman" w:hAnsi="Times New Roman" w:cs="Times New Roman"/>
                <w:b/>
                <w:bCs/>
              </w:rPr>
              <w:t>realization</w:t>
            </w:r>
          </w:p>
        </w:tc>
        <w:tc>
          <w:tcPr>
            <w:tcW w:w="0" w:type="auto"/>
            <w:hideMark/>
          </w:tcPr>
          <w:p w14:paraId="6F04E94F"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$10–18/MMBtu (JKM/TTF)</w:t>
            </w:r>
          </w:p>
        </w:tc>
        <w:tc>
          <w:tcPr>
            <w:tcW w:w="0" w:type="auto"/>
            <w:hideMark/>
          </w:tcPr>
          <w:p w14:paraId="2A7779E1"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$3–6/MMBtu (regulated)</w:t>
            </w:r>
          </w:p>
        </w:tc>
        <w:tc>
          <w:tcPr>
            <w:tcW w:w="0" w:type="auto"/>
            <w:hideMark/>
          </w:tcPr>
          <w:p w14:paraId="448B8215"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$6–9/MMBtu (blended)</w:t>
            </w:r>
          </w:p>
        </w:tc>
      </w:tr>
      <w:tr w:rsidR="003F6A2F" w:rsidRPr="003F6A2F" w14:paraId="3CD2636F" w14:textId="77777777" w:rsidTr="003E3C7E">
        <w:tc>
          <w:tcPr>
            <w:tcW w:w="0" w:type="auto"/>
            <w:hideMark/>
          </w:tcPr>
          <w:p w14:paraId="1DA7A9A4"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b/>
                <w:bCs/>
              </w:rPr>
              <w:t>Transport cost</w:t>
            </w:r>
          </w:p>
        </w:tc>
        <w:tc>
          <w:tcPr>
            <w:tcW w:w="0" w:type="auto"/>
            <w:hideMark/>
          </w:tcPr>
          <w:p w14:paraId="4423B053"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$1.50–2.50/MMBtu</w:t>
            </w:r>
          </w:p>
        </w:tc>
        <w:tc>
          <w:tcPr>
            <w:tcW w:w="0" w:type="auto"/>
            <w:hideMark/>
          </w:tcPr>
          <w:p w14:paraId="28303F63"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$0.50–1.50/MMBtu</w:t>
            </w:r>
          </w:p>
        </w:tc>
        <w:tc>
          <w:tcPr>
            <w:tcW w:w="0" w:type="auto"/>
            <w:hideMark/>
          </w:tcPr>
          <w:p w14:paraId="5DFC8DA2"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$2.00–4.00/MMBtu</w:t>
            </w:r>
          </w:p>
        </w:tc>
      </w:tr>
      <w:tr w:rsidR="003F6A2F" w:rsidRPr="003F6A2F" w14:paraId="3F795D99" w14:textId="77777777" w:rsidTr="003E3C7E">
        <w:tc>
          <w:tcPr>
            <w:tcW w:w="0" w:type="auto"/>
            <w:hideMark/>
          </w:tcPr>
          <w:p w14:paraId="6E3D5C28"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b/>
                <w:bCs/>
              </w:rPr>
              <w:lastRenderedPageBreak/>
              <w:t>Capital intensity</w:t>
            </w:r>
          </w:p>
        </w:tc>
        <w:tc>
          <w:tcPr>
            <w:tcW w:w="0" w:type="auto"/>
            <w:hideMark/>
          </w:tcPr>
          <w:p w14:paraId="43056BA2"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High ($1,200–1,500/</w:t>
            </w:r>
            <w:proofErr w:type="spellStart"/>
            <w:r w:rsidRPr="003F6A2F">
              <w:rPr>
                <w:rFonts w:ascii="Times New Roman" w:hAnsi="Times New Roman" w:cs="Times New Roman"/>
              </w:rPr>
              <w:t>tpa</w:t>
            </w:r>
            <w:proofErr w:type="spellEnd"/>
            <w:r w:rsidRPr="003F6A2F">
              <w:rPr>
                <w:rFonts w:ascii="Times New Roman" w:hAnsi="Times New Roman" w:cs="Times New Roman"/>
              </w:rPr>
              <w:t>)</w:t>
            </w:r>
          </w:p>
        </w:tc>
        <w:tc>
          <w:tcPr>
            <w:tcW w:w="0" w:type="auto"/>
            <w:hideMark/>
          </w:tcPr>
          <w:p w14:paraId="41FEFE7E"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Medium ($200–400/</w:t>
            </w:r>
            <w:proofErr w:type="spellStart"/>
            <w:r w:rsidRPr="003F6A2F">
              <w:rPr>
                <w:rFonts w:ascii="Times New Roman" w:hAnsi="Times New Roman" w:cs="Times New Roman"/>
              </w:rPr>
              <w:t>tpa</w:t>
            </w:r>
            <w:proofErr w:type="spellEnd"/>
            <w:r w:rsidRPr="003F6A2F">
              <w:rPr>
                <w:rFonts w:ascii="Times New Roman" w:hAnsi="Times New Roman" w:cs="Times New Roman"/>
              </w:rPr>
              <w:t>)</w:t>
            </w:r>
          </w:p>
        </w:tc>
        <w:tc>
          <w:tcPr>
            <w:tcW w:w="0" w:type="auto"/>
            <w:hideMark/>
          </w:tcPr>
          <w:p w14:paraId="6E75FD0A"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Very high ($800–1,200/</w:t>
            </w:r>
            <w:proofErr w:type="spellStart"/>
            <w:r w:rsidRPr="003F6A2F">
              <w:rPr>
                <w:rFonts w:ascii="Times New Roman" w:hAnsi="Times New Roman" w:cs="Times New Roman"/>
              </w:rPr>
              <w:t>tpa</w:t>
            </w:r>
            <w:proofErr w:type="spellEnd"/>
            <w:r w:rsidRPr="003F6A2F">
              <w:rPr>
                <w:rFonts w:ascii="Times New Roman" w:hAnsi="Times New Roman" w:cs="Times New Roman"/>
              </w:rPr>
              <w:t>)</w:t>
            </w:r>
          </w:p>
        </w:tc>
      </w:tr>
      <w:tr w:rsidR="003F6A2F" w:rsidRPr="003F6A2F" w14:paraId="7BE8CE85" w14:textId="77777777" w:rsidTr="003E3C7E">
        <w:tc>
          <w:tcPr>
            <w:tcW w:w="0" w:type="auto"/>
            <w:hideMark/>
          </w:tcPr>
          <w:p w14:paraId="2E087EE4"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b/>
                <w:bCs/>
              </w:rPr>
              <w:t>Payback period</w:t>
            </w:r>
          </w:p>
        </w:tc>
        <w:tc>
          <w:tcPr>
            <w:tcW w:w="0" w:type="auto"/>
            <w:hideMark/>
          </w:tcPr>
          <w:p w14:paraId="16F8AF2C"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8–10 years</w:t>
            </w:r>
          </w:p>
        </w:tc>
        <w:tc>
          <w:tcPr>
            <w:tcW w:w="0" w:type="auto"/>
            <w:hideMark/>
          </w:tcPr>
          <w:p w14:paraId="5D64E341"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12–15 years</w:t>
            </w:r>
          </w:p>
        </w:tc>
        <w:tc>
          <w:tcPr>
            <w:tcW w:w="0" w:type="auto"/>
            <w:hideMark/>
          </w:tcPr>
          <w:p w14:paraId="026F1E44"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15–20 years</w:t>
            </w:r>
          </w:p>
        </w:tc>
      </w:tr>
      <w:tr w:rsidR="003F6A2F" w:rsidRPr="003F6A2F" w14:paraId="0098909F" w14:textId="77777777" w:rsidTr="003E3C7E">
        <w:tc>
          <w:tcPr>
            <w:tcW w:w="0" w:type="auto"/>
            <w:hideMark/>
          </w:tcPr>
          <w:p w14:paraId="2D47D0E3" w14:textId="41BBB8C4"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b/>
                <w:bCs/>
              </w:rPr>
              <w:t xml:space="preserve">Government </w:t>
            </w:r>
            <w:r w:rsidR="00C0345B" w:rsidRPr="003F6A2F">
              <w:rPr>
                <w:rFonts w:ascii="Times New Roman" w:hAnsi="Times New Roman" w:cs="Times New Roman"/>
                <w:b/>
                <w:bCs/>
              </w:rPr>
              <w:t>takes</w:t>
            </w:r>
          </w:p>
        </w:tc>
        <w:tc>
          <w:tcPr>
            <w:tcW w:w="0" w:type="auto"/>
            <w:hideMark/>
          </w:tcPr>
          <w:p w14:paraId="372555BA"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45–55% (royalty + tax + profit oil)</w:t>
            </w:r>
          </w:p>
        </w:tc>
        <w:tc>
          <w:tcPr>
            <w:tcW w:w="0" w:type="auto"/>
            <w:hideMark/>
          </w:tcPr>
          <w:p w14:paraId="2E56A26E"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20–30% (lower revenue base)</w:t>
            </w:r>
          </w:p>
        </w:tc>
        <w:tc>
          <w:tcPr>
            <w:tcW w:w="0" w:type="auto"/>
            <w:hideMark/>
          </w:tcPr>
          <w:p w14:paraId="4CA211FA"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25–35%</w:t>
            </w:r>
          </w:p>
        </w:tc>
      </w:tr>
      <w:tr w:rsidR="003F6A2F" w:rsidRPr="003F6A2F" w14:paraId="1C1D18D4" w14:textId="77777777" w:rsidTr="003E3C7E">
        <w:tc>
          <w:tcPr>
            <w:tcW w:w="0" w:type="auto"/>
            <w:hideMark/>
          </w:tcPr>
          <w:p w14:paraId="77F0CD58"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b/>
                <w:bCs/>
              </w:rPr>
              <w:t>FX earnings</w:t>
            </w:r>
          </w:p>
        </w:tc>
        <w:tc>
          <w:tcPr>
            <w:tcW w:w="0" w:type="auto"/>
            <w:hideMark/>
          </w:tcPr>
          <w:p w14:paraId="6C02A1E7"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100% hard currency</w:t>
            </w:r>
          </w:p>
        </w:tc>
        <w:tc>
          <w:tcPr>
            <w:tcW w:w="0" w:type="auto"/>
            <w:hideMark/>
          </w:tcPr>
          <w:p w14:paraId="3C0A06BE"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60% local / 40% FX</w:t>
            </w:r>
          </w:p>
        </w:tc>
        <w:tc>
          <w:tcPr>
            <w:tcW w:w="0" w:type="auto"/>
            <w:hideMark/>
          </w:tcPr>
          <w:p w14:paraId="67B1692F"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70% hard currency</w:t>
            </w:r>
          </w:p>
        </w:tc>
      </w:tr>
    </w:tbl>
    <w:p w14:paraId="384D6DB9" w14:textId="77777777" w:rsidR="00C0345B" w:rsidRDefault="00C0345B" w:rsidP="005E7DA2">
      <w:pPr>
        <w:spacing w:line="240" w:lineRule="auto"/>
        <w:jc w:val="both"/>
        <w:rPr>
          <w:rFonts w:ascii="Times New Roman" w:hAnsi="Times New Roman" w:cs="Times New Roman"/>
        </w:rPr>
      </w:pPr>
    </w:p>
    <w:p w14:paraId="234E2DF2" w14:textId="2D0D3A9F"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The economic hierarchy is clear: LNG exports </w:t>
      </w:r>
      <w:r w:rsidR="00C0345B" w:rsidRPr="003F6A2F">
        <w:rPr>
          <w:rFonts w:ascii="Times New Roman" w:hAnsi="Times New Roman" w:cs="Times New Roman"/>
        </w:rPr>
        <w:t>maximize</w:t>
      </w:r>
      <w:r w:rsidRPr="003F6A2F">
        <w:rPr>
          <w:rFonts w:ascii="Times New Roman" w:hAnsi="Times New Roman" w:cs="Times New Roman"/>
        </w:rPr>
        <w:t xml:space="preserve"> rent capture and foreign exchange. However, pipeline sales provide </w:t>
      </w:r>
      <w:r w:rsidRPr="003F6A2F">
        <w:rPr>
          <w:rFonts w:ascii="Times New Roman" w:hAnsi="Times New Roman" w:cs="Times New Roman"/>
          <w:b/>
          <w:bCs/>
        </w:rPr>
        <w:t>demand certainty</w:t>
      </w:r>
      <w:r w:rsidRPr="003F6A2F">
        <w:rPr>
          <w:rFonts w:ascii="Times New Roman" w:hAnsi="Times New Roman" w:cs="Times New Roman"/>
        </w:rPr>
        <w:t xml:space="preserve"> (baseload power offtake) and </w:t>
      </w:r>
      <w:r w:rsidRPr="003F6A2F">
        <w:rPr>
          <w:rFonts w:ascii="Times New Roman" w:hAnsi="Times New Roman" w:cs="Times New Roman"/>
          <w:b/>
          <w:bCs/>
        </w:rPr>
        <w:t>geopolitical optionality</w:t>
      </w:r>
      <w:r w:rsidRPr="003F6A2F">
        <w:rPr>
          <w:rFonts w:ascii="Times New Roman" w:hAnsi="Times New Roman" w:cs="Times New Roman"/>
        </w:rPr>
        <w:t xml:space="preserve"> (SADC energy security integration).</w:t>
      </w:r>
    </w:p>
    <w:p w14:paraId="094567D9" w14:textId="6F8EC1D9" w:rsidR="003F6A2F" w:rsidRPr="003F6A2F" w:rsidRDefault="003F6A2F" w:rsidP="005E7DA2">
      <w:pPr>
        <w:spacing w:line="240" w:lineRule="auto"/>
        <w:jc w:val="both"/>
        <w:rPr>
          <w:rFonts w:ascii="Times New Roman" w:hAnsi="Times New Roman" w:cs="Times New Roman"/>
        </w:rPr>
      </w:pPr>
    </w:p>
    <w:p w14:paraId="46AD9585" w14:textId="1A0EEE7F"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 xml:space="preserve">9. Revenue </w:t>
      </w:r>
      <w:r w:rsidR="00C0345B" w:rsidRPr="003F6A2F">
        <w:rPr>
          <w:rFonts w:ascii="Times New Roman" w:hAnsi="Times New Roman" w:cs="Times New Roman"/>
          <w:b/>
          <w:bCs/>
        </w:rPr>
        <w:t>Optimization</w:t>
      </w:r>
      <w:r w:rsidRPr="003F6A2F">
        <w:rPr>
          <w:rFonts w:ascii="Times New Roman" w:hAnsi="Times New Roman" w:cs="Times New Roman"/>
          <w:b/>
          <w:bCs/>
        </w:rPr>
        <w:t xml:space="preserve"> Under Different Gas Allocation Scenarios</w:t>
      </w:r>
    </w:p>
    <w:p w14:paraId="0C4DF72C" w14:textId="3BE162EB" w:rsid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 xml:space="preserve">Revenue </w:t>
      </w:r>
      <w:r w:rsidR="00C0345B" w:rsidRPr="003F6A2F">
        <w:rPr>
          <w:rFonts w:ascii="Times New Roman" w:hAnsi="Times New Roman" w:cs="Times New Roman"/>
          <w:b/>
          <w:bCs/>
        </w:rPr>
        <w:t>Optimization</w:t>
      </w:r>
      <w:r w:rsidRPr="003F6A2F">
        <w:rPr>
          <w:rFonts w:ascii="Times New Roman" w:hAnsi="Times New Roman" w:cs="Times New Roman"/>
          <w:b/>
          <w:bCs/>
        </w:rPr>
        <w:t xml:space="preserve"> Chart</w:t>
      </w:r>
    </w:p>
    <w:p w14:paraId="25E82236" w14:textId="0F837D30" w:rsidR="00C0345B" w:rsidRPr="003F6A2F" w:rsidRDefault="00C0345B" w:rsidP="005E7DA2">
      <w:pPr>
        <w:spacing w:line="240" w:lineRule="auto"/>
        <w:jc w:val="both"/>
        <w:rPr>
          <w:rFonts w:ascii="Times New Roman" w:hAnsi="Times New Roman" w:cs="Times New Roman"/>
        </w:rPr>
      </w:pPr>
      <w:r>
        <w:rPr>
          <w:rFonts w:ascii="Times New Roman" w:hAnsi="Times New Roman" w:cs="Times New Roman"/>
          <w:noProof/>
        </w:rPr>
        <w:drawing>
          <wp:inline distT="0" distB="0" distL="0" distR="0" wp14:anchorId="42665A20" wp14:editId="23EC907B">
            <wp:extent cx="5943600" cy="3167380"/>
            <wp:effectExtent l="0" t="0" r="0" b="0"/>
            <wp:docPr id="1627709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0904" name="Picture 1627709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167380"/>
                    </a:xfrm>
                    <a:prstGeom prst="rect">
                      <a:avLst/>
                    </a:prstGeom>
                  </pic:spPr>
                </pic:pic>
              </a:graphicData>
            </a:graphic>
          </wp:inline>
        </w:drawing>
      </w:r>
    </w:p>
    <w:p w14:paraId="4E6A7ED5"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Four scenarios evaluated at plateau production (~31 MTPA LNG equivalent):</w:t>
      </w:r>
    </w:p>
    <w:p w14:paraId="66909F4C" w14:textId="32841782" w:rsidR="003F6A2F" w:rsidRPr="003F6A2F" w:rsidRDefault="003F6A2F" w:rsidP="005E7DA2">
      <w:pPr>
        <w:numPr>
          <w:ilvl w:val="0"/>
          <w:numId w:val="13"/>
        </w:numPr>
        <w:spacing w:line="240" w:lineRule="auto"/>
        <w:jc w:val="both"/>
        <w:rPr>
          <w:rFonts w:ascii="Times New Roman" w:hAnsi="Times New Roman" w:cs="Times New Roman"/>
        </w:rPr>
      </w:pPr>
      <w:r w:rsidRPr="003F6A2F">
        <w:rPr>
          <w:rFonts w:ascii="Times New Roman" w:hAnsi="Times New Roman" w:cs="Times New Roman"/>
          <w:b/>
          <w:bCs/>
        </w:rPr>
        <w:t>Scenario A (Max LNG):</w:t>
      </w:r>
      <w:r w:rsidRPr="003F6A2F">
        <w:rPr>
          <w:rFonts w:ascii="Times New Roman" w:hAnsi="Times New Roman" w:cs="Times New Roman"/>
        </w:rPr>
        <w:t xml:space="preserve"> $27.9bn total revenue, $8.2bn government take. Highest NPV but </w:t>
      </w:r>
      <w:r w:rsidR="00C0345B" w:rsidRPr="003F6A2F">
        <w:rPr>
          <w:rFonts w:ascii="Times New Roman" w:hAnsi="Times New Roman" w:cs="Times New Roman"/>
        </w:rPr>
        <w:t>maximum-security</w:t>
      </w:r>
      <w:r w:rsidRPr="003F6A2F">
        <w:rPr>
          <w:rFonts w:ascii="Times New Roman" w:hAnsi="Times New Roman" w:cs="Times New Roman"/>
        </w:rPr>
        <w:t xml:space="preserve"> risk concentration.</w:t>
      </w:r>
    </w:p>
    <w:p w14:paraId="553C125B" w14:textId="77777777" w:rsidR="003F6A2F" w:rsidRPr="003F6A2F" w:rsidRDefault="003F6A2F" w:rsidP="005E7DA2">
      <w:pPr>
        <w:numPr>
          <w:ilvl w:val="0"/>
          <w:numId w:val="13"/>
        </w:numPr>
        <w:spacing w:line="240" w:lineRule="auto"/>
        <w:jc w:val="both"/>
        <w:rPr>
          <w:rFonts w:ascii="Times New Roman" w:hAnsi="Times New Roman" w:cs="Times New Roman"/>
        </w:rPr>
      </w:pPr>
      <w:r w:rsidRPr="003F6A2F">
        <w:rPr>
          <w:rFonts w:ascii="Times New Roman" w:hAnsi="Times New Roman" w:cs="Times New Roman"/>
          <w:b/>
          <w:bCs/>
        </w:rPr>
        <w:t>Scenario B (Balanced):</w:t>
      </w:r>
      <w:r w:rsidRPr="003F6A2F">
        <w:rPr>
          <w:rFonts w:ascii="Times New Roman" w:hAnsi="Times New Roman" w:cs="Times New Roman"/>
        </w:rPr>
        <w:t xml:space="preserve"> $24.4bn total revenue, $7.5bn government take. Optimal diversification.</w:t>
      </w:r>
    </w:p>
    <w:p w14:paraId="7C990E89" w14:textId="77777777" w:rsidR="003F6A2F" w:rsidRPr="003F6A2F" w:rsidRDefault="003F6A2F" w:rsidP="005E7DA2">
      <w:pPr>
        <w:numPr>
          <w:ilvl w:val="0"/>
          <w:numId w:val="13"/>
        </w:numPr>
        <w:spacing w:line="240" w:lineRule="auto"/>
        <w:jc w:val="both"/>
        <w:rPr>
          <w:rFonts w:ascii="Times New Roman" w:hAnsi="Times New Roman" w:cs="Times New Roman"/>
        </w:rPr>
      </w:pPr>
      <w:r w:rsidRPr="003F6A2F">
        <w:rPr>
          <w:rFonts w:ascii="Times New Roman" w:hAnsi="Times New Roman" w:cs="Times New Roman"/>
          <w:b/>
          <w:bCs/>
        </w:rPr>
        <w:t>Scenario C (Regional Hub):</w:t>
      </w:r>
      <w:r w:rsidRPr="003F6A2F">
        <w:rPr>
          <w:rFonts w:ascii="Times New Roman" w:hAnsi="Times New Roman" w:cs="Times New Roman"/>
        </w:rPr>
        <w:t xml:space="preserve"> $22.3bn total revenue, $6.8bn government take. Strong regional integration benefits.</w:t>
      </w:r>
    </w:p>
    <w:p w14:paraId="16CFAA0A" w14:textId="77777777" w:rsidR="003F6A2F" w:rsidRPr="003F6A2F" w:rsidRDefault="003F6A2F" w:rsidP="005E7DA2">
      <w:pPr>
        <w:numPr>
          <w:ilvl w:val="0"/>
          <w:numId w:val="13"/>
        </w:numPr>
        <w:spacing w:line="240" w:lineRule="auto"/>
        <w:jc w:val="both"/>
        <w:rPr>
          <w:rFonts w:ascii="Times New Roman" w:hAnsi="Times New Roman" w:cs="Times New Roman"/>
        </w:rPr>
      </w:pPr>
      <w:r w:rsidRPr="003F6A2F">
        <w:rPr>
          <w:rFonts w:ascii="Times New Roman" w:hAnsi="Times New Roman" w:cs="Times New Roman"/>
          <w:b/>
          <w:bCs/>
        </w:rPr>
        <w:lastRenderedPageBreak/>
        <w:t>Scenario D (Domestic Priority):</w:t>
      </w:r>
      <w:r w:rsidRPr="003F6A2F">
        <w:rPr>
          <w:rFonts w:ascii="Times New Roman" w:hAnsi="Times New Roman" w:cs="Times New Roman"/>
        </w:rPr>
        <w:t xml:space="preserve"> $20.4bn total revenue, $6.1bn government take. Highest employment multiplier but lowest fiscal yield.</w:t>
      </w:r>
    </w:p>
    <w:p w14:paraId="37BAF64F" w14:textId="77777777" w:rsid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Cash Flow Waterfall</w:t>
      </w:r>
    </w:p>
    <w:p w14:paraId="6F728862" w14:textId="185AE212" w:rsidR="00C0345B" w:rsidRPr="003F6A2F" w:rsidRDefault="00C0345B" w:rsidP="005E7DA2">
      <w:pPr>
        <w:spacing w:line="240" w:lineRule="auto"/>
        <w:jc w:val="both"/>
        <w:rPr>
          <w:rFonts w:ascii="Times New Roman" w:hAnsi="Times New Roman" w:cs="Times New Roman"/>
        </w:rPr>
      </w:pPr>
      <w:r>
        <w:rPr>
          <w:rFonts w:ascii="Times New Roman" w:hAnsi="Times New Roman" w:cs="Times New Roman"/>
          <w:noProof/>
        </w:rPr>
        <w:drawing>
          <wp:inline distT="0" distB="0" distL="0" distR="0" wp14:anchorId="719F85A2" wp14:editId="00D26EAD">
            <wp:extent cx="5943600" cy="2941320"/>
            <wp:effectExtent l="0" t="0" r="0" b="0"/>
            <wp:docPr id="14244634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63433" name="Picture 142446343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941320"/>
                    </a:xfrm>
                    <a:prstGeom prst="rect">
                      <a:avLst/>
                    </a:prstGeom>
                  </pic:spPr>
                </pic:pic>
              </a:graphicData>
            </a:graphic>
          </wp:inline>
        </w:drawing>
      </w:r>
    </w:p>
    <w:p w14:paraId="6EDF4A1B"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The waterfall illustrates the annual cash flow build-up for the Balanced Allocation scenario. Gross LNG revenues dominate ($28.5bn), but government take (royalty, profit petroleum, CIT) absorbs ~$14.2bn. Security costs represent a $1.5bn annual drag—an extraordinary 5% of gross revenue that few other LNG projects globally incur.</w:t>
      </w:r>
    </w:p>
    <w:p w14:paraId="072AE865" w14:textId="51F2F087" w:rsidR="003F6A2F" w:rsidRPr="003F6A2F" w:rsidRDefault="003F6A2F" w:rsidP="005E7DA2">
      <w:pPr>
        <w:spacing w:line="240" w:lineRule="auto"/>
        <w:jc w:val="both"/>
        <w:rPr>
          <w:rFonts w:ascii="Times New Roman" w:hAnsi="Times New Roman" w:cs="Times New Roman"/>
        </w:rPr>
      </w:pPr>
    </w:p>
    <w:p w14:paraId="14222477"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10. Contract Structures and Pricing Mechanisms</w:t>
      </w:r>
    </w:p>
    <w:p w14:paraId="7CDD9E6D" w14:textId="2432EB9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Mozambique's gas </w:t>
      </w:r>
      <w:r w:rsidR="00C0345B" w:rsidRPr="003F6A2F">
        <w:rPr>
          <w:rFonts w:ascii="Times New Roman" w:hAnsi="Times New Roman" w:cs="Times New Roman"/>
        </w:rPr>
        <w:t>commercialization</w:t>
      </w:r>
      <w:r w:rsidRPr="003F6A2F">
        <w:rPr>
          <w:rFonts w:ascii="Times New Roman" w:hAnsi="Times New Roman" w:cs="Times New Roman"/>
        </w:rPr>
        <w:t xml:space="preserve"> requires a hybrid contract architecture:</w:t>
      </w:r>
    </w:p>
    <w:p w14:paraId="5D13BA73"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t>LNG Exports:</w:t>
      </w:r>
    </w:p>
    <w:p w14:paraId="58E4BB8C" w14:textId="77777777" w:rsidR="003F6A2F" w:rsidRPr="003F6A2F" w:rsidRDefault="003F6A2F" w:rsidP="005E7DA2">
      <w:pPr>
        <w:numPr>
          <w:ilvl w:val="0"/>
          <w:numId w:val="14"/>
        </w:numPr>
        <w:spacing w:line="240" w:lineRule="auto"/>
        <w:jc w:val="both"/>
        <w:rPr>
          <w:rFonts w:ascii="Times New Roman" w:hAnsi="Times New Roman" w:cs="Times New Roman"/>
        </w:rPr>
      </w:pPr>
      <w:r w:rsidRPr="003F6A2F">
        <w:rPr>
          <w:rFonts w:ascii="Times New Roman" w:hAnsi="Times New Roman" w:cs="Times New Roman"/>
        </w:rPr>
        <w:t>Long-term SPAs (15–20 years) with oil-indexed pricing (JCC slope 11–14.5%)</w:t>
      </w:r>
    </w:p>
    <w:p w14:paraId="59FBC7AB" w14:textId="77777777" w:rsidR="003F6A2F" w:rsidRPr="003F6A2F" w:rsidRDefault="003F6A2F" w:rsidP="005E7DA2">
      <w:pPr>
        <w:numPr>
          <w:ilvl w:val="0"/>
          <w:numId w:val="14"/>
        </w:numPr>
        <w:spacing w:line="240" w:lineRule="auto"/>
        <w:jc w:val="both"/>
        <w:rPr>
          <w:rFonts w:ascii="Times New Roman" w:hAnsi="Times New Roman" w:cs="Times New Roman"/>
        </w:rPr>
      </w:pPr>
      <w:r w:rsidRPr="003F6A2F">
        <w:rPr>
          <w:rFonts w:ascii="Times New Roman" w:hAnsi="Times New Roman" w:cs="Times New Roman"/>
        </w:rPr>
        <w:t>Increasing spot/short-term exposure (20–30% by 2035) to capture volatility</w:t>
      </w:r>
    </w:p>
    <w:p w14:paraId="2B27D4D9" w14:textId="77777777" w:rsidR="003F6A2F" w:rsidRPr="003F6A2F" w:rsidRDefault="003F6A2F" w:rsidP="005E7DA2">
      <w:pPr>
        <w:numPr>
          <w:ilvl w:val="0"/>
          <w:numId w:val="14"/>
        </w:numPr>
        <w:spacing w:line="240" w:lineRule="auto"/>
        <w:jc w:val="both"/>
        <w:rPr>
          <w:rFonts w:ascii="Times New Roman" w:hAnsi="Times New Roman" w:cs="Times New Roman"/>
        </w:rPr>
      </w:pPr>
      <w:r w:rsidRPr="003F6A2F">
        <w:rPr>
          <w:rFonts w:ascii="Times New Roman" w:hAnsi="Times New Roman" w:cs="Times New Roman"/>
        </w:rPr>
        <w:t>DES and FOB structures depending on buyer preference</w:t>
      </w:r>
    </w:p>
    <w:p w14:paraId="321D47A0"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t>Domestic Market:</w:t>
      </w:r>
    </w:p>
    <w:p w14:paraId="285180D8" w14:textId="77777777" w:rsidR="003F6A2F" w:rsidRPr="003F6A2F" w:rsidRDefault="003F6A2F" w:rsidP="005E7DA2">
      <w:pPr>
        <w:numPr>
          <w:ilvl w:val="0"/>
          <w:numId w:val="15"/>
        </w:numPr>
        <w:spacing w:line="240" w:lineRule="auto"/>
        <w:jc w:val="both"/>
        <w:rPr>
          <w:rFonts w:ascii="Times New Roman" w:hAnsi="Times New Roman" w:cs="Times New Roman"/>
        </w:rPr>
      </w:pPr>
      <w:r w:rsidRPr="003F6A2F">
        <w:rPr>
          <w:rFonts w:ascii="Times New Roman" w:hAnsi="Times New Roman" w:cs="Times New Roman"/>
        </w:rPr>
        <w:t>Regulated DMO pricing: cost-plus or netback formula</w:t>
      </w:r>
    </w:p>
    <w:p w14:paraId="59C8AF64" w14:textId="77777777" w:rsidR="003F6A2F" w:rsidRPr="003F6A2F" w:rsidRDefault="003F6A2F" w:rsidP="005E7DA2">
      <w:pPr>
        <w:numPr>
          <w:ilvl w:val="0"/>
          <w:numId w:val="15"/>
        </w:numPr>
        <w:spacing w:line="240" w:lineRule="auto"/>
        <w:jc w:val="both"/>
        <w:rPr>
          <w:rFonts w:ascii="Times New Roman" w:hAnsi="Times New Roman" w:cs="Times New Roman"/>
        </w:rPr>
      </w:pPr>
      <w:r w:rsidRPr="003F6A2F">
        <w:rPr>
          <w:rFonts w:ascii="Times New Roman" w:hAnsi="Times New Roman" w:cs="Times New Roman"/>
        </w:rPr>
        <w:t>Industrial offtake: take-or-pay with floor/ceiling (Henry Hub + $1.50–3.00/MMBtu)</w:t>
      </w:r>
    </w:p>
    <w:p w14:paraId="02FD6FC4" w14:textId="77777777" w:rsidR="003F6A2F" w:rsidRPr="003F6A2F" w:rsidRDefault="003F6A2F" w:rsidP="005E7DA2">
      <w:pPr>
        <w:numPr>
          <w:ilvl w:val="0"/>
          <w:numId w:val="15"/>
        </w:numPr>
        <w:spacing w:line="240" w:lineRule="auto"/>
        <w:jc w:val="both"/>
        <w:rPr>
          <w:rFonts w:ascii="Times New Roman" w:hAnsi="Times New Roman" w:cs="Times New Roman"/>
        </w:rPr>
      </w:pPr>
      <w:r w:rsidRPr="003F6A2F">
        <w:rPr>
          <w:rFonts w:ascii="Times New Roman" w:hAnsi="Times New Roman" w:cs="Times New Roman"/>
        </w:rPr>
        <w:t>Power sector: regulated tariff pass-through requiring subsidy mechanism</w:t>
      </w:r>
    </w:p>
    <w:p w14:paraId="4FB55CE9"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t>Regional Pipeline:</w:t>
      </w:r>
    </w:p>
    <w:p w14:paraId="7BBA4503" w14:textId="77777777" w:rsidR="003F6A2F" w:rsidRPr="003F6A2F" w:rsidRDefault="003F6A2F" w:rsidP="005E7DA2">
      <w:pPr>
        <w:numPr>
          <w:ilvl w:val="0"/>
          <w:numId w:val="16"/>
        </w:numPr>
        <w:spacing w:line="240" w:lineRule="auto"/>
        <w:jc w:val="both"/>
        <w:rPr>
          <w:rFonts w:ascii="Times New Roman" w:hAnsi="Times New Roman" w:cs="Times New Roman"/>
        </w:rPr>
      </w:pPr>
      <w:r w:rsidRPr="003F6A2F">
        <w:rPr>
          <w:rFonts w:ascii="Times New Roman" w:hAnsi="Times New Roman" w:cs="Times New Roman"/>
        </w:rPr>
        <w:t>ROMPCO-style long-term transmission agreements</w:t>
      </w:r>
    </w:p>
    <w:p w14:paraId="33F68A4A" w14:textId="77777777" w:rsidR="003F6A2F" w:rsidRPr="003F6A2F" w:rsidRDefault="003F6A2F" w:rsidP="005E7DA2">
      <w:pPr>
        <w:numPr>
          <w:ilvl w:val="0"/>
          <w:numId w:val="16"/>
        </w:numPr>
        <w:spacing w:line="240" w:lineRule="auto"/>
        <w:jc w:val="both"/>
        <w:rPr>
          <w:rFonts w:ascii="Times New Roman" w:hAnsi="Times New Roman" w:cs="Times New Roman"/>
        </w:rPr>
      </w:pPr>
      <w:r w:rsidRPr="003F6A2F">
        <w:rPr>
          <w:rFonts w:ascii="Times New Roman" w:hAnsi="Times New Roman" w:cs="Times New Roman"/>
        </w:rPr>
        <w:lastRenderedPageBreak/>
        <w:t>Ship-or-pay contracts with Sasol, Eskom, and IPPs</w:t>
      </w:r>
    </w:p>
    <w:p w14:paraId="4306C1E2" w14:textId="4EE2F90C" w:rsidR="003F6A2F" w:rsidRDefault="003F6A2F" w:rsidP="005E7DA2">
      <w:pPr>
        <w:numPr>
          <w:ilvl w:val="0"/>
          <w:numId w:val="16"/>
        </w:numPr>
        <w:spacing w:line="240" w:lineRule="auto"/>
        <w:jc w:val="both"/>
        <w:rPr>
          <w:rFonts w:ascii="Times New Roman" w:hAnsi="Times New Roman" w:cs="Times New Roman"/>
        </w:rPr>
      </w:pPr>
      <w:r w:rsidRPr="003F6A2F">
        <w:rPr>
          <w:rFonts w:ascii="Times New Roman" w:hAnsi="Times New Roman" w:cs="Times New Roman"/>
        </w:rPr>
        <w:t>Blended pricing: LNG netback minus regasification and transport</w:t>
      </w:r>
    </w:p>
    <w:p w14:paraId="275C1AB3" w14:textId="77777777" w:rsidR="00C0345B" w:rsidRPr="003F6A2F" w:rsidRDefault="00C0345B" w:rsidP="005E7DA2">
      <w:pPr>
        <w:spacing w:line="240" w:lineRule="auto"/>
        <w:ind w:left="720"/>
        <w:jc w:val="both"/>
        <w:rPr>
          <w:rFonts w:ascii="Times New Roman" w:hAnsi="Times New Roman" w:cs="Times New Roman"/>
        </w:rPr>
      </w:pPr>
    </w:p>
    <w:p w14:paraId="7548E32D"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11. LNG Portfolio Marketing Strategies</w:t>
      </w:r>
    </w:p>
    <w:p w14:paraId="08401AA8"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Given the 2029–2030 start-up window, Mozambique LNG and Rovuma LNG will enter a market structurally different from the tight 2022–2025 period:</w:t>
      </w:r>
    </w:p>
    <w:p w14:paraId="1E4B4253" w14:textId="77777777" w:rsidR="003F6A2F" w:rsidRPr="003F6A2F" w:rsidRDefault="003F6A2F" w:rsidP="005E7DA2">
      <w:pPr>
        <w:numPr>
          <w:ilvl w:val="0"/>
          <w:numId w:val="17"/>
        </w:numPr>
        <w:spacing w:line="240" w:lineRule="auto"/>
        <w:jc w:val="both"/>
        <w:rPr>
          <w:rFonts w:ascii="Times New Roman" w:hAnsi="Times New Roman" w:cs="Times New Roman"/>
        </w:rPr>
      </w:pPr>
      <w:r w:rsidRPr="003F6A2F">
        <w:rPr>
          <w:rFonts w:ascii="Times New Roman" w:hAnsi="Times New Roman" w:cs="Times New Roman"/>
          <w:b/>
          <w:bCs/>
        </w:rPr>
        <w:t>Portfolio players</w:t>
      </w:r>
      <w:r w:rsidRPr="003F6A2F">
        <w:rPr>
          <w:rFonts w:ascii="Times New Roman" w:hAnsi="Times New Roman" w:cs="Times New Roman"/>
        </w:rPr>
        <w:t xml:space="preserve"> (TotalEnergies, ExxonMobil, Shell) will </w:t>
      </w:r>
      <w:proofErr w:type="spellStart"/>
      <w:r w:rsidRPr="003F6A2F">
        <w:rPr>
          <w:rFonts w:ascii="Times New Roman" w:hAnsi="Times New Roman" w:cs="Times New Roman"/>
        </w:rPr>
        <w:t>optimise</w:t>
      </w:r>
      <w:proofErr w:type="spellEnd"/>
      <w:r w:rsidRPr="003F6A2F">
        <w:rPr>
          <w:rFonts w:ascii="Times New Roman" w:hAnsi="Times New Roman" w:cs="Times New Roman"/>
        </w:rPr>
        <w:t xml:space="preserve"> Atlantic vs Pacific arbitrage</w:t>
      </w:r>
    </w:p>
    <w:p w14:paraId="483C32D5" w14:textId="77777777" w:rsidR="003F6A2F" w:rsidRPr="003F6A2F" w:rsidRDefault="003F6A2F" w:rsidP="005E7DA2">
      <w:pPr>
        <w:numPr>
          <w:ilvl w:val="0"/>
          <w:numId w:val="17"/>
        </w:numPr>
        <w:spacing w:line="240" w:lineRule="auto"/>
        <w:jc w:val="both"/>
        <w:rPr>
          <w:rFonts w:ascii="Times New Roman" w:hAnsi="Times New Roman" w:cs="Times New Roman"/>
        </w:rPr>
      </w:pPr>
      <w:r w:rsidRPr="003F6A2F">
        <w:rPr>
          <w:rFonts w:ascii="Times New Roman" w:hAnsi="Times New Roman" w:cs="Times New Roman"/>
          <w:b/>
          <w:bCs/>
        </w:rPr>
        <w:t>Asian buyers</w:t>
      </w:r>
      <w:r w:rsidRPr="003F6A2F">
        <w:rPr>
          <w:rFonts w:ascii="Times New Roman" w:hAnsi="Times New Roman" w:cs="Times New Roman"/>
        </w:rPr>
        <w:t xml:space="preserve"> (China, India, Japan) are increasingly price-sensitive and may curtail demand above $12/MMBtu </w:t>
      </w:r>
    </w:p>
    <w:p w14:paraId="4876F690" w14:textId="77777777" w:rsidR="003F6A2F" w:rsidRPr="003F6A2F" w:rsidRDefault="003F6A2F" w:rsidP="005E7DA2">
      <w:pPr>
        <w:numPr>
          <w:ilvl w:val="0"/>
          <w:numId w:val="17"/>
        </w:numPr>
        <w:spacing w:line="240" w:lineRule="auto"/>
        <w:jc w:val="both"/>
        <w:rPr>
          <w:rFonts w:ascii="Times New Roman" w:hAnsi="Times New Roman" w:cs="Times New Roman"/>
        </w:rPr>
      </w:pPr>
      <w:r w:rsidRPr="003F6A2F">
        <w:rPr>
          <w:rFonts w:ascii="Times New Roman" w:hAnsi="Times New Roman" w:cs="Times New Roman"/>
          <w:b/>
          <w:bCs/>
        </w:rPr>
        <w:t>European demand</w:t>
      </w:r>
      <w:r w:rsidRPr="003F6A2F">
        <w:rPr>
          <w:rFonts w:ascii="Times New Roman" w:hAnsi="Times New Roman" w:cs="Times New Roman"/>
        </w:rPr>
        <w:t xml:space="preserve"> </w:t>
      </w:r>
      <w:proofErr w:type="spellStart"/>
      <w:r w:rsidRPr="003F6A2F">
        <w:rPr>
          <w:rFonts w:ascii="Times New Roman" w:hAnsi="Times New Roman" w:cs="Times New Roman"/>
        </w:rPr>
        <w:t>stabilises</w:t>
      </w:r>
      <w:proofErr w:type="spellEnd"/>
      <w:r w:rsidRPr="003F6A2F">
        <w:rPr>
          <w:rFonts w:ascii="Times New Roman" w:hAnsi="Times New Roman" w:cs="Times New Roman"/>
        </w:rPr>
        <w:t xml:space="preserve"> post-2025 as renewables and nuclear expand, but Russian piped gas displacement sustains baseline LNG imports</w:t>
      </w:r>
    </w:p>
    <w:p w14:paraId="16DDBC58"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Mozambique's strategic location allows </w:t>
      </w:r>
      <w:r w:rsidRPr="003F6A2F">
        <w:rPr>
          <w:rFonts w:ascii="Times New Roman" w:hAnsi="Times New Roman" w:cs="Times New Roman"/>
          <w:b/>
          <w:bCs/>
        </w:rPr>
        <w:t>dual-market optionality</w:t>
      </w:r>
      <w:r w:rsidRPr="003F6A2F">
        <w:rPr>
          <w:rFonts w:ascii="Times New Roman" w:hAnsi="Times New Roman" w:cs="Times New Roman"/>
        </w:rPr>
        <w:t>—unlike US Gulf Coast projects locked into Atlantic netbacks, Mozambique can swing cargoes to Asia (JKM) or Europe (TTF) depending on spread dynamics.</w:t>
      </w:r>
    </w:p>
    <w:p w14:paraId="538F4120" w14:textId="1378FCED" w:rsidR="003F6A2F" w:rsidRPr="003F6A2F" w:rsidRDefault="003F6A2F" w:rsidP="005E7DA2">
      <w:pPr>
        <w:spacing w:line="240" w:lineRule="auto"/>
        <w:jc w:val="both"/>
        <w:rPr>
          <w:rFonts w:ascii="Times New Roman" w:hAnsi="Times New Roman" w:cs="Times New Roman"/>
        </w:rPr>
      </w:pPr>
    </w:p>
    <w:p w14:paraId="39C25B91"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12. South African Gas Market Opportunities</w:t>
      </w:r>
    </w:p>
    <w:p w14:paraId="703F9593"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South Africa represents Mozambique's most valuable regional market but also its most complex:</w:t>
      </w:r>
    </w:p>
    <w:p w14:paraId="525A28AE"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t>Demand drivers:</w:t>
      </w:r>
    </w:p>
    <w:p w14:paraId="67D773D9" w14:textId="77777777" w:rsidR="003F6A2F" w:rsidRPr="003F6A2F" w:rsidRDefault="003F6A2F" w:rsidP="005E7DA2">
      <w:pPr>
        <w:numPr>
          <w:ilvl w:val="0"/>
          <w:numId w:val="18"/>
        </w:numPr>
        <w:spacing w:line="240" w:lineRule="auto"/>
        <w:jc w:val="both"/>
        <w:rPr>
          <w:rFonts w:ascii="Times New Roman" w:hAnsi="Times New Roman" w:cs="Times New Roman"/>
        </w:rPr>
      </w:pPr>
      <w:r w:rsidRPr="003F6A2F">
        <w:rPr>
          <w:rFonts w:ascii="Times New Roman" w:hAnsi="Times New Roman" w:cs="Times New Roman"/>
          <w:b/>
          <w:bCs/>
        </w:rPr>
        <w:t>Industrial:</w:t>
      </w:r>
      <w:r w:rsidRPr="003F6A2F">
        <w:rPr>
          <w:rFonts w:ascii="Times New Roman" w:hAnsi="Times New Roman" w:cs="Times New Roman"/>
        </w:rPr>
        <w:t xml:space="preserve"> Sasol Secunda/Sasolburg (100–120 PJ/year Fischer-</w:t>
      </w:r>
      <w:proofErr w:type="spellStart"/>
      <w:r w:rsidRPr="003F6A2F">
        <w:rPr>
          <w:rFonts w:ascii="Times New Roman" w:hAnsi="Times New Roman" w:cs="Times New Roman"/>
        </w:rPr>
        <w:t>Tropsch</w:t>
      </w:r>
      <w:proofErr w:type="spellEnd"/>
      <w:r w:rsidRPr="003F6A2F">
        <w:rPr>
          <w:rFonts w:ascii="Times New Roman" w:hAnsi="Times New Roman" w:cs="Times New Roman"/>
        </w:rPr>
        <w:t xml:space="preserve"> feedstock) </w:t>
      </w:r>
    </w:p>
    <w:p w14:paraId="4F844777" w14:textId="77777777" w:rsidR="003F6A2F" w:rsidRPr="003F6A2F" w:rsidRDefault="003F6A2F" w:rsidP="005E7DA2">
      <w:pPr>
        <w:numPr>
          <w:ilvl w:val="0"/>
          <w:numId w:val="18"/>
        </w:numPr>
        <w:spacing w:line="240" w:lineRule="auto"/>
        <w:jc w:val="both"/>
        <w:rPr>
          <w:rFonts w:ascii="Times New Roman" w:hAnsi="Times New Roman" w:cs="Times New Roman"/>
        </w:rPr>
      </w:pPr>
      <w:r w:rsidRPr="003F6A2F">
        <w:rPr>
          <w:rFonts w:ascii="Times New Roman" w:hAnsi="Times New Roman" w:cs="Times New Roman"/>
          <w:b/>
          <w:bCs/>
        </w:rPr>
        <w:t>Power:</w:t>
      </w:r>
      <w:r w:rsidRPr="003F6A2F">
        <w:rPr>
          <w:rFonts w:ascii="Times New Roman" w:hAnsi="Times New Roman" w:cs="Times New Roman"/>
        </w:rPr>
        <w:t xml:space="preserve"> IRP 2025 mandates 6,000 MW gas-to-power by 2030, 16,000 MW by 2039 </w:t>
      </w:r>
    </w:p>
    <w:p w14:paraId="20B66ED5" w14:textId="77777777" w:rsidR="003F6A2F" w:rsidRPr="003F6A2F" w:rsidRDefault="003F6A2F" w:rsidP="005E7DA2">
      <w:pPr>
        <w:numPr>
          <w:ilvl w:val="0"/>
          <w:numId w:val="18"/>
        </w:numPr>
        <w:spacing w:line="240" w:lineRule="auto"/>
        <w:jc w:val="both"/>
        <w:rPr>
          <w:rFonts w:ascii="Times New Roman" w:hAnsi="Times New Roman" w:cs="Times New Roman"/>
        </w:rPr>
      </w:pPr>
      <w:r w:rsidRPr="003F6A2F">
        <w:rPr>
          <w:rFonts w:ascii="Times New Roman" w:hAnsi="Times New Roman" w:cs="Times New Roman"/>
          <w:b/>
          <w:bCs/>
        </w:rPr>
        <w:t>Gas cliff:</w:t>
      </w:r>
      <w:r w:rsidRPr="003F6A2F">
        <w:rPr>
          <w:rFonts w:ascii="Times New Roman" w:hAnsi="Times New Roman" w:cs="Times New Roman"/>
        </w:rPr>
        <w:t xml:space="preserve"> Pande-</w:t>
      </w:r>
      <w:proofErr w:type="spellStart"/>
      <w:r w:rsidRPr="003F6A2F">
        <w:rPr>
          <w:rFonts w:ascii="Times New Roman" w:hAnsi="Times New Roman" w:cs="Times New Roman"/>
        </w:rPr>
        <w:t>Temane</w:t>
      </w:r>
      <w:proofErr w:type="spellEnd"/>
      <w:r w:rsidRPr="003F6A2F">
        <w:rPr>
          <w:rFonts w:ascii="Times New Roman" w:hAnsi="Times New Roman" w:cs="Times New Roman"/>
        </w:rPr>
        <w:t xml:space="preserve"> depletion by 2027 creates urgent import need </w:t>
      </w:r>
    </w:p>
    <w:p w14:paraId="11C6A99D"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t>Supply options:</w:t>
      </w:r>
    </w:p>
    <w:p w14:paraId="0D65A369" w14:textId="77777777" w:rsidR="003F6A2F" w:rsidRPr="003F6A2F" w:rsidRDefault="003F6A2F" w:rsidP="005E7DA2">
      <w:pPr>
        <w:numPr>
          <w:ilvl w:val="0"/>
          <w:numId w:val="19"/>
        </w:numPr>
        <w:spacing w:line="240" w:lineRule="auto"/>
        <w:jc w:val="both"/>
        <w:rPr>
          <w:rFonts w:ascii="Times New Roman" w:hAnsi="Times New Roman" w:cs="Times New Roman"/>
        </w:rPr>
      </w:pPr>
      <w:r w:rsidRPr="003F6A2F">
        <w:rPr>
          <w:rFonts w:ascii="Times New Roman" w:hAnsi="Times New Roman" w:cs="Times New Roman"/>
        </w:rPr>
        <w:t>Matola FSRU + ROMPCO pipeline extension</w:t>
      </w:r>
    </w:p>
    <w:p w14:paraId="0F3AAF8A" w14:textId="77777777" w:rsidR="003F6A2F" w:rsidRPr="003F6A2F" w:rsidRDefault="003F6A2F" w:rsidP="005E7DA2">
      <w:pPr>
        <w:numPr>
          <w:ilvl w:val="0"/>
          <w:numId w:val="19"/>
        </w:numPr>
        <w:spacing w:line="240" w:lineRule="auto"/>
        <w:jc w:val="both"/>
        <w:rPr>
          <w:rFonts w:ascii="Times New Roman" w:hAnsi="Times New Roman" w:cs="Times New Roman"/>
        </w:rPr>
      </w:pPr>
      <w:r w:rsidRPr="003F6A2F">
        <w:rPr>
          <w:rFonts w:ascii="Times New Roman" w:hAnsi="Times New Roman" w:cs="Times New Roman"/>
        </w:rPr>
        <w:t>Richards Bay FSRU + Lilly pipeline to Secunda</w:t>
      </w:r>
    </w:p>
    <w:p w14:paraId="596D040B" w14:textId="77777777" w:rsidR="003F6A2F" w:rsidRPr="003F6A2F" w:rsidRDefault="003F6A2F" w:rsidP="005E7DA2">
      <w:pPr>
        <w:numPr>
          <w:ilvl w:val="0"/>
          <w:numId w:val="19"/>
        </w:numPr>
        <w:spacing w:line="240" w:lineRule="auto"/>
        <w:jc w:val="both"/>
        <w:rPr>
          <w:rFonts w:ascii="Times New Roman" w:hAnsi="Times New Roman" w:cs="Times New Roman"/>
        </w:rPr>
      </w:pPr>
      <w:r w:rsidRPr="003F6A2F">
        <w:rPr>
          <w:rFonts w:ascii="Times New Roman" w:hAnsi="Times New Roman" w:cs="Times New Roman"/>
        </w:rPr>
        <w:t>Direct Rovuma pipeline (long-term, high CAPEX)</w:t>
      </w:r>
    </w:p>
    <w:p w14:paraId="4640FBB4"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The South African market's scale (potentially 300+ PJ/year by 2040) justifies dedicated infrastructure, but procurement delays, Eskom financial distress, and IRP implementation risk temper near-term optimism.</w:t>
      </w:r>
    </w:p>
    <w:p w14:paraId="4604FCD6" w14:textId="238BD6E8" w:rsidR="003F6A2F" w:rsidRPr="003F6A2F" w:rsidRDefault="003F6A2F" w:rsidP="005E7DA2">
      <w:pPr>
        <w:spacing w:line="240" w:lineRule="auto"/>
        <w:jc w:val="both"/>
        <w:rPr>
          <w:rFonts w:ascii="Times New Roman" w:hAnsi="Times New Roman" w:cs="Times New Roman"/>
        </w:rPr>
      </w:pPr>
    </w:p>
    <w:p w14:paraId="48646C6B"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13. Regional Energy Integration</w:t>
      </w:r>
    </w:p>
    <w:p w14:paraId="4FA01412"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The SADC Regional Gas Master Plan (2025) provides the institutional framework for integration, but implementation gaps remain severe:</w:t>
      </w:r>
    </w:p>
    <w:p w14:paraId="4B2ED027" w14:textId="77777777" w:rsidR="003F6A2F" w:rsidRPr="003F6A2F" w:rsidRDefault="003F6A2F" w:rsidP="005E7DA2">
      <w:pPr>
        <w:numPr>
          <w:ilvl w:val="0"/>
          <w:numId w:val="20"/>
        </w:numPr>
        <w:spacing w:line="240" w:lineRule="auto"/>
        <w:jc w:val="both"/>
        <w:rPr>
          <w:rFonts w:ascii="Times New Roman" w:hAnsi="Times New Roman" w:cs="Times New Roman"/>
        </w:rPr>
      </w:pPr>
      <w:r w:rsidRPr="003F6A2F">
        <w:rPr>
          <w:rFonts w:ascii="Times New Roman" w:hAnsi="Times New Roman" w:cs="Times New Roman"/>
          <w:b/>
          <w:bCs/>
        </w:rPr>
        <w:lastRenderedPageBreak/>
        <w:t xml:space="preserve">Regulatory </w:t>
      </w:r>
      <w:proofErr w:type="spellStart"/>
      <w:r w:rsidRPr="003F6A2F">
        <w:rPr>
          <w:rFonts w:ascii="Times New Roman" w:hAnsi="Times New Roman" w:cs="Times New Roman"/>
          <w:b/>
          <w:bCs/>
        </w:rPr>
        <w:t>harmonisation</w:t>
      </w:r>
      <w:proofErr w:type="spellEnd"/>
      <w:r w:rsidRPr="003F6A2F">
        <w:rPr>
          <w:rFonts w:ascii="Times New Roman" w:hAnsi="Times New Roman" w:cs="Times New Roman"/>
          <w:b/>
          <w:bCs/>
        </w:rPr>
        <w:t>:</w:t>
      </w:r>
      <w:r w:rsidRPr="003F6A2F">
        <w:rPr>
          <w:rFonts w:ascii="Times New Roman" w:hAnsi="Times New Roman" w:cs="Times New Roman"/>
        </w:rPr>
        <w:t xml:space="preserve"> No common gas transit code; bilateral negotiations dominate</w:t>
      </w:r>
    </w:p>
    <w:p w14:paraId="5DF44B4C" w14:textId="77777777" w:rsidR="003F6A2F" w:rsidRPr="003F6A2F" w:rsidRDefault="003F6A2F" w:rsidP="005E7DA2">
      <w:pPr>
        <w:numPr>
          <w:ilvl w:val="0"/>
          <w:numId w:val="20"/>
        </w:numPr>
        <w:spacing w:line="240" w:lineRule="auto"/>
        <w:jc w:val="both"/>
        <w:rPr>
          <w:rFonts w:ascii="Times New Roman" w:hAnsi="Times New Roman" w:cs="Times New Roman"/>
        </w:rPr>
      </w:pPr>
      <w:r w:rsidRPr="003F6A2F">
        <w:rPr>
          <w:rFonts w:ascii="Times New Roman" w:hAnsi="Times New Roman" w:cs="Times New Roman"/>
          <w:b/>
          <w:bCs/>
        </w:rPr>
        <w:t>Infrastructure:</w:t>
      </w:r>
      <w:r w:rsidRPr="003F6A2F">
        <w:rPr>
          <w:rFonts w:ascii="Times New Roman" w:hAnsi="Times New Roman" w:cs="Times New Roman"/>
        </w:rPr>
        <w:t xml:space="preserve"> $5.7bn required for priority projects through 2030 </w:t>
      </w:r>
    </w:p>
    <w:p w14:paraId="7FF9885C" w14:textId="77777777" w:rsidR="003F6A2F" w:rsidRPr="003F6A2F" w:rsidRDefault="003F6A2F" w:rsidP="005E7DA2">
      <w:pPr>
        <w:numPr>
          <w:ilvl w:val="0"/>
          <w:numId w:val="20"/>
        </w:numPr>
        <w:spacing w:line="240" w:lineRule="auto"/>
        <w:jc w:val="both"/>
        <w:rPr>
          <w:rFonts w:ascii="Times New Roman" w:hAnsi="Times New Roman" w:cs="Times New Roman"/>
        </w:rPr>
      </w:pPr>
      <w:r w:rsidRPr="003F6A2F">
        <w:rPr>
          <w:rFonts w:ascii="Times New Roman" w:hAnsi="Times New Roman" w:cs="Times New Roman"/>
          <w:b/>
          <w:bCs/>
        </w:rPr>
        <w:t>Market design:</w:t>
      </w:r>
      <w:r w:rsidRPr="003F6A2F">
        <w:rPr>
          <w:rFonts w:ascii="Times New Roman" w:hAnsi="Times New Roman" w:cs="Times New Roman"/>
        </w:rPr>
        <w:t xml:space="preserve"> No regional gas hub or trading platform; bilateral long-term contracts prevail</w:t>
      </w:r>
    </w:p>
    <w:p w14:paraId="22F124E3"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Mozambique's role as </w:t>
      </w:r>
      <w:r w:rsidRPr="003F6A2F">
        <w:rPr>
          <w:rFonts w:ascii="Times New Roman" w:hAnsi="Times New Roman" w:cs="Times New Roman"/>
          <w:b/>
          <w:bCs/>
        </w:rPr>
        <w:t>regional energy anchor</w:t>
      </w:r>
      <w:r w:rsidRPr="003F6A2F">
        <w:rPr>
          <w:rFonts w:ascii="Times New Roman" w:hAnsi="Times New Roman" w:cs="Times New Roman"/>
        </w:rPr>
        <w:t xml:space="preserve"> depends on:</w:t>
      </w:r>
    </w:p>
    <w:p w14:paraId="1820EEDC" w14:textId="77777777" w:rsidR="003F6A2F" w:rsidRPr="003F6A2F" w:rsidRDefault="003F6A2F" w:rsidP="005E7DA2">
      <w:pPr>
        <w:numPr>
          <w:ilvl w:val="0"/>
          <w:numId w:val="21"/>
        </w:numPr>
        <w:spacing w:line="240" w:lineRule="auto"/>
        <w:jc w:val="both"/>
        <w:rPr>
          <w:rFonts w:ascii="Times New Roman" w:hAnsi="Times New Roman" w:cs="Times New Roman"/>
        </w:rPr>
      </w:pPr>
      <w:r w:rsidRPr="003F6A2F">
        <w:rPr>
          <w:rFonts w:ascii="Times New Roman" w:hAnsi="Times New Roman" w:cs="Times New Roman"/>
        </w:rPr>
        <w:t>Transparent DMO allocation mechanisms</w:t>
      </w:r>
    </w:p>
    <w:p w14:paraId="427831F5" w14:textId="77777777" w:rsidR="003F6A2F" w:rsidRPr="003F6A2F" w:rsidRDefault="003F6A2F" w:rsidP="005E7DA2">
      <w:pPr>
        <w:numPr>
          <w:ilvl w:val="0"/>
          <w:numId w:val="21"/>
        </w:numPr>
        <w:spacing w:line="240" w:lineRule="auto"/>
        <w:jc w:val="both"/>
        <w:rPr>
          <w:rFonts w:ascii="Times New Roman" w:hAnsi="Times New Roman" w:cs="Times New Roman"/>
        </w:rPr>
      </w:pPr>
      <w:r w:rsidRPr="003F6A2F">
        <w:rPr>
          <w:rFonts w:ascii="Times New Roman" w:hAnsi="Times New Roman" w:cs="Times New Roman"/>
        </w:rPr>
        <w:t>Third-party access to pipeline infrastructure</w:t>
      </w:r>
    </w:p>
    <w:p w14:paraId="52B27DCC" w14:textId="7213E4EE" w:rsidR="003F6A2F" w:rsidRDefault="003F6A2F" w:rsidP="005E7DA2">
      <w:pPr>
        <w:numPr>
          <w:ilvl w:val="0"/>
          <w:numId w:val="21"/>
        </w:numPr>
        <w:spacing w:line="240" w:lineRule="auto"/>
        <w:jc w:val="both"/>
        <w:rPr>
          <w:rFonts w:ascii="Times New Roman" w:hAnsi="Times New Roman" w:cs="Times New Roman"/>
        </w:rPr>
      </w:pPr>
      <w:r w:rsidRPr="003F6A2F">
        <w:rPr>
          <w:rFonts w:ascii="Times New Roman" w:hAnsi="Times New Roman" w:cs="Times New Roman"/>
        </w:rPr>
        <w:t>Convertible gas pricing (LNG netback linkage)</w:t>
      </w:r>
    </w:p>
    <w:p w14:paraId="105B8472" w14:textId="77777777" w:rsidR="00C0345B" w:rsidRPr="003F6A2F" w:rsidRDefault="00C0345B" w:rsidP="005E7DA2">
      <w:pPr>
        <w:numPr>
          <w:ilvl w:val="0"/>
          <w:numId w:val="21"/>
        </w:numPr>
        <w:spacing w:line="240" w:lineRule="auto"/>
        <w:jc w:val="both"/>
        <w:rPr>
          <w:rFonts w:ascii="Times New Roman" w:hAnsi="Times New Roman" w:cs="Times New Roman"/>
        </w:rPr>
      </w:pPr>
    </w:p>
    <w:p w14:paraId="2490CF68"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14. Infrastructure Bottlenecks</w:t>
      </w:r>
    </w:p>
    <w:p w14:paraId="38B58AC2" w14:textId="314720B6"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Critical path items through 2030:</w:t>
      </w:r>
    </w:p>
    <w:tbl>
      <w:tblPr>
        <w:tblStyle w:val="TableGrid"/>
        <w:tblW w:w="0" w:type="auto"/>
        <w:tblLook w:val="04A0" w:firstRow="1" w:lastRow="0" w:firstColumn="1" w:lastColumn="0" w:noHBand="0" w:noVBand="1"/>
      </w:tblPr>
      <w:tblGrid>
        <w:gridCol w:w="3049"/>
        <w:gridCol w:w="1583"/>
        <w:gridCol w:w="2343"/>
        <w:gridCol w:w="2194"/>
      </w:tblGrid>
      <w:tr w:rsidR="003F6A2F" w:rsidRPr="003F6A2F" w14:paraId="3D80A608" w14:textId="77777777" w:rsidTr="00C0345B">
        <w:tc>
          <w:tcPr>
            <w:tcW w:w="0" w:type="auto"/>
            <w:hideMark/>
          </w:tcPr>
          <w:p w14:paraId="27990D58" w14:textId="77777777" w:rsidR="003F6A2F" w:rsidRPr="003F6A2F" w:rsidRDefault="003F6A2F" w:rsidP="005E7DA2">
            <w:pPr>
              <w:spacing w:after="160"/>
              <w:jc w:val="both"/>
              <w:rPr>
                <w:rFonts w:ascii="Times New Roman" w:hAnsi="Times New Roman" w:cs="Times New Roman"/>
                <w:b/>
                <w:bCs/>
              </w:rPr>
            </w:pPr>
            <w:r w:rsidRPr="003F6A2F">
              <w:rPr>
                <w:rFonts w:ascii="Times New Roman" w:hAnsi="Times New Roman" w:cs="Times New Roman"/>
                <w:b/>
                <w:bCs/>
              </w:rPr>
              <w:t>Project</w:t>
            </w:r>
          </w:p>
        </w:tc>
        <w:tc>
          <w:tcPr>
            <w:tcW w:w="0" w:type="auto"/>
            <w:hideMark/>
          </w:tcPr>
          <w:p w14:paraId="35A1ACC8" w14:textId="77777777" w:rsidR="003F6A2F" w:rsidRPr="003F6A2F" w:rsidRDefault="003F6A2F" w:rsidP="005E7DA2">
            <w:pPr>
              <w:spacing w:after="160"/>
              <w:jc w:val="both"/>
              <w:rPr>
                <w:rFonts w:ascii="Times New Roman" w:hAnsi="Times New Roman" w:cs="Times New Roman"/>
                <w:b/>
                <w:bCs/>
              </w:rPr>
            </w:pPr>
            <w:r w:rsidRPr="003F6A2F">
              <w:rPr>
                <w:rFonts w:ascii="Times New Roman" w:hAnsi="Times New Roman" w:cs="Times New Roman"/>
                <w:b/>
                <w:bCs/>
              </w:rPr>
              <w:t>CAPEX ($m)</w:t>
            </w:r>
          </w:p>
        </w:tc>
        <w:tc>
          <w:tcPr>
            <w:tcW w:w="0" w:type="auto"/>
            <w:hideMark/>
          </w:tcPr>
          <w:p w14:paraId="166E36E5" w14:textId="77777777" w:rsidR="003F6A2F" w:rsidRPr="003F6A2F" w:rsidRDefault="003F6A2F" w:rsidP="005E7DA2">
            <w:pPr>
              <w:spacing w:after="160"/>
              <w:jc w:val="both"/>
              <w:rPr>
                <w:rFonts w:ascii="Times New Roman" w:hAnsi="Times New Roman" w:cs="Times New Roman"/>
                <w:b/>
                <w:bCs/>
              </w:rPr>
            </w:pPr>
            <w:r w:rsidRPr="003F6A2F">
              <w:rPr>
                <w:rFonts w:ascii="Times New Roman" w:hAnsi="Times New Roman" w:cs="Times New Roman"/>
                <w:b/>
                <w:bCs/>
              </w:rPr>
              <w:t>Status</w:t>
            </w:r>
          </w:p>
        </w:tc>
        <w:tc>
          <w:tcPr>
            <w:tcW w:w="0" w:type="auto"/>
            <w:hideMark/>
          </w:tcPr>
          <w:p w14:paraId="1D3CB88C" w14:textId="77777777" w:rsidR="003F6A2F" w:rsidRPr="003F6A2F" w:rsidRDefault="003F6A2F" w:rsidP="005E7DA2">
            <w:pPr>
              <w:spacing w:after="160"/>
              <w:jc w:val="both"/>
              <w:rPr>
                <w:rFonts w:ascii="Times New Roman" w:hAnsi="Times New Roman" w:cs="Times New Roman"/>
                <w:b/>
                <w:bCs/>
              </w:rPr>
            </w:pPr>
            <w:r w:rsidRPr="003F6A2F">
              <w:rPr>
                <w:rFonts w:ascii="Times New Roman" w:hAnsi="Times New Roman" w:cs="Times New Roman"/>
                <w:b/>
                <w:bCs/>
              </w:rPr>
              <w:t>Risk</w:t>
            </w:r>
          </w:p>
        </w:tc>
      </w:tr>
      <w:tr w:rsidR="003F6A2F" w:rsidRPr="003F6A2F" w14:paraId="756C080B" w14:textId="77777777" w:rsidTr="00C0345B">
        <w:tc>
          <w:tcPr>
            <w:tcW w:w="0" w:type="auto"/>
            <w:hideMark/>
          </w:tcPr>
          <w:p w14:paraId="0B6E4C36"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Mozambique LNG trains 1–2</w:t>
            </w:r>
          </w:p>
        </w:tc>
        <w:tc>
          <w:tcPr>
            <w:tcW w:w="0" w:type="auto"/>
            <w:hideMark/>
          </w:tcPr>
          <w:p w14:paraId="216E7C26"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19,600</w:t>
            </w:r>
          </w:p>
        </w:tc>
        <w:tc>
          <w:tcPr>
            <w:tcW w:w="0" w:type="auto"/>
            <w:hideMark/>
          </w:tcPr>
          <w:p w14:paraId="269D910D"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Construction restarted</w:t>
            </w:r>
          </w:p>
        </w:tc>
        <w:tc>
          <w:tcPr>
            <w:tcW w:w="0" w:type="auto"/>
            <w:hideMark/>
          </w:tcPr>
          <w:p w14:paraId="05D271FF"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Security</w:t>
            </w:r>
          </w:p>
        </w:tc>
      </w:tr>
      <w:tr w:rsidR="003F6A2F" w:rsidRPr="003F6A2F" w14:paraId="18C617C9" w14:textId="77777777" w:rsidTr="00C0345B">
        <w:tc>
          <w:tcPr>
            <w:tcW w:w="0" w:type="auto"/>
            <w:hideMark/>
          </w:tcPr>
          <w:p w14:paraId="4C7D87FB"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Rovuma LNG trains 1–2</w:t>
            </w:r>
          </w:p>
        </w:tc>
        <w:tc>
          <w:tcPr>
            <w:tcW w:w="0" w:type="auto"/>
            <w:hideMark/>
          </w:tcPr>
          <w:p w14:paraId="06D676F0"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25,000</w:t>
            </w:r>
          </w:p>
        </w:tc>
        <w:tc>
          <w:tcPr>
            <w:tcW w:w="0" w:type="auto"/>
            <w:hideMark/>
          </w:tcPr>
          <w:p w14:paraId="6C9D84FD"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Pre-FID</w:t>
            </w:r>
          </w:p>
        </w:tc>
        <w:tc>
          <w:tcPr>
            <w:tcW w:w="0" w:type="auto"/>
            <w:hideMark/>
          </w:tcPr>
          <w:p w14:paraId="7203D9C4"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Security, FID timing</w:t>
            </w:r>
          </w:p>
        </w:tc>
      </w:tr>
      <w:tr w:rsidR="003F6A2F" w:rsidRPr="003F6A2F" w14:paraId="638252B1" w14:textId="77777777" w:rsidTr="00C0345B">
        <w:tc>
          <w:tcPr>
            <w:tcW w:w="0" w:type="auto"/>
            <w:hideMark/>
          </w:tcPr>
          <w:p w14:paraId="028B3CEF"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Coral North FLNG</w:t>
            </w:r>
          </w:p>
        </w:tc>
        <w:tc>
          <w:tcPr>
            <w:tcW w:w="0" w:type="auto"/>
            <w:hideMark/>
          </w:tcPr>
          <w:p w14:paraId="32AD582B"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5,000</w:t>
            </w:r>
          </w:p>
        </w:tc>
        <w:tc>
          <w:tcPr>
            <w:tcW w:w="0" w:type="auto"/>
            <w:hideMark/>
          </w:tcPr>
          <w:p w14:paraId="3F1C3E11"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Under construction</w:t>
            </w:r>
          </w:p>
        </w:tc>
        <w:tc>
          <w:tcPr>
            <w:tcW w:w="0" w:type="auto"/>
            <w:hideMark/>
          </w:tcPr>
          <w:p w14:paraId="3985F7DB"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Technical</w:t>
            </w:r>
          </w:p>
        </w:tc>
      </w:tr>
      <w:tr w:rsidR="003F6A2F" w:rsidRPr="003F6A2F" w14:paraId="5E8CED0A" w14:textId="77777777" w:rsidTr="00C0345B">
        <w:tc>
          <w:tcPr>
            <w:tcW w:w="0" w:type="auto"/>
            <w:hideMark/>
          </w:tcPr>
          <w:p w14:paraId="19AB2ABE" w14:textId="77777777" w:rsidR="003F6A2F" w:rsidRPr="003F6A2F" w:rsidRDefault="003F6A2F" w:rsidP="005E7DA2">
            <w:pPr>
              <w:spacing w:after="160"/>
              <w:jc w:val="both"/>
              <w:rPr>
                <w:rFonts w:ascii="Times New Roman" w:hAnsi="Times New Roman" w:cs="Times New Roman"/>
              </w:rPr>
            </w:pPr>
            <w:proofErr w:type="spellStart"/>
            <w:r w:rsidRPr="003F6A2F">
              <w:rPr>
                <w:rFonts w:ascii="Times New Roman" w:hAnsi="Times New Roman" w:cs="Times New Roman"/>
              </w:rPr>
              <w:t>Afungi</w:t>
            </w:r>
            <w:proofErr w:type="spellEnd"/>
            <w:r w:rsidRPr="003F6A2F">
              <w:rPr>
                <w:rFonts w:ascii="Times New Roman" w:hAnsi="Times New Roman" w:cs="Times New Roman"/>
              </w:rPr>
              <w:t>-Nacala pipeline</w:t>
            </w:r>
          </w:p>
        </w:tc>
        <w:tc>
          <w:tcPr>
            <w:tcW w:w="0" w:type="auto"/>
            <w:hideMark/>
          </w:tcPr>
          <w:p w14:paraId="569377B7"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1,015</w:t>
            </w:r>
          </w:p>
        </w:tc>
        <w:tc>
          <w:tcPr>
            <w:tcW w:w="0" w:type="auto"/>
            <w:hideMark/>
          </w:tcPr>
          <w:p w14:paraId="72648643"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Feasibility</w:t>
            </w:r>
          </w:p>
        </w:tc>
        <w:tc>
          <w:tcPr>
            <w:tcW w:w="0" w:type="auto"/>
            <w:hideMark/>
          </w:tcPr>
          <w:p w14:paraId="157FAFEE"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Demand anchor</w:t>
            </w:r>
          </w:p>
        </w:tc>
      </w:tr>
      <w:tr w:rsidR="003F6A2F" w:rsidRPr="003F6A2F" w14:paraId="6521AC21" w14:textId="77777777" w:rsidTr="00C0345B">
        <w:tc>
          <w:tcPr>
            <w:tcW w:w="0" w:type="auto"/>
            <w:hideMark/>
          </w:tcPr>
          <w:p w14:paraId="5F6E7F95"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Matola FSRU</w:t>
            </w:r>
          </w:p>
        </w:tc>
        <w:tc>
          <w:tcPr>
            <w:tcW w:w="0" w:type="auto"/>
            <w:hideMark/>
          </w:tcPr>
          <w:p w14:paraId="2D216700"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466</w:t>
            </w:r>
          </w:p>
        </w:tc>
        <w:tc>
          <w:tcPr>
            <w:tcW w:w="0" w:type="auto"/>
            <w:hideMark/>
          </w:tcPr>
          <w:p w14:paraId="757925BE"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Pre-investment</w:t>
            </w:r>
          </w:p>
        </w:tc>
        <w:tc>
          <w:tcPr>
            <w:tcW w:w="0" w:type="auto"/>
            <w:hideMark/>
          </w:tcPr>
          <w:p w14:paraId="43A9D373"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Market</w:t>
            </w:r>
          </w:p>
        </w:tc>
      </w:tr>
      <w:tr w:rsidR="003F6A2F" w:rsidRPr="003F6A2F" w14:paraId="5D9E1BDC" w14:textId="77777777" w:rsidTr="00C0345B">
        <w:tc>
          <w:tcPr>
            <w:tcW w:w="0" w:type="auto"/>
            <w:hideMark/>
          </w:tcPr>
          <w:p w14:paraId="57D56785"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Richards Bay FSRU</w:t>
            </w:r>
          </w:p>
        </w:tc>
        <w:tc>
          <w:tcPr>
            <w:tcW w:w="0" w:type="auto"/>
            <w:hideMark/>
          </w:tcPr>
          <w:p w14:paraId="30F14AFC"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252</w:t>
            </w:r>
          </w:p>
        </w:tc>
        <w:tc>
          <w:tcPr>
            <w:tcW w:w="0" w:type="auto"/>
            <w:hideMark/>
          </w:tcPr>
          <w:p w14:paraId="33D66E14"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Pre-investment</w:t>
            </w:r>
          </w:p>
        </w:tc>
        <w:tc>
          <w:tcPr>
            <w:tcW w:w="0" w:type="auto"/>
            <w:hideMark/>
          </w:tcPr>
          <w:p w14:paraId="4449C883"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SA procurement</w:t>
            </w:r>
          </w:p>
        </w:tc>
      </w:tr>
      <w:tr w:rsidR="003F6A2F" w:rsidRPr="003F6A2F" w14:paraId="1D33244B" w14:textId="77777777" w:rsidTr="00C0345B">
        <w:tc>
          <w:tcPr>
            <w:tcW w:w="0" w:type="auto"/>
            <w:hideMark/>
          </w:tcPr>
          <w:p w14:paraId="159FB1B3"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Nacala GTP</w:t>
            </w:r>
          </w:p>
        </w:tc>
        <w:tc>
          <w:tcPr>
            <w:tcW w:w="0" w:type="auto"/>
            <w:hideMark/>
          </w:tcPr>
          <w:p w14:paraId="2A70CD49"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759</w:t>
            </w:r>
          </w:p>
        </w:tc>
        <w:tc>
          <w:tcPr>
            <w:tcW w:w="0" w:type="auto"/>
            <w:hideMark/>
          </w:tcPr>
          <w:p w14:paraId="44803845"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Development</w:t>
            </w:r>
          </w:p>
        </w:tc>
        <w:tc>
          <w:tcPr>
            <w:tcW w:w="0" w:type="auto"/>
            <w:hideMark/>
          </w:tcPr>
          <w:p w14:paraId="05FB853D" w14:textId="77777777" w:rsidR="003F6A2F" w:rsidRPr="003F6A2F" w:rsidRDefault="003F6A2F" w:rsidP="005E7DA2">
            <w:pPr>
              <w:spacing w:after="160"/>
              <w:jc w:val="both"/>
              <w:rPr>
                <w:rFonts w:ascii="Times New Roman" w:hAnsi="Times New Roman" w:cs="Times New Roman"/>
              </w:rPr>
            </w:pPr>
            <w:r w:rsidRPr="003F6A2F">
              <w:rPr>
                <w:rFonts w:ascii="Times New Roman" w:hAnsi="Times New Roman" w:cs="Times New Roman"/>
              </w:rPr>
              <w:t>Financing</w:t>
            </w:r>
          </w:p>
        </w:tc>
      </w:tr>
    </w:tbl>
    <w:p w14:paraId="1F4D05FC" w14:textId="77777777" w:rsidR="00C0345B" w:rsidRDefault="00C0345B" w:rsidP="005E7DA2">
      <w:pPr>
        <w:spacing w:line="240" w:lineRule="auto"/>
        <w:jc w:val="both"/>
        <w:rPr>
          <w:rFonts w:ascii="Times New Roman" w:hAnsi="Times New Roman" w:cs="Times New Roman"/>
          <w:b/>
          <w:bCs/>
        </w:rPr>
      </w:pPr>
    </w:p>
    <w:p w14:paraId="4E040E63" w14:textId="7E585F4D"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t>LNG Shipping Routes:</w:t>
      </w:r>
      <w:r w:rsidRPr="003F6A2F">
        <w:rPr>
          <w:rFonts w:ascii="Times New Roman" w:hAnsi="Times New Roman" w:cs="Times New Roman"/>
        </w:rPr>
        <w:t xml:space="preserve"> Mozambique's location enables two primary corridors:</w:t>
      </w:r>
    </w:p>
    <w:p w14:paraId="0CA8CE33" w14:textId="77777777" w:rsidR="003F6A2F" w:rsidRPr="003F6A2F" w:rsidRDefault="003F6A2F" w:rsidP="005E7DA2">
      <w:pPr>
        <w:numPr>
          <w:ilvl w:val="0"/>
          <w:numId w:val="22"/>
        </w:numPr>
        <w:spacing w:after="0" w:line="240" w:lineRule="auto"/>
        <w:jc w:val="both"/>
        <w:rPr>
          <w:rFonts w:ascii="Times New Roman" w:hAnsi="Times New Roman" w:cs="Times New Roman"/>
        </w:rPr>
      </w:pPr>
      <w:r w:rsidRPr="003F6A2F">
        <w:rPr>
          <w:rFonts w:ascii="Times New Roman" w:hAnsi="Times New Roman" w:cs="Times New Roman"/>
          <w:b/>
          <w:bCs/>
        </w:rPr>
        <w:t>Eastern route:</w:t>
      </w:r>
      <w:r w:rsidRPr="003F6A2F">
        <w:rPr>
          <w:rFonts w:ascii="Times New Roman" w:hAnsi="Times New Roman" w:cs="Times New Roman"/>
        </w:rPr>
        <w:t xml:space="preserve"> Mozambique Channel → Indian Ocean → Malacca Strait → Northeast Asia (14–16 days to Japan)</w:t>
      </w:r>
    </w:p>
    <w:p w14:paraId="42FB3306" w14:textId="77777777" w:rsidR="003F6A2F" w:rsidRPr="003F6A2F" w:rsidRDefault="003F6A2F" w:rsidP="005E7DA2">
      <w:pPr>
        <w:numPr>
          <w:ilvl w:val="0"/>
          <w:numId w:val="22"/>
        </w:numPr>
        <w:spacing w:after="0" w:line="240" w:lineRule="auto"/>
        <w:jc w:val="both"/>
        <w:rPr>
          <w:rFonts w:ascii="Times New Roman" w:hAnsi="Times New Roman" w:cs="Times New Roman"/>
        </w:rPr>
      </w:pPr>
      <w:r w:rsidRPr="003F6A2F">
        <w:rPr>
          <w:rFonts w:ascii="Times New Roman" w:hAnsi="Times New Roman" w:cs="Times New Roman"/>
          <w:b/>
          <w:bCs/>
        </w:rPr>
        <w:t>Western route:</w:t>
      </w:r>
      <w:r w:rsidRPr="003F6A2F">
        <w:rPr>
          <w:rFonts w:ascii="Times New Roman" w:hAnsi="Times New Roman" w:cs="Times New Roman"/>
        </w:rPr>
        <w:t xml:space="preserve"> Around Cape of Good Hope → Atlantic → Europe (18–22 days to NW Europe) or Americas</w:t>
      </w:r>
    </w:p>
    <w:p w14:paraId="39E1455F"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This routing flexibility commands a strategic premium in portfolio valuations.</w:t>
      </w:r>
    </w:p>
    <w:p w14:paraId="122F1F56" w14:textId="68EB5582" w:rsidR="003F6A2F" w:rsidRPr="003F6A2F" w:rsidRDefault="003F6A2F" w:rsidP="005E7DA2">
      <w:pPr>
        <w:spacing w:line="240" w:lineRule="auto"/>
        <w:jc w:val="both"/>
        <w:rPr>
          <w:rFonts w:ascii="Times New Roman" w:hAnsi="Times New Roman" w:cs="Times New Roman"/>
        </w:rPr>
      </w:pPr>
    </w:p>
    <w:p w14:paraId="34D1E735"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15. Financing Requirements</w:t>
      </w:r>
    </w:p>
    <w:p w14:paraId="4E1FCAA9" w14:textId="150C4898"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Total infrastructure financing requirement: </w:t>
      </w:r>
      <w:r w:rsidRPr="003F6A2F">
        <w:rPr>
          <w:rFonts w:ascii="Times New Roman" w:hAnsi="Times New Roman" w:cs="Times New Roman"/>
          <w:b/>
          <w:bCs/>
        </w:rPr>
        <w:t>$80 billion through 2050</w:t>
      </w:r>
      <w:r w:rsidRPr="003F6A2F">
        <w:rPr>
          <w:rFonts w:ascii="Times New Roman" w:hAnsi="Times New Roman" w:cs="Times New Roman"/>
        </w:rPr>
        <w:t xml:space="preserve"> per Mozambique's Energy Transition Strategy </w:t>
      </w:r>
    </w:p>
    <w:p w14:paraId="34AEA0C5"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Funding sources:</w:t>
      </w:r>
    </w:p>
    <w:p w14:paraId="2A5A6435" w14:textId="77777777" w:rsidR="003F6A2F" w:rsidRPr="003F6A2F" w:rsidRDefault="003F6A2F" w:rsidP="005E7DA2">
      <w:pPr>
        <w:numPr>
          <w:ilvl w:val="0"/>
          <w:numId w:val="23"/>
        </w:numPr>
        <w:spacing w:line="240" w:lineRule="auto"/>
        <w:jc w:val="both"/>
        <w:rPr>
          <w:rFonts w:ascii="Times New Roman" w:hAnsi="Times New Roman" w:cs="Times New Roman"/>
        </w:rPr>
      </w:pPr>
      <w:r w:rsidRPr="003F6A2F">
        <w:rPr>
          <w:rFonts w:ascii="Times New Roman" w:hAnsi="Times New Roman" w:cs="Times New Roman"/>
          <w:b/>
          <w:bCs/>
        </w:rPr>
        <w:t>Project finance:</w:t>
      </w:r>
      <w:r w:rsidRPr="003F6A2F">
        <w:rPr>
          <w:rFonts w:ascii="Times New Roman" w:hAnsi="Times New Roman" w:cs="Times New Roman"/>
        </w:rPr>
        <w:t xml:space="preserve"> Limited recourse debt for LNG trains (60–70% debt/30–40% equity)</w:t>
      </w:r>
    </w:p>
    <w:p w14:paraId="68C31965" w14:textId="77777777" w:rsidR="003F6A2F" w:rsidRPr="003F6A2F" w:rsidRDefault="003F6A2F" w:rsidP="005E7DA2">
      <w:pPr>
        <w:numPr>
          <w:ilvl w:val="0"/>
          <w:numId w:val="23"/>
        </w:numPr>
        <w:spacing w:line="240" w:lineRule="auto"/>
        <w:jc w:val="both"/>
        <w:rPr>
          <w:rFonts w:ascii="Times New Roman" w:hAnsi="Times New Roman" w:cs="Times New Roman"/>
        </w:rPr>
      </w:pPr>
      <w:r w:rsidRPr="003F6A2F">
        <w:rPr>
          <w:rFonts w:ascii="Times New Roman" w:hAnsi="Times New Roman" w:cs="Times New Roman"/>
          <w:b/>
          <w:bCs/>
        </w:rPr>
        <w:lastRenderedPageBreak/>
        <w:t>Development finance:</w:t>
      </w:r>
      <w:r w:rsidRPr="003F6A2F">
        <w:rPr>
          <w:rFonts w:ascii="Times New Roman" w:hAnsi="Times New Roman" w:cs="Times New Roman"/>
        </w:rPr>
        <w:t xml:space="preserve"> AfDB, World Bank, DFIs for regional pipelines and power</w:t>
      </w:r>
    </w:p>
    <w:p w14:paraId="1FB23739" w14:textId="77777777" w:rsidR="003F6A2F" w:rsidRPr="003F6A2F" w:rsidRDefault="003F6A2F" w:rsidP="005E7DA2">
      <w:pPr>
        <w:numPr>
          <w:ilvl w:val="0"/>
          <w:numId w:val="23"/>
        </w:numPr>
        <w:spacing w:line="240" w:lineRule="auto"/>
        <w:jc w:val="both"/>
        <w:rPr>
          <w:rFonts w:ascii="Times New Roman" w:hAnsi="Times New Roman" w:cs="Times New Roman"/>
        </w:rPr>
      </w:pPr>
      <w:r w:rsidRPr="003F6A2F">
        <w:rPr>
          <w:rFonts w:ascii="Times New Roman" w:hAnsi="Times New Roman" w:cs="Times New Roman"/>
          <w:b/>
          <w:bCs/>
        </w:rPr>
        <w:t>Sovereign wealth:</w:t>
      </w:r>
      <w:r w:rsidRPr="003F6A2F">
        <w:rPr>
          <w:rFonts w:ascii="Times New Roman" w:hAnsi="Times New Roman" w:cs="Times New Roman"/>
        </w:rPr>
        <w:t xml:space="preserve"> Future sovereign fund (not yet operational)</w:t>
      </w:r>
    </w:p>
    <w:p w14:paraId="12FD3F08" w14:textId="77777777" w:rsidR="003F6A2F" w:rsidRPr="003F6A2F" w:rsidRDefault="003F6A2F" w:rsidP="005E7DA2">
      <w:pPr>
        <w:numPr>
          <w:ilvl w:val="0"/>
          <w:numId w:val="23"/>
        </w:numPr>
        <w:spacing w:line="240" w:lineRule="auto"/>
        <w:jc w:val="both"/>
        <w:rPr>
          <w:rFonts w:ascii="Times New Roman" w:hAnsi="Times New Roman" w:cs="Times New Roman"/>
        </w:rPr>
      </w:pPr>
      <w:r w:rsidRPr="003F6A2F">
        <w:rPr>
          <w:rFonts w:ascii="Times New Roman" w:hAnsi="Times New Roman" w:cs="Times New Roman"/>
          <w:b/>
          <w:bCs/>
        </w:rPr>
        <w:t>Private capital:</w:t>
      </w:r>
      <w:r w:rsidRPr="003F6A2F">
        <w:rPr>
          <w:rFonts w:ascii="Times New Roman" w:hAnsi="Times New Roman" w:cs="Times New Roman"/>
        </w:rPr>
        <w:t xml:space="preserve"> ENH carried interest (15%), IOC equity</w:t>
      </w:r>
    </w:p>
    <w:p w14:paraId="1867C7A9"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The financing challenge is sequential: LNG projects must reach production to generate cash flows that can cross-</w:t>
      </w:r>
      <w:proofErr w:type="spellStart"/>
      <w:r w:rsidRPr="003F6A2F">
        <w:rPr>
          <w:rFonts w:ascii="Times New Roman" w:hAnsi="Times New Roman" w:cs="Times New Roman"/>
        </w:rPr>
        <w:t>subsidise</w:t>
      </w:r>
      <w:proofErr w:type="spellEnd"/>
      <w:r w:rsidRPr="003F6A2F">
        <w:rPr>
          <w:rFonts w:ascii="Times New Roman" w:hAnsi="Times New Roman" w:cs="Times New Roman"/>
        </w:rPr>
        <w:t xml:space="preserve"> domestic and regional infrastructure. Without LNG export revenue, DMO and pipeline projects lack fiscal backing.</w:t>
      </w:r>
    </w:p>
    <w:p w14:paraId="6063693F" w14:textId="13499A3B" w:rsidR="003F6A2F" w:rsidRPr="003F6A2F" w:rsidRDefault="003F6A2F" w:rsidP="005E7DA2">
      <w:pPr>
        <w:spacing w:line="240" w:lineRule="auto"/>
        <w:jc w:val="both"/>
        <w:rPr>
          <w:rFonts w:ascii="Times New Roman" w:hAnsi="Times New Roman" w:cs="Times New Roman"/>
        </w:rPr>
      </w:pPr>
    </w:p>
    <w:p w14:paraId="60C98155"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16. Regulatory and Fiscal Considerations</w:t>
      </w:r>
    </w:p>
    <w:p w14:paraId="2D7385DA"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Mozambique's petroleum fiscal framework has evolved through successive concession agreements:</w:t>
      </w:r>
    </w:p>
    <w:p w14:paraId="43E2CC38" w14:textId="77777777" w:rsidR="003F6A2F" w:rsidRPr="003F6A2F" w:rsidRDefault="003F6A2F" w:rsidP="005E7DA2">
      <w:pPr>
        <w:numPr>
          <w:ilvl w:val="0"/>
          <w:numId w:val="24"/>
        </w:numPr>
        <w:spacing w:line="240" w:lineRule="auto"/>
        <w:jc w:val="both"/>
        <w:rPr>
          <w:rFonts w:ascii="Times New Roman" w:hAnsi="Times New Roman" w:cs="Times New Roman"/>
        </w:rPr>
      </w:pPr>
      <w:r w:rsidRPr="003F6A2F">
        <w:rPr>
          <w:rFonts w:ascii="Times New Roman" w:hAnsi="Times New Roman" w:cs="Times New Roman"/>
          <w:b/>
          <w:bCs/>
        </w:rPr>
        <w:t>Royalty:</w:t>
      </w:r>
      <w:r w:rsidRPr="003F6A2F">
        <w:rPr>
          <w:rFonts w:ascii="Times New Roman" w:hAnsi="Times New Roman" w:cs="Times New Roman"/>
        </w:rPr>
        <w:t xml:space="preserve"> 2% gas, 3% condensate (escalating +2pp per decade)</w:t>
      </w:r>
    </w:p>
    <w:p w14:paraId="6EC159E1" w14:textId="77777777" w:rsidR="003F6A2F" w:rsidRPr="003F6A2F" w:rsidRDefault="003F6A2F" w:rsidP="005E7DA2">
      <w:pPr>
        <w:numPr>
          <w:ilvl w:val="0"/>
          <w:numId w:val="24"/>
        </w:numPr>
        <w:spacing w:line="240" w:lineRule="auto"/>
        <w:jc w:val="both"/>
        <w:rPr>
          <w:rFonts w:ascii="Times New Roman" w:hAnsi="Times New Roman" w:cs="Times New Roman"/>
        </w:rPr>
      </w:pPr>
      <w:r w:rsidRPr="003F6A2F">
        <w:rPr>
          <w:rFonts w:ascii="Times New Roman" w:hAnsi="Times New Roman" w:cs="Times New Roman"/>
          <w:b/>
          <w:bCs/>
        </w:rPr>
        <w:t>Cost recovery:</w:t>
      </w:r>
      <w:r w:rsidRPr="003F6A2F">
        <w:rPr>
          <w:rFonts w:ascii="Times New Roman" w:hAnsi="Times New Roman" w:cs="Times New Roman"/>
        </w:rPr>
        <w:t xml:space="preserve"> 65–75% ceiling during payback</w:t>
      </w:r>
    </w:p>
    <w:p w14:paraId="0AA20F44" w14:textId="77777777" w:rsidR="003F6A2F" w:rsidRPr="003F6A2F" w:rsidRDefault="003F6A2F" w:rsidP="005E7DA2">
      <w:pPr>
        <w:numPr>
          <w:ilvl w:val="0"/>
          <w:numId w:val="24"/>
        </w:numPr>
        <w:spacing w:line="240" w:lineRule="auto"/>
        <w:jc w:val="both"/>
        <w:rPr>
          <w:rFonts w:ascii="Times New Roman" w:hAnsi="Times New Roman" w:cs="Times New Roman"/>
        </w:rPr>
      </w:pPr>
      <w:r w:rsidRPr="003F6A2F">
        <w:rPr>
          <w:rFonts w:ascii="Times New Roman" w:hAnsi="Times New Roman" w:cs="Times New Roman"/>
          <w:b/>
          <w:bCs/>
        </w:rPr>
        <w:t>Profit petroleum:</w:t>
      </w:r>
      <w:r w:rsidRPr="003F6A2F">
        <w:rPr>
          <w:rFonts w:ascii="Times New Roman" w:hAnsi="Times New Roman" w:cs="Times New Roman"/>
        </w:rPr>
        <w:t xml:space="preserve"> R-factor sliding scale</w:t>
      </w:r>
    </w:p>
    <w:p w14:paraId="0630675E" w14:textId="77777777" w:rsidR="003F6A2F" w:rsidRPr="003F6A2F" w:rsidRDefault="003F6A2F" w:rsidP="005E7DA2">
      <w:pPr>
        <w:numPr>
          <w:ilvl w:val="0"/>
          <w:numId w:val="24"/>
        </w:numPr>
        <w:spacing w:line="240" w:lineRule="auto"/>
        <w:jc w:val="both"/>
        <w:rPr>
          <w:rFonts w:ascii="Times New Roman" w:hAnsi="Times New Roman" w:cs="Times New Roman"/>
        </w:rPr>
      </w:pPr>
      <w:r w:rsidRPr="003F6A2F">
        <w:rPr>
          <w:rFonts w:ascii="Times New Roman" w:hAnsi="Times New Roman" w:cs="Times New Roman"/>
          <w:b/>
          <w:bCs/>
        </w:rPr>
        <w:t>CIT:</w:t>
      </w:r>
      <w:r w:rsidRPr="003F6A2F">
        <w:rPr>
          <w:rFonts w:ascii="Times New Roman" w:hAnsi="Times New Roman" w:cs="Times New Roman"/>
        </w:rPr>
        <w:t xml:space="preserve"> 32% </w:t>
      </w:r>
    </w:p>
    <w:p w14:paraId="09FA3574"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t>Key fiscal risks:</w:t>
      </w:r>
    </w:p>
    <w:p w14:paraId="5EE14E5F" w14:textId="77777777" w:rsidR="003F6A2F" w:rsidRPr="003F6A2F" w:rsidRDefault="003F6A2F" w:rsidP="005E7DA2">
      <w:pPr>
        <w:numPr>
          <w:ilvl w:val="0"/>
          <w:numId w:val="25"/>
        </w:numPr>
        <w:spacing w:line="240" w:lineRule="auto"/>
        <w:jc w:val="both"/>
        <w:rPr>
          <w:rFonts w:ascii="Times New Roman" w:hAnsi="Times New Roman" w:cs="Times New Roman"/>
        </w:rPr>
      </w:pPr>
      <w:r w:rsidRPr="003F6A2F">
        <w:rPr>
          <w:rFonts w:ascii="Times New Roman" w:hAnsi="Times New Roman" w:cs="Times New Roman"/>
          <w:b/>
          <w:bCs/>
        </w:rPr>
        <w:t>Windfall taxation:</w:t>
      </w:r>
      <w:r w:rsidRPr="003F6A2F">
        <w:rPr>
          <w:rFonts w:ascii="Times New Roman" w:hAnsi="Times New Roman" w:cs="Times New Roman"/>
        </w:rPr>
        <w:t xml:space="preserve"> Government may impose additional levies if JKM exceeds $15/MMBtu sustained</w:t>
      </w:r>
    </w:p>
    <w:p w14:paraId="04888B4D" w14:textId="77777777" w:rsidR="003F6A2F" w:rsidRPr="003F6A2F" w:rsidRDefault="003F6A2F" w:rsidP="005E7DA2">
      <w:pPr>
        <w:numPr>
          <w:ilvl w:val="0"/>
          <w:numId w:val="25"/>
        </w:numPr>
        <w:spacing w:line="240" w:lineRule="auto"/>
        <w:jc w:val="both"/>
        <w:rPr>
          <w:rFonts w:ascii="Times New Roman" w:hAnsi="Times New Roman" w:cs="Times New Roman"/>
        </w:rPr>
      </w:pPr>
      <w:r w:rsidRPr="003F6A2F">
        <w:rPr>
          <w:rFonts w:ascii="Times New Roman" w:hAnsi="Times New Roman" w:cs="Times New Roman"/>
          <w:b/>
          <w:bCs/>
        </w:rPr>
        <w:t>Local content requirements:</w:t>
      </w:r>
      <w:r w:rsidRPr="003F6A2F">
        <w:rPr>
          <w:rFonts w:ascii="Times New Roman" w:hAnsi="Times New Roman" w:cs="Times New Roman"/>
        </w:rPr>
        <w:t xml:space="preserve"> 25–30% local spend mandates increase project costs</w:t>
      </w:r>
    </w:p>
    <w:p w14:paraId="0554B4F6" w14:textId="77777777" w:rsidR="003F6A2F" w:rsidRPr="003F6A2F" w:rsidRDefault="003F6A2F" w:rsidP="005E7DA2">
      <w:pPr>
        <w:numPr>
          <w:ilvl w:val="0"/>
          <w:numId w:val="25"/>
        </w:numPr>
        <w:spacing w:line="240" w:lineRule="auto"/>
        <w:jc w:val="both"/>
        <w:rPr>
          <w:rFonts w:ascii="Times New Roman" w:hAnsi="Times New Roman" w:cs="Times New Roman"/>
        </w:rPr>
      </w:pPr>
      <w:r w:rsidRPr="003F6A2F">
        <w:rPr>
          <w:rFonts w:ascii="Times New Roman" w:hAnsi="Times New Roman" w:cs="Times New Roman"/>
          <w:b/>
          <w:bCs/>
        </w:rPr>
        <w:t>Transfer pricing:</w:t>
      </w:r>
      <w:r w:rsidRPr="003F6A2F">
        <w:rPr>
          <w:rFonts w:ascii="Times New Roman" w:hAnsi="Times New Roman" w:cs="Times New Roman"/>
        </w:rPr>
        <w:t xml:space="preserve"> ENH lacks technical capacity to audit IOC cost recovery claims</w:t>
      </w:r>
    </w:p>
    <w:p w14:paraId="1DAEE662" w14:textId="77777777" w:rsidR="003F6A2F" w:rsidRPr="003F6A2F" w:rsidRDefault="003F6A2F" w:rsidP="005E7DA2">
      <w:pPr>
        <w:numPr>
          <w:ilvl w:val="0"/>
          <w:numId w:val="25"/>
        </w:numPr>
        <w:spacing w:line="240" w:lineRule="auto"/>
        <w:jc w:val="both"/>
        <w:rPr>
          <w:rFonts w:ascii="Times New Roman" w:hAnsi="Times New Roman" w:cs="Times New Roman"/>
        </w:rPr>
      </w:pPr>
      <w:proofErr w:type="spellStart"/>
      <w:r w:rsidRPr="003F6A2F">
        <w:rPr>
          <w:rFonts w:ascii="Times New Roman" w:hAnsi="Times New Roman" w:cs="Times New Roman"/>
          <w:b/>
          <w:bCs/>
        </w:rPr>
        <w:t>Stabilisation</w:t>
      </w:r>
      <w:proofErr w:type="spellEnd"/>
      <w:r w:rsidRPr="003F6A2F">
        <w:rPr>
          <w:rFonts w:ascii="Times New Roman" w:hAnsi="Times New Roman" w:cs="Times New Roman"/>
          <w:b/>
          <w:bCs/>
        </w:rPr>
        <w:t xml:space="preserve"> clauses:</w:t>
      </w:r>
      <w:r w:rsidRPr="003F6A2F">
        <w:rPr>
          <w:rFonts w:ascii="Times New Roman" w:hAnsi="Times New Roman" w:cs="Times New Roman"/>
        </w:rPr>
        <w:t xml:space="preserve"> Existing EPCCs provide limited protection against unilateral tax changes</w:t>
      </w:r>
    </w:p>
    <w:p w14:paraId="59C90D19" w14:textId="09AE86F4" w:rsidR="003F6A2F" w:rsidRPr="003F6A2F" w:rsidRDefault="003F6A2F" w:rsidP="005E7DA2">
      <w:pPr>
        <w:spacing w:line="240" w:lineRule="auto"/>
        <w:jc w:val="both"/>
        <w:rPr>
          <w:rFonts w:ascii="Times New Roman" w:hAnsi="Times New Roman" w:cs="Times New Roman"/>
        </w:rPr>
      </w:pPr>
    </w:p>
    <w:p w14:paraId="11086D93"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17. Security Risks</w:t>
      </w:r>
    </w:p>
    <w:p w14:paraId="0B604CB0"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The Cabo Delgado insurgency remains the single greatest threat to Mozambique's gas </w:t>
      </w:r>
      <w:proofErr w:type="spellStart"/>
      <w:r w:rsidRPr="003F6A2F">
        <w:rPr>
          <w:rFonts w:ascii="Times New Roman" w:hAnsi="Times New Roman" w:cs="Times New Roman"/>
        </w:rPr>
        <w:t>commercialisation</w:t>
      </w:r>
      <w:proofErr w:type="spellEnd"/>
      <w:r w:rsidRPr="003F6A2F">
        <w:rPr>
          <w:rFonts w:ascii="Times New Roman" w:hAnsi="Times New Roman" w:cs="Times New Roman"/>
        </w:rPr>
        <w:t>:</w:t>
      </w:r>
    </w:p>
    <w:p w14:paraId="086ABCD4" w14:textId="77777777" w:rsidR="003F6A2F" w:rsidRPr="003F6A2F" w:rsidRDefault="003F6A2F" w:rsidP="005E7DA2">
      <w:pPr>
        <w:numPr>
          <w:ilvl w:val="0"/>
          <w:numId w:val="26"/>
        </w:numPr>
        <w:spacing w:line="240" w:lineRule="auto"/>
        <w:jc w:val="both"/>
        <w:rPr>
          <w:rFonts w:ascii="Times New Roman" w:hAnsi="Times New Roman" w:cs="Times New Roman"/>
        </w:rPr>
      </w:pPr>
      <w:r w:rsidRPr="003F6A2F">
        <w:rPr>
          <w:rFonts w:ascii="Times New Roman" w:hAnsi="Times New Roman" w:cs="Times New Roman"/>
          <w:b/>
          <w:bCs/>
        </w:rPr>
        <w:t>Current posture:</w:t>
      </w:r>
      <w:r w:rsidRPr="003F6A2F">
        <w:rPr>
          <w:rFonts w:ascii="Times New Roman" w:hAnsi="Times New Roman" w:cs="Times New Roman"/>
        </w:rPr>
        <w:t xml:space="preserve"> ~5,000 Rwandan troops securing </w:t>
      </w:r>
      <w:proofErr w:type="spellStart"/>
      <w:r w:rsidRPr="003F6A2F">
        <w:rPr>
          <w:rFonts w:ascii="Times New Roman" w:hAnsi="Times New Roman" w:cs="Times New Roman"/>
        </w:rPr>
        <w:t>Afungi</w:t>
      </w:r>
      <w:proofErr w:type="spellEnd"/>
      <w:r w:rsidRPr="003F6A2F">
        <w:rPr>
          <w:rFonts w:ascii="Times New Roman" w:hAnsi="Times New Roman" w:cs="Times New Roman"/>
        </w:rPr>
        <w:t xml:space="preserve"> enclave; SADC forces in central/northern districts </w:t>
      </w:r>
    </w:p>
    <w:p w14:paraId="01DAD009" w14:textId="77777777" w:rsidR="003F6A2F" w:rsidRPr="003F6A2F" w:rsidRDefault="003F6A2F" w:rsidP="005E7DA2">
      <w:pPr>
        <w:numPr>
          <w:ilvl w:val="0"/>
          <w:numId w:val="26"/>
        </w:numPr>
        <w:spacing w:line="240" w:lineRule="auto"/>
        <w:jc w:val="both"/>
        <w:rPr>
          <w:rFonts w:ascii="Times New Roman" w:hAnsi="Times New Roman" w:cs="Times New Roman"/>
        </w:rPr>
      </w:pPr>
      <w:r w:rsidRPr="003F6A2F">
        <w:rPr>
          <w:rFonts w:ascii="Times New Roman" w:hAnsi="Times New Roman" w:cs="Times New Roman"/>
          <w:b/>
          <w:bCs/>
        </w:rPr>
        <w:t>Insurgent capability:</w:t>
      </w:r>
      <w:r w:rsidRPr="003F6A2F">
        <w:rPr>
          <w:rFonts w:ascii="Times New Roman" w:hAnsi="Times New Roman" w:cs="Times New Roman"/>
        </w:rPr>
        <w:t xml:space="preserve"> IS-affiliated ASWJ retains operational capacity; attacks continue in </w:t>
      </w:r>
      <w:proofErr w:type="spellStart"/>
      <w:r w:rsidRPr="003F6A2F">
        <w:rPr>
          <w:rFonts w:ascii="Times New Roman" w:hAnsi="Times New Roman" w:cs="Times New Roman"/>
        </w:rPr>
        <w:t>Muidumbe</w:t>
      </w:r>
      <w:proofErr w:type="spellEnd"/>
      <w:r w:rsidRPr="003F6A2F">
        <w:rPr>
          <w:rFonts w:ascii="Times New Roman" w:hAnsi="Times New Roman" w:cs="Times New Roman"/>
        </w:rPr>
        <w:t xml:space="preserve"> and </w:t>
      </w:r>
      <w:proofErr w:type="spellStart"/>
      <w:r w:rsidRPr="003F6A2F">
        <w:rPr>
          <w:rFonts w:ascii="Times New Roman" w:hAnsi="Times New Roman" w:cs="Times New Roman"/>
        </w:rPr>
        <w:t>Mocímboa</w:t>
      </w:r>
      <w:proofErr w:type="spellEnd"/>
      <w:r w:rsidRPr="003F6A2F">
        <w:rPr>
          <w:rFonts w:ascii="Times New Roman" w:hAnsi="Times New Roman" w:cs="Times New Roman"/>
        </w:rPr>
        <w:t xml:space="preserve"> da Praia districts </w:t>
      </w:r>
    </w:p>
    <w:p w14:paraId="426B9387" w14:textId="77777777" w:rsidR="003F6A2F" w:rsidRPr="003F6A2F" w:rsidRDefault="003F6A2F" w:rsidP="005E7DA2">
      <w:pPr>
        <w:numPr>
          <w:ilvl w:val="0"/>
          <w:numId w:val="26"/>
        </w:numPr>
        <w:spacing w:line="240" w:lineRule="auto"/>
        <w:jc w:val="both"/>
        <w:rPr>
          <w:rFonts w:ascii="Times New Roman" w:hAnsi="Times New Roman" w:cs="Times New Roman"/>
        </w:rPr>
      </w:pPr>
      <w:r w:rsidRPr="003F6A2F">
        <w:rPr>
          <w:rFonts w:ascii="Times New Roman" w:hAnsi="Times New Roman" w:cs="Times New Roman"/>
          <w:b/>
          <w:bCs/>
        </w:rPr>
        <w:t>Enclave model:</w:t>
      </w:r>
      <w:r w:rsidRPr="003F6A2F">
        <w:rPr>
          <w:rFonts w:ascii="Times New Roman" w:hAnsi="Times New Roman" w:cs="Times New Roman"/>
        </w:rPr>
        <w:t xml:space="preserve"> TotalEnergies' </w:t>
      </w:r>
      <w:proofErr w:type="spellStart"/>
      <w:r w:rsidRPr="003F6A2F">
        <w:rPr>
          <w:rFonts w:ascii="Times New Roman" w:hAnsi="Times New Roman" w:cs="Times New Roman"/>
        </w:rPr>
        <w:t>securitised</w:t>
      </w:r>
      <w:proofErr w:type="spellEnd"/>
      <w:r w:rsidRPr="003F6A2F">
        <w:rPr>
          <w:rFonts w:ascii="Times New Roman" w:hAnsi="Times New Roman" w:cs="Times New Roman"/>
        </w:rPr>
        <w:t xml:space="preserve"> concession limits local economic spillover, potentially </w:t>
      </w:r>
      <w:proofErr w:type="spellStart"/>
      <w:r w:rsidRPr="003F6A2F">
        <w:rPr>
          <w:rFonts w:ascii="Times New Roman" w:hAnsi="Times New Roman" w:cs="Times New Roman"/>
        </w:rPr>
        <w:t>fuelling</w:t>
      </w:r>
      <w:proofErr w:type="spellEnd"/>
      <w:r w:rsidRPr="003F6A2F">
        <w:rPr>
          <w:rFonts w:ascii="Times New Roman" w:hAnsi="Times New Roman" w:cs="Times New Roman"/>
        </w:rPr>
        <w:t xml:space="preserve"> grievances </w:t>
      </w:r>
    </w:p>
    <w:p w14:paraId="34078CF8" w14:textId="77777777" w:rsidR="003F6A2F" w:rsidRPr="003F6A2F" w:rsidRDefault="003F6A2F" w:rsidP="005E7DA2">
      <w:pPr>
        <w:numPr>
          <w:ilvl w:val="0"/>
          <w:numId w:val="26"/>
        </w:numPr>
        <w:spacing w:line="240" w:lineRule="auto"/>
        <w:jc w:val="both"/>
        <w:rPr>
          <w:rFonts w:ascii="Times New Roman" w:hAnsi="Times New Roman" w:cs="Times New Roman"/>
        </w:rPr>
      </w:pPr>
      <w:r w:rsidRPr="003F6A2F">
        <w:rPr>
          <w:rFonts w:ascii="Times New Roman" w:hAnsi="Times New Roman" w:cs="Times New Roman"/>
          <w:b/>
          <w:bCs/>
        </w:rPr>
        <w:t>Maritime risk:</w:t>
      </w:r>
      <w:r w:rsidRPr="003F6A2F">
        <w:rPr>
          <w:rFonts w:ascii="Times New Roman" w:hAnsi="Times New Roman" w:cs="Times New Roman"/>
        </w:rPr>
        <w:t xml:space="preserve"> Naval forces have fired on civilian vessels; LNG shipping lanes require naval escort through Mozambique Channel</w:t>
      </w:r>
    </w:p>
    <w:p w14:paraId="20B7D84B"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lastRenderedPageBreak/>
        <w:t>Security cost impact:</w:t>
      </w:r>
      <w:r w:rsidRPr="003F6A2F">
        <w:rPr>
          <w:rFonts w:ascii="Times New Roman" w:hAnsi="Times New Roman" w:cs="Times New Roman"/>
        </w:rPr>
        <w:t xml:space="preserve"> $1.5bn/year (5% of gross revenue), reducing government take by approximately $500m/year.</w:t>
      </w:r>
    </w:p>
    <w:p w14:paraId="47F172B0" w14:textId="4E7455C4" w:rsidR="003F6A2F" w:rsidRPr="003F6A2F" w:rsidRDefault="003F6A2F" w:rsidP="005E7DA2">
      <w:pPr>
        <w:spacing w:line="240" w:lineRule="auto"/>
        <w:jc w:val="both"/>
        <w:rPr>
          <w:rFonts w:ascii="Times New Roman" w:hAnsi="Times New Roman" w:cs="Times New Roman"/>
        </w:rPr>
      </w:pPr>
    </w:p>
    <w:p w14:paraId="14C9A1AE"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18. Climate Policy and Energy Transition Implications</w:t>
      </w:r>
    </w:p>
    <w:p w14:paraId="3ABD20CF" w14:textId="7C1D5F8B"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Mozambique's Energy Transition Strategy (2023) positions natural gas as a "transitional fuel" while </w:t>
      </w:r>
      <w:proofErr w:type="spellStart"/>
      <w:r w:rsidRPr="003F6A2F">
        <w:rPr>
          <w:rFonts w:ascii="Times New Roman" w:hAnsi="Times New Roman" w:cs="Times New Roman"/>
        </w:rPr>
        <w:t>prioritising</w:t>
      </w:r>
      <w:proofErr w:type="spellEnd"/>
      <w:r w:rsidRPr="003F6A2F">
        <w:rPr>
          <w:rFonts w:ascii="Times New Roman" w:hAnsi="Times New Roman" w:cs="Times New Roman"/>
        </w:rPr>
        <w:t xml:space="preserve"> renewables. The updated NDC targets 40 </w:t>
      </w:r>
      <w:proofErr w:type="spellStart"/>
      <w:r w:rsidRPr="003F6A2F">
        <w:rPr>
          <w:rFonts w:ascii="Times New Roman" w:hAnsi="Times New Roman" w:cs="Times New Roman"/>
        </w:rPr>
        <w:t>MtCO₂eq</w:t>
      </w:r>
      <w:proofErr w:type="spellEnd"/>
      <w:r w:rsidRPr="003F6A2F">
        <w:rPr>
          <w:rFonts w:ascii="Times New Roman" w:hAnsi="Times New Roman" w:cs="Times New Roman"/>
        </w:rPr>
        <w:t xml:space="preserve"> reduction by 2025 (conditional on $7.6bn financing) </w:t>
      </w:r>
    </w:p>
    <w:p w14:paraId="04A086D6"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b/>
          <w:bCs/>
        </w:rPr>
        <w:t xml:space="preserve">Transition risks to gas </w:t>
      </w:r>
      <w:proofErr w:type="spellStart"/>
      <w:r w:rsidRPr="003F6A2F">
        <w:rPr>
          <w:rFonts w:ascii="Times New Roman" w:hAnsi="Times New Roman" w:cs="Times New Roman"/>
          <w:b/>
          <w:bCs/>
        </w:rPr>
        <w:t>commercialisation</w:t>
      </w:r>
      <w:proofErr w:type="spellEnd"/>
      <w:r w:rsidRPr="003F6A2F">
        <w:rPr>
          <w:rFonts w:ascii="Times New Roman" w:hAnsi="Times New Roman" w:cs="Times New Roman"/>
          <w:b/>
          <w:bCs/>
        </w:rPr>
        <w:t>:</w:t>
      </w:r>
    </w:p>
    <w:p w14:paraId="1D6166DB" w14:textId="77777777" w:rsidR="003F6A2F" w:rsidRPr="003F6A2F" w:rsidRDefault="003F6A2F" w:rsidP="005E7DA2">
      <w:pPr>
        <w:numPr>
          <w:ilvl w:val="0"/>
          <w:numId w:val="27"/>
        </w:numPr>
        <w:spacing w:after="0" w:line="240" w:lineRule="auto"/>
        <w:jc w:val="both"/>
        <w:rPr>
          <w:rFonts w:ascii="Times New Roman" w:hAnsi="Times New Roman" w:cs="Times New Roman"/>
        </w:rPr>
      </w:pPr>
      <w:r w:rsidRPr="003F6A2F">
        <w:rPr>
          <w:rFonts w:ascii="Times New Roman" w:hAnsi="Times New Roman" w:cs="Times New Roman"/>
          <w:b/>
          <w:bCs/>
        </w:rPr>
        <w:t>Carbon border adjustments:</w:t>
      </w:r>
      <w:r w:rsidRPr="003F6A2F">
        <w:rPr>
          <w:rFonts w:ascii="Times New Roman" w:hAnsi="Times New Roman" w:cs="Times New Roman"/>
        </w:rPr>
        <w:t xml:space="preserve"> EU CBAM may </w:t>
      </w:r>
      <w:proofErr w:type="spellStart"/>
      <w:r w:rsidRPr="003F6A2F">
        <w:rPr>
          <w:rFonts w:ascii="Times New Roman" w:hAnsi="Times New Roman" w:cs="Times New Roman"/>
        </w:rPr>
        <w:t>penalise</w:t>
      </w:r>
      <w:proofErr w:type="spellEnd"/>
      <w:r w:rsidRPr="003F6A2F">
        <w:rPr>
          <w:rFonts w:ascii="Times New Roman" w:hAnsi="Times New Roman" w:cs="Times New Roman"/>
        </w:rPr>
        <w:t xml:space="preserve"> LNG imports from high-flaring projects</w:t>
      </w:r>
    </w:p>
    <w:p w14:paraId="3CB3B25B" w14:textId="77777777" w:rsidR="003F6A2F" w:rsidRPr="003F6A2F" w:rsidRDefault="003F6A2F" w:rsidP="005E7DA2">
      <w:pPr>
        <w:numPr>
          <w:ilvl w:val="0"/>
          <w:numId w:val="27"/>
        </w:numPr>
        <w:spacing w:after="0" w:line="240" w:lineRule="auto"/>
        <w:jc w:val="both"/>
        <w:rPr>
          <w:rFonts w:ascii="Times New Roman" w:hAnsi="Times New Roman" w:cs="Times New Roman"/>
        </w:rPr>
      </w:pPr>
      <w:r w:rsidRPr="003F6A2F">
        <w:rPr>
          <w:rFonts w:ascii="Times New Roman" w:hAnsi="Times New Roman" w:cs="Times New Roman"/>
          <w:b/>
          <w:bCs/>
        </w:rPr>
        <w:t>Methane regulations:</w:t>
      </w:r>
      <w:r w:rsidRPr="003F6A2F">
        <w:rPr>
          <w:rFonts w:ascii="Times New Roman" w:hAnsi="Times New Roman" w:cs="Times New Roman"/>
        </w:rPr>
        <w:t xml:space="preserve"> EU Methane Regulation (2024) requires supply-chain methane intensity disclosure</w:t>
      </w:r>
    </w:p>
    <w:p w14:paraId="54CE1BE2" w14:textId="77777777" w:rsidR="003F6A2F" w:rsidRPr="003F6A2F" w:rsidRDefault="003F6A2F" w:rsidP="005E7DA2">
      <w:pPr>
        <w:numPr>
          <w:ilvl w:val="0"/>
          <w:numId w:val="27"/>
        </w:numPr>
        <w:spacing w:after="0" w:line="240" w:lineRule="auto"/>
        <w:jc w:val="both"/>
        <w:rPr>
          <w:rFonts w:ascii="Times New Roman" w:hAnsi="Times New Roman" w:cs="Times New Roman"/>
        </w:rPr>
      </w:pPr>
      <w:r w:rsidRPr="003F6A2F">
        <w:rPr>
          <w:rFonts w:ascii="Times New Roman" w:hAnsi="Times New Roman" w:cs="Times New Roman"/>
          <w:b/>
          <w:bCs/>
        </w:rPr>
        <w:t>Financing restrictions:</w:t>
      </w:r>
      <w:r w:rsidRPr="003F6A2F">
        <w:rPr>
          <w:rFonts w:ascii="Times New Roman" w:hAnsi="Times New Roman" w:cs="Times New Roman"/>
        </w:rPr>
        <w:t xml:space="preserve"> OECD export credit agencies increasingly restrict upstream gas financing</w:t>
      </w:r>
    </w:p>
    <w:p w14:paraId="02108A3E" w14:textId="77777777" w:rsidR="003F6A2F" w:rsidRPr="003F6A2F" w:rsidRDefault="003F6A2F" w:rsidP="005E7DA2">
      <w:pPr>
        <w:numPr>
          <w:ilvl w:val="0"/>
          <w:numId w:val="27"/>
        </w:numPr>
        <w:spacing w:after="0" w:line="240" w:lineRule="auto"/>
        <w:jc w:val="both"/>
        <w:rPr>
          <w:rFonts w:ascii="Times New Roman" w:hAnsi="Times New Roman" w:cs="Times New Roman"/>
        </w:rPr>
      </w:pPr>
      <w:r w:rsidRPr="003F6A2F">
        <w:rPr>
          <w:rFonts w:ascii="Times New Roman" w:hAnsi="Times New Roman" w:cs="Times New Roman"/>
          <w:b/>
          <w:bCs/>
        </w:rPr>
        <w:t>Stranded asset risk:</w:t>
      </w:r>
      <w:r w:rsidRPr="003F6A2F">
        <w:rPr>
          <w:rFonts w:ascii="Times New Roman" w:hAnsi="Times New Roman" w:cs="Times New Roman"/>
        </w:rPr>
        <w:t xml:space="preserve"> Beyond 2040, global LNG demand may peak under aggressive net-zero scenarios</w:t>
      </w:r>
    </w:p>
    <w:p w14:paraId="773276D2" w14:textId="26A8232A" w:rsid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However, the IEA's low-transition scenario still projects 718 Mtpa global LNG demand by 2040, providing a 15–</w:t>
      </w:r>
      <w:proofErr w:type="gramStart"/>
      <w:r w:rsidRPr="003F6A2F">
        <w:rPr>
          <w:rFonts w:ascii="Times New Roman" w:hAnsi="Times New Roman" w:cs="Times New Roman"/>
        </w:rPr>
        <w:t>20 year</w:t>
      </w:r>
      <w:proofErr w:type="gramEnd"/>
      <w:r w:rsidRPr="003F6A2F">
        <w:rPr>
          <w:rFonts w:ascii="Times New Roman" w:hAnsi="Times New Roman" w:cs="Times New Roman"/>
        </w:rPr>
        <w:t xml:space="preserve"> commercial window for Mozambique's first-wave projects.</w:t>
      </w:r>
    </w:p>
    <w:p w14:paraId="5CC5D1A6" w14:textId="77777777" w:rsidR="00C0345B" w:rsidRPr="003F6A2F" w:rsidRDefault="00C0345B" w:rsidP="005E7DA2">
      <w:pPr>
        <w:spacing w:line="240" w:lineRule="auto"/>
        <w:jc w:val="both"/>
        <w:rPr>
          <w:rFonts w:ascii="Times New Roman" w:hAnsi="Times New Roman" w:cs="Times New Roman"/>
        </w:rPr>
      </w:pPr>
    </w:p>
    <w:p w14:paraId="66055823" w14:textId="73CC2F69" w:rsidR="003F6A2F" w:rsidRDefault="00C0345B" w:rsidP="005E7DA2">
      <w:pPr>
        <w:spacing w:line="240" w:lineRule="auto"/>
        <w:jc w:val="both"/>
        <w:rPr>
          <w:rFonts w:ascii="Times New Roman" w:hAnsi="Times New Roman" w:cs="Times New Roman"/>
          <w:b/>
          <w:bCs/>
        </w:rPr>
      </w:pPr>
      <w:r>
        <w:rPr>
          <w:rFonts w:ascii="Times New Roman" w:hAnsi="Times New Roman" w:cs="Times New Roman"/>
          <w:b/>
          <w:bCs/>
        </w:rPr>
        <w:t>19</w:t>
      </w:r>
      <w:r w:rsidR="003F6A2F" w:rsidRPr="003F6A2F">
        <w:rPr>
          <w:rFonts w:ascii="Times New Roman" w:hAnsi="Times New Roman" w:cs="Times New Roman"/>
          <w:b/>
          <w:bCs/>
        </w:rPr>
        <w:t>. Comparative Commercial Returns</w:t>
      </w:r>
    </w:p>
    <w:p w14:paraId="74B28CDA" w14:textId="16E52044" w:rsidR="00C0345B" w:rsidRPr="003F6A2F" w:rsidRDefault="005E7DA2" w:rsidP="005E7DA2">
      <w:pPr>
        <w:spacing w:line="240" w:lineRule="auto"/>
        <w:jc w:val="both"/>
        <w:rPr>
          <w:rFonts w:ascii="Times New Roman" w:hAnsi="Times New Roman" w:cs="Times New Roman"/>
          <w:b/>
          <w:bCs/>
        </w:rPr>
      </w:pPr>
      <w:r>
        <w:rPr>
          <w:rFonts w:ascii="Times New Roman" w:hAnsi="Times New Roman" w:cs="Times New Roman"/>
          <w:b/>
          <w:bCs/>
          <w:noProof/>
        </w:rPr>
        <w:drawing>
          <wp:inline distT="0" distB="0" distL="0" distR="0" wp14:anchorId="6F138214" wp14:editId="685661A4">
            <wp:extent cx="5943600" cy="3172460"/>
            <wp:effectExtent l="0" t="0" r="0" b="8890"/>
            <wp:docPr id="148123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374" name="Picture 148123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172460"/>
                    </a:xfrm>
                    <a:prstGeom prst="rect">
                      <a:avLst/>
                    </a:prstGeom>
                  </pic:spPr>
                </pic:pic>
              </a:graphicData>
            </a:graphic>
          </wp:inline>
        </w:drawing>
      </w:r>
    </w:p>
    <w:p w14:paraId="58F27545" w14:textId="4B05DB05" w:rsidR="003F6A2F" w:rsidRPr="003F6A2F" w:rsidRDefault="003F6A2F" w:rsidP="005E7DA2">
      <w:pPr>
        <w:spacing w:after="0" w:line="240" w:lineRule="auto"/>
        <w:jc w:val="both"/>
        <w:rPr>
          <w:rFonts w:ascii="Times New Roman" w:hAnsi="Times New Roman" w:cs="Times New Roman"/>
        </w:rPr>
      </w:pPr>
      <w:r w:rsidRPr="003F6A2F">
        <w:rPr>
          <w:rFonts w:ascii="Times New Roman" w:hAnsi="Times New Roman" w:cs="Times New Roman"/>
        </w:rPr>
        <w:t xml:space="preserve">The comparative returns analysis demonstrates that while pure LNG </w:t>
      </w:r>
      <w:r w:rsidR="005E7DA2" w:rsidRPr="003F6A2F">
        <w:rPr>
          <w:rFonts w:ascii="Times New Roman" w:hAnsi="Times New Roman" w:cs="Times New Roman"/>
        </w:rPr>
        <w:t>maximization</w:t>
      </w:r>
      <w:r w:rsidRPr="003F6A2F">
        <w:rPr>
          <w:rFonts w:ascii="Times New Roman" w:hAnsi="Times New Roman" w:cs="Times New Roman"/>
        </w:rPr>
        <w:t xml:space="preserve"> delivers the highest NPV ($18.5bn) and IRR (22.4%), the </w:t>
      </w:r>
      <w:r w:rsidRPr="003F6A2F">
        <w:rPr>
          <w:rFonts w:ascii="Times New Roman" w:hAnsi="Times New Roman" w:cs="Times New Roman"/>
          <w:b/>
          <w:bCs/>
        </w:rPr>
        <w:t>Balanced Allocation</w:t>
      </w:r>
      <w:r w:rsidRPr="003F6A2F">
        <w:rPr>
          <w:rFonts w:ascii="Times New Roman" w:hAnsi="Times New Roman" w:cs="Times New Roman"/>
        </w:rPr>
        <w:t xml:space="preserve"> strategy provides superior risk-adjusted returns when accounting for:</w:t>
      </w:r>
    </w:p>
    <w:p w14:paraId="6889AA69" w14:textId="77777777" w:rsidR="003F6A2F" w:rsidRPr="003F6A2F" w:rsidRDefault="003F6A2F" w:rsidP="005E7DA2">
      <w:pPr>
        <w:numPr>
          <w:ilvl w:val="0"/>
          <w:numId w:val="32"/>
        </w:numPr>
        <w:spacing w:after="0" w:line="240" w:lineRule="auto"/>
        <w:jc w:val="both"/>
        <w:rPr>
          <w:rFonts w:ascii="Times New Roman" w:hAnsi="Times New Roman" w:cs="Times New Roman"/>
        </w:rPr>
      </w:pPr>
      <w:r w:rsidRPr="003F6A2F">
        <w:rPr>
          <w:rFonts w:ascii="Times New Roman" w:hAnsi="Times New Roman" w:cs="Times New Roman"/>
        </w:rPr>
        <w:lastRenderedPageBreak/>
        <w:t>Security risk diversification</w:t>
      </w:r>
    </w:p>
    <w:p w14:paraId="045B6FE4" w14:textId="77777777" w:rsidR="003F6A2F" w:rsidRPr="003F6A2F" w:rsidRDefault="003F6A2F" w:rsidP="005E7DA2">
      <w:pPr>
        <w:numPr>
          <w:ilvl w:val="0"/>
          <w:numId w:val="32"/>
        </w:numPr>
        <w:spacing w:after="0" w:line="240" w:lineRule="auto"/>
        <w:jc w:val="both"/>
        <w:rPr>
          <w:rFonts w:ascii="Times New Roman" w:hAnsi="Times New Roman" w:cs="Times New Roman"/>
        </w:rPr>
      </w:pPr>
      <w:r w:rsidRPr="003F6A2F">
        <w:rPr>
          <w:rFonts w:ascii="Times New Roman" w:hAnsi="Times New Roman" w:cs="Times New Roman"/>
        </w:rPr>
        <w:t>Domestic political economy stability</w:t>
      </w:r>
    </w:p>
    <w:p w14:paraId="42E026F7" w14:textId="77777777" w:rsidR="003F6A2F" w:rsidRPr="003F6A2F" w:rsidRDefault="003F6A2F" w:rsidP="005E7DA2">
      <w:pPr>
        <w:numPr>
          <w:ilvl w:val="0"/>
          <w:numId w:val="32"/>
        </w:numPr>
        <w:spacing w:after="0" w:line="240" w:lineRule="auto"/>
        <w:jc w:val="both"/>
        <w:rPr>
          <w:rFonts w:ascii="Times New Roman" w:hAnsi="Times New Roman" w:cs="Times New Roman"/>
        </w:rPr>
      </w:pPr>
      <w:r w:rsidRPr="003F6A2F">
        <w:rPr>
          <w:rFonts w:ascii="Times New Roman" w:hAnsi="Times New Roman" w:cs="Times New Roman"/>
        </w:rPr>
        <w:t>Regional market optionality</w:t>
      </w:r>
    </w:p>
    <w:p w14:paraId="2C43A0DB" w14:textId="77777777" w:rsidR="003F6A2F" w:rsidRPr="003F6A2F" w:rsidRDefault="003F6A2F" w:rsidP="005E7DA2">
      <w:pPr>
        <w:numPr>
          <w:ilvl w:val="0"/>
          <w:numId w:val="32"/>
        </w:numPr>
        <w:spacing w:after="0" w:line="240" w:lineRule="auto"/>
        <w:jc w:val="both"/>
        <w:rPr>
          <w:rFonts w:ascii="Times New Roman" w:hAnsi="Times New Roman" w:cs="Times New Roman"/>
        </w:rPr>
      </w:pPr>
      <w:r w:rsidRPr="003F6A2F">
        <w:rPr>
          <w:rFonts w:ascii="Times New Roman" w:hAnsi="Times New Roman" w:cs="Times New Roman"/>
        </w:rPr>
        <w:t>Transition resilience</w:t>
      </w:r>
    </w:p>
    <w:p w14:paraId="397EC435"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The Regional Hub strategy offers an attractive middle ground for investors with longer horizons and lower hurdle rates (infrastructure funds, DFIs).</w:t>
      </w:r>
    </w:p>
    <w:p w14:paraId="4F39E624" w14:textId="5558934E" w:rsidR="003F6A2F" w:rsidRPr="003F6A2F" w:rsidRDefault="003F6A2F" w:rsidP="005E7DA2">
      <w:pPr>
        <w:spacing w:line="240" w:lineRule="auto"/>
        <w:jc w:val="both"/>
        <w:rPr>
          <w:rFonts w:ascii="Times New Roman" w:hAnsi="Times New Roman" w:cs="Times New Roman"/>
        </w:rPr>
      </w:pPr>
    </w:p>
    <w:p w14:paraId="7B3ED874" w14:textId="2E85DAC0"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2</w:t>
      </w:r>
      <w:r w:rsidR="005E7DA2">
        <w:rPr>
          <w:rFonts w:ascii="Times New Roman" w:hAnsi="Times New Roman" w:cs="Times New Roman"/>
          <w:b/>
          <w:bCs/>
        </w:rPr>
        <w:t>0</w:t>
      </w:r>
      <w:r w:rsidRPr="003F6A2F">
        <w:rPr>
          <w:rFonts w:ascii="Times New Roman" w:hAnsi="Times New Roman" w:cs="Times New Roman"/>
          <w:b/>
          <w:bCs/>
        </w:rPr>
        <w:t>. Tornado Sensitivity Analysis</w:t>
      </w:r>
    </w:p>
    <w:p w14:paraId="23261F37" w14:textId="6E1489DE" w:rsidR="005E7DA2" w:rsidRDefault="005E7DA2" w:rsidP="005E7DA2">
      <w:pPr>
        <w:spacing w:line="240" w:lineRule="auto"/>
        <w:jc w:val="both"/>
        <w:rPr>
          <w:rFonts w:ascii="Times New Roman" w:hAnsi="Times New Roman" w:cs="Times New Roman"/>
        </w:rPr>
      </w:pPr>
      <w:r>
        <w:rPr>
          <w:rFonts w:ascii="Times New Roman" w:hAnsi="Times New Roman" w:cs="Times New Roman"/>
          <w:noProof/>
        </w:rPr>
        <w:drawing>
          <wp:inline distT="0" distB="0" distL="0" distR="0" wp14:anchorId="24FA0E93" wp14:editId="02B156AA">
            <wp:extent cx="5943600" cy="3925570"/>
            <wp:effectExtent l="0" t="0" r="0" b="0"/>
            <wp:docPr id="2033217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1728" name="Picture 20332172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925570"/>
                    </a:xfrm>
                    <a:prstGeom prst="rect">
                      <a:avLst/>
                    </a:prstGeom>
                  </pic:spPr>
                </pic:pic>
              </a:graphicData>
            </a:graphic>
          </wp:inline>
        </w:drawing>
      </w:r>
    </w:p>
    <w:p w14:paraId="481DA38C" w14:textId="6025BF3B"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The tornado analysis confirms that </w:t>
      </w:r>
      <w:r w:rsidRPr="003F6A2F">
        <w:rPr>
          <w:rFonts w:ascii="Times New Roman" w:hAnsi="Times New Roman" w:cs="Times New Roman"/>
          <w:b/>
          <w:bCs/>
        </w:rPr>
        <w:t>LNG price (JKM)</w:t>
      </w:r>
      <w:r w:rsidRPr="003F6A2F">
        <w:rPr>
          <w:rFonts w:ascii="Times New Roman" w:hAnsi="Times New Roman" w:cs="Times New Roman"/>
        </w:rPr>
        <w:t xml:space="preserve"> is the dominant value driver, with a ±20% price swing impacting NPV by $6.2bn (upside) to -$4.8bn (downside). </w:t>
      </w:r>
      <w:r w:rsidRPr="003F6A2F">
        <w:rPr>
          <w:rFonts w:ascii="Times New Roman" w:hAnsi="Times New Roman" w:cs="Times New Roman"/>
          <w:b/>
          <w:bCs/>
        </w:rPr>
        <w:t>CAPEX overrun</w:t>
      </w:r>
      <w:r w:rsidRPr="003F6A2F">
        <w:rPr>
          <w:rFonts w:ascii="Times New Roman" w:hAnsi="Times New Roman" w:cs="Times New Roman"/>
        </w:rPr>
        <w:t xml:space="preserve"> represents the second-largest risk (-$3.2bn), reflecting construction cost inflation and security-related delays. Notably, </w:t>
      </w:r>
      <w:r w:rsidRPr="003F6A2F">
        <w:rPr>
          <w:rFonts w:ascii="Times New Roman" w:hAnsi="Times New Roman" w:cs="Times New Roman"/>
          <w:b/>
          <w:bCs/>
        </w:rPr>
        <w:t>DMO volume</w:t>
      </w:r>
      <w:r w:rsidRPr="003F6A2F">
        <w:rPr>
          <w:rFonts w:ascii="Times New Roman" w:hAnsi="Times New Roman" w:cs="Times New Roman"/>
        </w:rPr>
        <w:t xml:space="preserve"> has a relatively modest NPV impact (-$1.5bn to +$1.2bn), suggesting that domestic obligation fulfilment is commercially manageable within a balanced portfolio.</w:t>
      </w:r>
    </w:p>
    <w:p w14:paraId="3418136B" w14:textId="2ADAB054" w:rsidR="003F6A2F" w:rsidRPr="003F6A2F" w:rsidRDefault="003F6A2F" w:rsidP="005E7DA2">
      <w:pPr>
        <w:spacing w:line="240" w:lineRule="auto"/>
        <w:jc w:val="both"/>
        <w:rPr>
          <w:rFonts w:ascii="Times New Roman" w:hAnsi="Times New Roman" w:cs="Times New Roman"/>
        </w:rPr>
      </w:pPr>
    </w:p>
    <w:p w14:paraId="153A7E28" w14:textId="0F60CDA3"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2</w:t>
      </w:r>
      <w:r w:rsidR="005E7DA2">
        <w:rPr>
          <w:rFonts w:ascii="Times New Roman" w:hAnsi="Times New Roman" w:cs="Times New Roman"/>
          <w:b/>
          <w:bCs/>
        </w:rPr>
        <w:t>1</w:t>
      </w:r>
      <w:r w:rsidRPr="003F6A2F">
        <w:rPr>
          <w:rFonts w:ascii="Times New Roman" w:hAnsi="Times New Roman" w:cs="Times New Roman"/>
          <w:b/>
          <w:bCs/>
        </w:rPr>
        <w:t>. Risk Matrix</w:t>
      </w:r>
    </w:p>
    <w:tbl>
      <w:tblPr>
        <w:tblStyle w:val="TableGrid"/>
        <w:tblW w:w="0" w:type="auto"/>
        <w:tblLook w:val="04A0" w:firstRow="1" w:lastRow="0" w:firstColumn="1" w:lastColumn="0" w:noHBand="0" w:noVBand="1"/>
      </w:tblPr>
      <w:tblGrid>
        <w:gridCol w:w="2604"/>
        <w:gridCol w:w="1471"/>
        <w:gridCol w:w="1030"/>
        <w:gridCol w:w="4245"/>
      </w:tblGrid>
      <w:tr w:rsidR="003F6A2F" w:rsidRPr="003F6A2F" w14:paraId="455FD395" w14:textId="77777777" w:rsidTr="005E7DA2">
        <w:tc>
          <w:tcPr>
            <w:tcW w:w="0" w:type="auto"/>
            <w:hideMark/>
          </w:tcPr>
          <w:p w14:paraId="000692FC" w14:textId="77777777" w:rsidR="003F6A2F" w:rsidRPr="003F6A2F" w:rsidRDefault="003F6A2F" w:rsidP="005E7DA2">
            <w:pPr>
              <w:jc w:val="both"/>
              <w:rPr>
                <w:rFonts w:ascii="Times New Roman" w:hAnsi="Times New Roman" w:cs="Times New Roman"/>
                <w:b/>
                <w:bCs/>
              </w:rPr>
            </w:pPr>
            <w:r w:rsidRPr="003F6A2F">
              <w:rPr>
                <w:rFonts w:ascii="Times New Roman" w:hAnsi="Times New Roman" w:cs="Times New Roman"/>
                <w:b/>
                <w:bCs/>
              </w:rPr>
              <w:t>Risk Category</w:t>
            </w:r>
          </w:p>
        </w:tc>
        <w:tc>
          <w:tcPr>
            <w:tcW w:w="0" w:type="auto"/>
            <w:hideMark/>
          </w:tcPr>
          <w:p w14:paraId="174187D8" w14:textId="77777777" w:rsidR="003F6A2F" w:rsidRPr="003F6A2F" w:rsidRDefault="003F6A2F" w:rsidP="005E7DA2">
            <w:pPr>
              <w:jc w:val="both"/>
              <w:rPr>
                <w:rFonts w:ascii="Times New Roman" w:hAnsi="Times New Roman" w:cs="Times New Roman"/>
                <w:b/>
                <w:bCs/>
              </w:rPr>
            </w:pPr>
            <w:r w:rsidRPr="003F6A2F">
              <w:rPr>
                <w:rFonts w:ascii="Times New Roman" w:hAnsi="Times New Roman" w:cs="Times New Roman"/>
                <w:b/>
                <w:bCs/>
              </w:rPr>
              <w:t>Probability</w:t>
            </w:r>
          </w:p>
        </w:tc>
        <w:tc>
          <w:tcPr>
            <w:tcW w:w="0" w:type="auto"/>
            <w:hideMark/>
          </w:tcPr>
          <w:p w14:paraId="48052916" w14:textId="77777777" w:rsidR="003F6A2F" w:rsidRPr="003F6A2F" w:rsidRDefault="003F6A2F" w:rsidP="005E7DA2">
            <w:pPr>
              <w:jc w:val="both"/>
              <w:rPr>
                <w:rFonts w:ascii="Times New Roman" w:hAnsi="Times New Roman" w:cs="Times New Roman"/>
                <w:b/>
                <w:bCs/>
              </w:rPr>
            </w:pPr>
            <w:r w:rsidRPr="003F6A2F">
              <w:rPr>
                <w:rFonts w:ascii="Times New Roman" w:hAnsi="Times New Roman" w:cs="Times New Roman"/>
                <w:b/>
                <w:bCs/>
              </w:rPr>
              <w:t>Impact</w:t>
            </w:r>
          </w:p>
        </w:tc>
        <w:tc>
          <w:tcPr>
            <w:tcW w:w="0" w:type="auto"/>
            <w:hideMark/>
          </w:tcPr>
          <w:p w14:paraId="0905FA4B" w14:textId="77777777" w:rsidR="003F6A2F" w:rsidRPr="003F6A2F" w:rsidRDefault="003F6A2F" w:rsidP="005E7DA2">
            <w:pPr>
              <w:jc w:val="both"/>
              <w:rPr>
                <w:rFonts w:ascii="Times New Roman" w:hAnsi="Times New Roman" w:cs="Times New Roman"/>
                <w:b/>
                <w:bCs/>
              </w:rPr>
            </w:pPr>
            <w:r w:rsidRPr="003F6A2F">
              <w:rPr>
                <w:rFonts w:ascii="Times New Roman" w:hAnsi="Times New Roman" w:cs="Times New Roman"/>
                <w:b/>
                <w:bCs/>
              </w:rPr>
              <w:t>Mitigation</w:t>
            </w:r>
          </w:p>
        </w:tc>
      </w:tr>
      <w:tr w:rsidR="003F6A2F" w:rsidRPr="003F6A2F" w14:paraId="5EA1E439" w14:textId="77777777" w:rsidTr="005E7DA2">
        <w:tc>
          <w:tcPr>
            <w:tcW w:w="0" w:type="auto"/>
            <w:hideMark/>
          </w:tcPr>
          <w:p w14:paraId="0844C7C9"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Security (insurgency)</w:t>
            </w:r>
          </w:p>
        </w:tc>
        <w:tc>
          <w:tcPr>
            <w:tcW w:w="0" w:type="auto"/>
            <w:hideMark/>
          </w:tcPr>
          <w:p w14:paraId="51B11687"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Medium</w:t>
            </w:r>
          </w:p>
        </w:tc>
        <w:tc>
          <w:tcPr>
            <w:tcW w:w="0" w:type="auto"/>
            <w:hideMark/>
          </w:tcPr>
          <w:p w14:paraId="11BA0ED7"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Critical</w:t>
            </w:r>
          </w:p>
        </w:tc>
        <w:tc>
          <w:tcPr>
            <w:tcW w:w="0" w:type="auto"/>
            <w:hideMark/>
          </w:tcPr>
          <w:p w14:paraId="29D800C2"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Rwandan/SADC deployment; enclave model; marine security</w:t>
            </w:r>
          </w:p>
        </w:tc>
      </w:tr>
      <w:tr w:rsidR="003F6A2F" w:rsidRPr="003F6A2F" w14:paraId="07B8FE1A" w14:textId="77777777" w:rsidTr="005E7DA2">
        <w:tc>
          <w:tcPr>
            <w:tcW w:w="0" w:type="auto"/>
            <w:hideMark/>
          </w:tcPr>
          <w:p w14:paraId="03BD3F12"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lastRenderedPageBreak/>
              <w:t>Market (LNG price collapse)</w:t>
            </w:r>
          </w:p>
        </w:tc>
        <w:tc>
          <w:tcPr>
            <w:tcW w:w="0" w:type="auto"/>
            <w:hideMark/>
          </w:tcPr>
          <w:p w14:paraId="0E293949"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Low-Medium</w:t>
            </w:r>
          </w:p>
        </w:tc>
        <w:tc>
          <w:tcPr>
            <w:tcW w:w="0" w:type="auto"/>
            <w:hideMark/>
          </w:tcPr>
          <w:p w14:paraId="5E874B48"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High</w:t>
            </w:r>
          </w:p>
        </w:tc>
        <w:tc>
          <w:tcPr>
            <w:tcW w:w="0" w:type="auto"/>
            <w:hideMark/>
          </w:tcPr>
          <w:p w14:paraId="075FF7FB"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Portfolio diversification; long-term contracts; hedging</w:t>
            </w:r>
          </w:p>
        </w:tc>
      </w:tr>
      <w:tr w:rsidR="003F6A2F" w:rsidRPr="003F6A2F" w14:paraId="0DCC8E66" w14:textId="77777777" w:rsidTr="005E7DA2">
        <w:tc>
          <w:tcPr>
            <w:tcW w:w="0" w:type="auto"/>
            <w:hideMark/>
          </w:tcPr>
          <w:p w14:paraId="5EF8DB79"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Regulatory (windfall tax)</w:t>
            </w:r>
          </w:p>
        </w:tc>
        <w:tc>
          <w:tcPr>
            <w:tcW w:w="0" w:type="auto"/>
            <w:hideMark/>
          </w:tcPr>
          <w:p w14:paraId="0C089B5C"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Medium</w:t>
            </w:r>
          </w:p>
        </w:tc>
        <w:tc>
          <w:tcPr>
            <w:tcW w:w="0" w:type="auto"/>
            <w:hideMark/>
          </w:tcPr>
          <w:p w14:paraId="413CC933"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Medium</w:t>
            </w:r>
          </w:p>
        </w:tc>
        <w:tc>
          <w:tcPr>
            <w:tcW w:w="0" w:type="auto"/>
            <w:hideMark/>
          </w:tcPr>
          <w:p w14:paraId="53FF8CE2" w14:textId="77777777" w:rsidR="003F6A2F" w:rsidRPr="003F6A2F" w:rsidRDefault="003F6A2F" w:rsidP="005E7DA2">
            <w:pPr>
              <w:jc w:val="both"/>
              <w:rPr>
                <w:rFonts w:ascii="Times New Roman" w:hAnsi="Times New Roman" w:cs="Times New Roman"/>
              </w:rPr>
            </w:pPr>
            <w:proofErr w:type="spellStart"/>
            <w:r w:rsidRPr="003F6A2F">
              <w:rPr>
                <w:rFonts w:ascii="Times New Roman" w:hAnsi="Times New Roman" w:cs="Times New Roman"/>
              </w:rPr>
              <w:t>Stabilisation</w:t>
            </w:r>
            <w:proofErr w:type="spellEnd"/>
            <w:r w:rsidRPr="003F6A2F">
              <w:rPr>
                <w:rFonts w:ascii="Times New Roman" w:hAnsi="Times New Roman" w:cs="Times New Roman"/>
              </w:rPr>
              <w:t xml:space="preserve"> clauses; international arbitration</w:t>
            </w:r>
          </w:p>
        </w:tc>
      </w:tr>
      <w:tr w:rsidR="003F6A2F" w:rsidRPr="003F6A2F" w14:paraId="1FEAF9EF" w14:textId="77777777" w:rsidTr="005E7DA2">
        <w:tc>
          <w:tcPr>
            <w:tcW w:w="0" w:type="auto"/>
            <w:hideMark/>
          </w:tcPr>
          <w:p w14:paraId="7B7F9FCA"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Operational (CAPEX overrun)</w:t>
            </w:r>
          </w:p>
        </w:tc>
        <w:tc>
          <w:tcPr>
            <w:tcW w:w="0" w:type="auto"/>
            <w:hideMark/>
          </w:tcPr>
          <w:p w14:paraId="6A22062F"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Medium</w:t>
            </w:r>
          </w:p>
        </w:tc>
        <w:tc>
          <w:tcPr>
            <w:tcW w:w="0" w:type="auto"/>
            <w:hideMark/>
          </w:tcPr>
          <w:p w14:paraId="36543861"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High</w:t>
            </w:r>
          </w:p>
        </w:tc>
        <w:tc>
          <w:tcPr>
            <w:tcW w:w="0" w:type="auto"/>
            <w:hideMark/>
          </w:tcPr>
          <w:p w14:paraId="5803AC04"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EPC wrap; contingency reserves; phased FID</w:t>
            </w:r>
          </w:p>
        </w:tc>
      </w:tr>
      <w:tr w:rsidR="003F6A2F" w:rsidRPr="003F6A2F" w14:paraId="4A49C528" w14:textId="77777777" w:rsidTr="005E7DA2">
        <w:tc>
          <w:tcPr>
            <w:tcW w:w="0" w:type="auto"/>
            <w:hideMark/>
          </w:tcPr>
          <w:p w14:paraId="14830F8E"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Demand (domestic offtake failure)</w:t>
            </w:r>
          </w:p>
        </w:tc>
        <w:tc>
          <w:tcPr>
            <w:tcW w:w="0" w:type="auto"/>
            <w:hideMark/>
          </w:tcPr>
          <w:p w14:paraId="02F88A3D"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High</w:t>
            </w:r>
          </w:p>
        </w:tc>
        <w:tc>
          <w:tcPr>
            <w:tcW w:w="0" w:type="auto"/>
            <w:hideMark/>
          </w:tcPr>
          <w:p w14:paraId="13DBFCDC"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Medium</w:t>
            </w:r>
          </w:p>
        </w:tc>
        <w:tc>
          <w:tcPr>
            <w:tcW w:w="0" w:type="auto"/>
            <w:hideMark/>
          </w:tcPr>
          <w:p w14:paraId="79804E53"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 xml:space="preserve">Anchor power projects; </w:t>
            </w:r>
            <w:proofErr w:type="spellStart"/>
            <w:r w:rsidRPr="003F6A2F">
              <w:rPr>
                <w:rFonts w:ascii="Times New Roman" w:hAnsi="Times New Roman" w:cs="Times New Roman"/>
              </w:rPr>
              <w:t>fertiliser</w:t>
            </w:r>
            <w:proofErr w:type="spellEnd"/>
            <w:r w:rsidRPr="003F6A2F">
              <w:rPr>
                <w:rFonts w:ascii="Times New Roman" w:hAnsi="Times New Roman" w:cs="Times New Roman"/>
              </w:rPr>
              <w:t xml:space="preserve"> FID; CNG mandates</w:t>
            </w:r>
          </w:p>
        </w:tc>
      </w:tr>
      <w:tr w:rsidR="003F6A2F" w:rsidRPr="003F6A2F" w14:paraId="3E6A2B1F" w14:textId="77777777" w:rsidTr="005E7DA2">
        <w:tc>
          <w:tcPr>
            <w:tcW w:w="0" w:type="auto"/>
            <w:hideMark/>
          </w:tcPr>
          <w:p w14:paraId="0B1D64E1"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Geopolitical (SADC instability)</w:t>
            </w:r>
          </w:p>
        </w:tc>
        <w:tc>
          <w:tcPr>
            <w:tcW w:w="0" w:type="auto"/>
            <w:hideMark/>
          </w:tcPr>
          <w:p w14:paraId="01B3BAF2"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Low</w:t>
            </w:r>
          </w:p>
        </w:tc>
        <w:tc>
          <w:tcPr>
            <w:tcW w:w="0" w:type="auto"/>
            <w:hideMark/>
          </w:tcPr>
          <w:p w14:paraId="67179A06"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Medium</w:t>
            </w:r>
          </w:p>
        </w:tc>
        <w:tc>
          <w:tcPr>
            <w:tcW w:w="0" w:type="auto"/>
            <w:hideMark/>
          </w:tcPr>
          <w:p w14:paraId="0F7CB64C"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Multi-lateral insurance; DFI involvement</w:t>
            </w:r>
          </w:p>
        </w:tc>
      </w:tr>
      <w:tr w:rsidR="003F6A2F" w:rsidRPr="003F6A2F" w14:paraId="32815FB0" w14:textId="77777777" w:rsidTr="005E7DA2">
        <w:tc>
          <w:tcPr>
            <w:tcW w:w="0" w:type="auto"/>
            <w:hideMark/>
          </w:tcPr>
          <w:p w14:paraId="0A050FDE"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Climate (stranded asset)</w:t>
            </w:r>
          </w:p>
        </w:tc>
        <w:tc>
          <w:tcPr>
            <w:tcW w:w="0" w:type="auto"/>
            <w:hideMark/>
          </w:tcPr>
          <w:p w14:paraId="7F3E75AF"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Medium</w:t>
            </w:r>
          </w:p>
        </w:tc>
        <w:tc>
          <w:tcPr>
            <w:tcW w:w="0" w:type="auto"/>
            <w:hideMark/>
          </w:tcPr>
          <w:p w14:paraId="1A35CA11"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Medium</w:t>
            </w:r>
          </w:p>
        </w:tc>
        <w:tc>
          <w:tcPr>
            <w:tcW w:w="0" w:type="auto"/>
            <w:hideMark/>
          </w:tcPr>
          <w:p w14:paraId="1C959BA9"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Accelerated depreciation; brown-to-green hydrogen pivot</w:t>
            </w:r>
          </w:p>
        </w:tc>
      </w:tr>
      <w:tr w:rsidR="003F6A2F" w:rsidRPr="003F6A2F" w14:paraId="230E7533" w14:textId="77777777" w:rsidTr="005E7DA2">
        <w:tc>
          <w:tcPr>
            <w:tcW w:w="0" w:type="auto"/>
            <w:hideMark/>
          </w:tcPr>
          <w:p w14:paraId="2840ACBE"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FX (MZN devaluation)</w:t>
            </w:r>
          </w:p>
        </w:tc>
        <w:tc>
          <w:tcPr>
            <w:tcW w:w="0" w:type="auto"/>
            <w:hideMark/>
          </w:tcPr>
          <w:p w14:paraId="542FCBA4"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High</w:t>
            </w:r>
          </w:p>
        </w:tc>
        <w:tc>
          <w:tcPr>
            <w:tcW w:w="0" w:type="auto"/>
            <w:hideMark/>
          </w:tcPr>
          <w:p w14:paraId="48A42B85"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Low</w:t>
            </w:r>
          </w:p>
        </w:tc>
        <w:tc>
          <w:tcPr>
            <w:tcW w:w="0" w:type="auto"/>
            <w:hideMark/>
          </w:tcPr>
          <w:p w14:paraId="5D265818" w14:textId="77777777" w:rsidR="003F6A2F" w:rsidRPr="003F6A2F" w:rsidRDefault="003F6A2F" w:rsidP="005E7DA2">
            <w:pPr>
              <w:jc w:val="both"/>
              <w:rPr>
                <w:rFonts w:ascii="Times New Roman" w:hAnsi="Times New Roman" w:cs="Times New Roman"/>
              </w:rPr>
            </w:pPr>
            <w:r w:rsidRPr="003F6A2F">
              <w:rPr>
                <w:rFonts w:ascii="Times New Roman" w:hAnsi="Times New Roman" w:cs="Times New Roman"/>
              </w:rPr>
              <w:t>Dollar-indexed contracts; sovereign hedging</w:t>
            </w:r>
          </w:p>
        </w:tc>
      </w:tr>
    </w:tbl>
    <w:p w14:paraId="12E0ED99" w14:textId="74792F6D" w:rsidR="003F6A2F" w:rsidRPr="003F6A2F" w:rsidRDefault="003F6A2F" w:rsidP="005E7DA2">
      <w:pPr>
        <w:spacing w:line="240" w:lineRule="auto"/>
        <w:jc w:val="both"/>
        <w:rPr>
          <w:rFonts w:ascii="Times New Roman" w:hAnsi="Times New Roman" w:cs="Times New Roman"/>
        </w:rPr>
      </w:pPr>
    </w:p>
    <w:p w14:paraId="5A07CCF0"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Strategic Intelligence Assessment</w:t>
      </w:r>
    </w:p>
    <w:p w14:paraId="784E0287"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Mozambique's gas </w:t>
      </w:r>
      <w:proofErr w:type="spellStart"/>
      <w:r w:rsidRPr="003F6A2F">
        <w:rPr>
          <w:rFonts w:ascii="Times New Roman" w:hAnsi="Times New Roman" w:cs="Times New Roman"/>
        </w:rPr>
        <w:t>commercialisation</w:t>
      </w:r>
      <w:proofErr w:type="spellEnd"/>
      <w:r w:rsidRPr="003F6A2F">
        <w:rPr>
          <w:rFonts w:ascii="Times New Roman" w:hAnsi="Times New Roman" w:cs="Times New Roman"/>
        </w:rPr>
        <w:t xml:space="preserve"> strategy operates within a </w:t>
      </w:r>
      <w:r w:rsidRPr="003F6A2F">
        <w:rPr>
          <w:rFonts w:ascii="Times New Roman" w:hAnsi="Times New Roman" w:cs="Times New Roman"/>
          <w:b/>
          <w:bCs/>
        </w:rPr>
        <w:t>trilemma</w:t>
      </w:r>
      <w:r w:rsidRPr="003F6A2F">
        <w:rPr>
          <w:rFonts w:ascii="Times New Roman" w:hAnsi="Times New Roman" w:cs="Times New Roman"/>
        </w:rPr>
        <w:t xml:space="preserve">: </w:t>
      </w:r>
      <w:proofErr w:type="spellStart"/>
      <w:r w:rsidRPr="003F6A2F">
        <w:rPr>
          <w:rFonts w:ascii="Times New Roman" w:hAnsi="Times New Roman" w:cs="Times New Roman"/>
        </w:rPr>
        <w:t>maximising</w:t>
      </w:r>
      <w:proofErr w:type="spellEnd"/>
      <w:r w:rsidRPr="003F6A2F">
        <w:rPr>
          <w:rFonts w:ascii="Times New Roman" w:hAnsi="Times New Roman" w:cs="Times New Roman"/>
        </w:rPr>
        <w:t xml:space="preserve"> LNG export revenue, fulfilling domestic </w:t>
      </w:r>
      <w:proofErr w:type="spellStart"/>
      <w:r w:rsidRPr="003F6A2F">
        <w:rPr>
          <w:rFonts w:ascii="Times New Roman" w:hAnsi="Times New Roman" w:cs="Times New Roman"/>
        </w:rPr>
        <w:t>industrialisation</w:t>
      </w:r>
      <w:proofErr w:type="spellEnd"/>
      <w:r w:rsidRPr="003F6A2F">
        <w:rPr>
          <w:rFonts w:ascii="Times New Roman" w:hAnsi="Times New Roman" w:cs="Times New Roman"/>
        </w:rPr>
        <w:t xml:space="preserve"> mandates, and anchoring regional energy security. No single allocation satisfies all three objectives simultaneously.</w:t>
      </w:r>
    </w:p>
    <w:p w14:paraId="63C3F219" w14:textId="77777777"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Our assessment is that the </w:t>
      </w:r>
      <w:r w:rsidRPr="003F6A2F">
        <w:rPr>
          <w:rFonts w:ascii="Times New Roman" w:hAnsi="Times New Roman" w:cs="Times New Roman"/>
          <w:b/>
          <w:bCs/>
        </w:rPr>
        <w:t>Balanced Allocation scenario (70/15/15)</w:t>
      </w:r>
      <w:r w:rsidRPr="003F6A2F">
        <w:rPr>
          <w:rFonts w:ascii="Times New Roman" w:hAnsi="Times New Roman" w:cs="Times New Roman"/>
        </w:rPr>
        <w:t xml:space="preserve"> represents the Pareto-optimal solution for the 2025–2045 horizon. It preserves Mozambique's emergence as a top-tier LNG exporter while building the domestic and regional demand infrastructure necessary to absorb DMO volumes and diversify geopolitical risk.</w:t>
      </w:r>
    </w:p>
    <w:p w14:paraId="74361ECC" w14:textId="07DA9CFF" w:rsidR="003F6A2F" w:rsidRPr="003F6A2F" w:rsidRDefault="003F6A2F" w:rsidP="005E7DA2">
      <w:pPr>
        <w:spacing w:line="240" w:lineRule="auto"/>
        <w:jc w:val="both"/>
        <w:rPr>
          <w:rFonts w:ascii="Times New Roman" w:hAnsi="Times New Roman" w:cs="Times New Roman"/>
        </w:rPr>
      </w:pPr>
      <w:r w:rsidRPr="003F6A2F">
        <w:rPr>
          <w:rFonts w:ascii="Times New Roman" w:hAnsi="Times New Roman" w:cs="Times New Roman"/>
        </w:rPr>
        <w:t xml:space="preserve">The security environment in Cabo Delgado remains the critical path constraint. The </w:t>
      </w:r>
      <w:proofErr w:type="spellStart"/>
      <w:r w:rsidRPr="003F6A2F">
        <w:rPr>
          <w:rFonts w:ascii="Times New Roman" w:hAnsi="Times New Roman" w:cs="Times New Roman"/>
        </w:rPr>
        <w:t>securitised</w:t>
      </w:r>
      <w:proofErr w:type="spellEnd"/>
      <w:r w:rsidRPr="003F6A2F">
        <w:rPr>
          <w:rFonts w:ascii="Times New Roman" w:hAnsi="Times New Roman" w:cs="Times New Roman"/>
        </w:rPr>
        <w:t xml:space="preserve"> enclave model enables construction to proceed but imposes a permanent $1.5bn annual cost premium and limits local content benefits. Sustainable </w:t>
      </w:r>
      <w:proofErr w:type="spellStart"/>
      <w:r w:rsidRPr="003F6A2F">
        <w:rPr>
          <w:rFonts w:ascii="Times New Roman" w:hAnsi="Times New Roman" w:cs="Times New Roman"/>
        </w:rPr>
        <w:t>stabilisation</w:t>
      </w:r>
      <w:proofErr w:type="spellEnd"/>
      <w:r w:rsidRPr="003F6A2F">
        <w:rPr>
          <w:rFonts w:ascii="Times New Roman" w:hAnsi="Times New Roman" w:cs="Times New Roman"/>
        </w:rPr>
        <w:t xml:space="preserve"> requires governance reform and economic inclusion beyond the LNG fence line.</w:t>
      </w:r>
    </w:p>
    <w:p w14:paraId="5B487F34"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Commercial Implications</w:t>
      </w:r>
    </w:p>
    <w:p w14:paraId="0744DAEA" w14:textId="77777777" w:rsidR="003F6A2F" w:rsidRPr="003F6A2F" w:rsidRDefault="003F6A2F" w:rsidP="005E7DA2">
      <w:pPr>
        <w:numPr>
          <w:ilvl w:val="0"/>
          <w:numId w:val="34"/>
        </w:numPr>
        <w:spacing w:line="240" w:lineRule="auto"/>
        <w:jc w:val="both"/>
        <w:rPr>
          <w:rFonts w:ascii="Times New Roman" w:hAnsi="Times New Roman" w:cs="Times New Roman"/>
        </w:rPr>
      </w:pPr>
      <w:r w:rsidRPr="003F6A2F">
        <w:rPr>
          <w:rFonts w:ascii="Times New Roman" w:hAnsi="Times New Roman" w:cs="Times New Roman"/>
          <w:b/>
          <w:bCs/>
        </w:rPr>
        <w:t>For IOCs (TotalEnergies, ExxonMobil, Eni):</w:t>
      </w:r>
      <w:r w:rsidRPr="003F6A2F">
        <w:rPr>
          <w:rFonts w:ascii="Times New Roman" w:hAnsi="Times New Roman" w:cs="Times New Roman"/>
        </w:rPr>
        <w:t xml:space="preserve"> </w:t>
      </w:r>
      <w:proofErr w:type="spellStart"/>
      <w:r w:rsidRPr="003F6A2F">
        <w:rPr>
          <w:rFonts w:ascii="Times New Roman" w:hAnsi="Times New Roman" w:cs="Times New Roman"/>
        </w:rPr>
        <w:t>Prioritise</w:t>
      </w:r>
      <w:proofErr w:type="spellEnd"/>
      <w:r w:rsidRPr="003F6A2F">
        <w:rPr>
          <w:rFonts w:ascii="Times New Roman" w:hAnsi="Times New Roman" w:cs="Times New Roman"/>
        </w:rPr>
        <w:t xml:space="preserve"> LNG FID execution but negotiate DMO flexibility clauses. The domestic market lacks depth; rigid DMO commitments create stranded gas risk. Push for indexed DMO pricing linked to LNG netback minus transport.</w:t>
      </w:r>
    </w:p>
    <w:p w14:paraId="778F017F" w14:textId="77777777" w:rsidR="003F6A2F" w:rsidRPr="003F6A2F" w:rsidRDefault="003F6A2F" w:rsidP="005E7DA2">
      <w:pPr>
        <w:numPr>
          <w:ilvl w:val="0"/>
          <w:numId w:val="34"/>
        </w:numPr>
        <w:spacing w:line="240" w:lineRule="auto"/>
        <w:jc w:val="both"/>
        <w:rPr>
          <w:rFonts w:ascii="Times New Roman" w:hAnsi="Times New Roman" w:cs="Times New Roman"/>
        </w:rPr>
      </w:pPr>
      <w:r w:rsidRPr="003F6A2F">
        <w:rPr>
          <w:rFonts w:ascii="Times New Roman" w:hAnsi="Times New Roman" w:cs="Times New Roman"/>
          <w:b/>
          <w:bCs/>
        </w:rPr>
        <w:t>For LNG Buyers:</w:t>
      </w:r>
      <w:r w:rsidRPr="003F6A2F">
        <w:rPr>
          <w:rFonts w:ascii="Times New Roman" w:hAnsi="Times New Roman" w:cs="Times New Roman"/>
        </w:rPr>
        <w:t xml:space="preserve"> Mozambique offers portfolio diversification away from Qatar/US concentration. Contract for 10–</w:t>
      </w:r>
      <w:proofErr w:type="gramStart"/>
      <w:r w:rsidRPr="003F6A2F">
        <w:rPr>
          <w:rFonts w:ascii="Times New Roman" w:hAnsi="Times New Roman" w:cs="Times New Roman"/>
        </w:rPr>
        <w:t>15 year</w:t>
      </w:r>
      <w:proofErr w:type="gramEnd"/>
      <w:r w:rsidRPr="003F6A2F">
        <w:rPr>
          <w:rFonts w:ascii="Times New Roman" w:hAnsi="Times New Roman" w:cs="Times New Roman"/>
        </w:rPr>
        <w:t xml:space="preserve"> SPAs with oil-indexed pricing, but negotiate destination flexibility to capture Atlantic/Pacific arbitrage.</w:t>
      </w:r>
    </w:p>
    <w:p w14:paraId="443951B5" w14:textId="77777777" w:rsidR="003F6A2F" w:rsidRPr="003F6A2F" w:rsidRDefault="003F6A2F" w:rsidP="005E7DA2">
      <w:pPr>
        <w:numPr>
          <w:ilvl w:val="0"/>
          <w:numId w:val="34"/>
        </w:numPr>
        <w:spacing w:line="240" w:lineRule="auto"/>
        <w:jc w:val="both"/>
        <w:rPr>
          <w:rFonts w:ascii="Times New Roman" w:hAnsi="Times New Roman" w:cs="Times New Roman"/>
        </w:rPr>
      </w:pPr>
      <w:r w:rsidRPr="003F6A2F">
        <w:rPr>
          <w:rFonts w:ascii="Times New Roman" w:hAnsi="Times New Roman" w:cs="Times New Roman"/>
          <w:b/>
          <w:bCs/>
        </w:rPr>
        <w:t>For Downstream Investors:</w:t>
      </w:r>
      <w:r w:rsidRPr="003F6A2F">
        <w:rPr>
          <w:rFonts w:ascii="Times New Roman" w:hAnsi="Times New Roman" w:cs="Times New Roman"/>
        </w:rPr>
        <w:t xml:space="preserve"> Nacala </w:t>
      </w:r>
      <w:proofErr w:type="spellStart"/>
      <w:r w:rsidRPr="003F6A2F">
        <w:rPr>
          <w:rFonts w:ascii="Times New Roman" w:hAnsi="Times New Roman" w:cs="Times New Roman"/>
        </w:rPr>
        <w:t>fertiliser</w:t>
      </w:r>
      <w:proofErr w:type="spellEnd"/>
      <w:r w:rsidRPr="003F6A2F">
        <w:rPr>
          <w:rFonts w:ascii="Times New Roman" w:hAnsi="Times New Roman" w:cs="Times New Roman"/>
        </w:rPr>
        <w:t>/methanol and Maputo GTP offer first-mover advantages but require gas price subsidies or government guarantees. Co-invest with DFIs to mitigate offtake risk.</w:t>
      </w:r>
    </w:p>
    <w:p w14:paraId="66006E3C" w14:textId="77777777" w:rsidR="003F6A2F" w:rsidRPr="003F6A2F" w:rsidRDefault="003F6A2F" w:rsidP="005E7DA2">
      <w:pPr>
        <w:numPr>
          <w:ilvl w:val="0"/>
          <w:numId w:val="34"/>
        </w:numPr>
        <w:spacing w:line="240" w:lineRule="auto"/>
        <w:jc w:val="both"/>
        <w:rPr>
          <w:rFonts w:ascii="Times New Roman" w:hAnsi="Times New Roman" w:cs="Times New Roman"/>
        </w:rPr>
      </w:pPr>
      <w:r w:rsidRPr="003F6A2F">
        <w:rPr>
          <w:rFonts w:ascii="Times New Roman" w:hAnsi="Times New Roman" w:cs="Times New Roman"/>
          <w:b/>
          <w:bCs/>
        </w:rPr>
        <w:t>For Infrastructure Developers:</w:t>
      </w:r>
      <w:r w:rsidRPr="003F6A2F">
        <w:rPr>
          <w:rFonts w:ascii="Times New Roman" w:hAnsi="Times New Roman" w:cs="Times New Roman"/>
        </w:rPr>
        <w:t xml:space="preserve"> ROMPCO expansion and Matola FSRU provide lower-risk, utility-style returns. The Richards Bay corridor depends on Eskom procurement certainty—delay commitment until IRP 2025 implementation is visible.</w:t>
      </w:r>
    </w:p>
    <w:p w14:paraId="3991D9B3" w14:textId="68C59776" w:rsidR="003F6A2F" w:rsidRPr="003F6A2F" w:rsidRDefault="003F6A2F" w:rsidP="005E7DA2">
      <w:pPr>
        <w:spacing w:line="240" w:lineRule="auto"/>
        <w:jc w:val="both"/>
        <w:rPr>
          <w:rFonts w:ascii="Times New Roman" w:hAnsi="Times New Roman" w:cs="Times New Roman"/>
        </w:rPr>
      </w:pPr>
    </w:p>
    <w:p w14:paraId="2B598311" w14:textId="77777777" w:rsidR="003F6A2F" w:rsidRPr="003F6A2F" w:rsidRDefault="003F6A2F" w:rsidP="005E7DA2">
      <w:pPr>
        <w:spacing w:line="240" w:lineRule="auto"/>
        <w:jc w:val="both"/>
        <w:rPr>
          <w:rFonts w:ascii="Times New Roman" w:hAnsi="Times New Roman" w:cs="Times New Roman"/>
          <w:b/>
          <w:bCs/>
        </w:rPr>
      </w:pPr>
      <w:r w:rsidRPr="003F6A2F">
        <w:rPr>
          <w:rFonts w:ascii="Times New Roman" w:hAnsi="Times New Roman" w:cs="Times New Roman"/>
          <w:b/>
          <w:bCs/>
        </w:rPr>
        <w:t>Investment Implications</w:t>
      </w:r>
    </w:p>
    <w:p w14:paraId="2405F141" w14:textId="77777777" w:rsidR="003F6A2F" w:rsidRPr="003F6A2F" w:rsidRDefault="003F6A2F" w:rsidP="005E7DA2">
      <w:pPr>
        <w:numPr>
          <w:ilvl w:val="0"/>
          <w:numId w:val="35"/>
        </w:numPr>
        <w:spacing w:line="240" w:lineRule="auto"/>
        <w:jc w:val="both"/>
        <w:rPr>
          <w:rFonts w:ascii="Times New Roman" w:hAnsi="Times New Roman" w:cs="Times New Roman"/>
        </w:rPr>
      </w:pPr>
      <w:r w:rsidRPr="003F6A2F">
        <w:rPr>
          <w:rFonts w:ascii="Times New Roman" w:hAnsi="Times New Roman" w:cs="Times New Roman"/>
          <w:b/>
          <w:bCs/>
        </w:rPr>
        <w:t>Upstream LNG:</w:t>
      </w:r>
      <w:r w:rsidRPr="003F6A2F">
        <w:rPr>
          <w:rFonts w:ascii="Times New Roman" w:hAnsi="Times New Roman" w:cs="Times New Roman"/>
        </w:rPr>
        <w:t xml:space="preserve"> </w:t>
      </w:r>
      <w:r w:rsidRPr="003F6A2F">
        <w:rPr>
          <w:rFonts w:ascii="Times New Roman" w:hAnsi="Times New Roman" w:cs="Times New Roman"/>
          <w:b/>
          <w:bCs/>
        </w:rPr>
        <w:t>Overweight.</w:t>
      </w:r>
      <w:r w:rsidRPr="003F6A2F">
        <w:rPr>
          <w:rFonts w:ascii="Times New Roman" w:hAnsi="Times New Roman" w:cs="Times New Roman"/>
        </w:rPr>
        <w:t xml:space="preserve"> Mozambique's reserve quality and location justify exposure despite security premiums. Target entry through ENH farm-in or midstream infrastructure rather than direct E&amp;P in Area 1/4.</w:t>
      </w:r>
    </w:p>
    <w:p w14:paraId="1305086F" w14:textId="77777777" w:rsidR="003F6A2F" w:rsidRPr="003F6A2F" w:rsidRDefault="003F6A2F" w:rsidP="005E7DA2">
      <w:pPr>
        <w:numPr>
          <w:ilvl w:val="0"/>
          <w:numId w:val="35"/>
        </w:numPr>
        <w:spacing w:line="240" w:lineRule="auto"/>
        <w:jc w:val="both"/>
        <w:rPr>
          <w:rFonts w:ascii="Times New Roman" w:hAnsi="Times New Roman" w:cs="Times New Roman"/>
        </w:rPr>
      </w:pPr>
      <w:r w:rsidRPr="003F6A2F">
        <w:rPr>
          <w:rFonts w:ascii="Times New Roman" w:hAnsi="Times New Roman" w:cs="Times New Roman"/>
          <w:b/>
          <w:bCs/>
        </w:rPr>
        <w:t>Domestic Gas:</w:t>
      </w:r>
      <w:r w:rsidRPr="003F6A2F">
        <w:rPr>
          <w:rFonts w:ascii="Times New Roman" w:hAnsi="Times New Roman" w:cs="Times New Roman"/>
        </w:rPr>
        <w:t xml:space="preserve"> </w:t>
      </w:r>
      <w:r w:rsidRPr="003F6A2F">
        <w:rPr>
          <w:rFonts w:ascii="Times New Roman" w:hAnsi="Times New Roman" w:cs="Times New Roman"/>
          <w:b/>
          <w:bCs/>
        </w:rPr>
        <w:t>Market weight.</w:t>
      </w:r>
      <w:r w:rsidRPr="003F6A2F">
        <w:rPr>
          <w:rFonts w:ascii="Times New Roman" w:hAnsi="Times New Roman" w:cs="Times New Roman"/>
        </w:rPr>
        <w:t xml:space="preserve"> Selective opportunities in power (</w:t>
      </w:r>
      <w:proofErr w:type="spellStart"/>
      <w:r w:rsidRPr="003F6A2F">
        <w:rPr>
          <w:rFonts w:ascii="Times New Roman" w:hAnsi="Times New Roman" w:cs="Times New Roman"/>
        </w:rPr>
        <w:t>Temane</w:t>
      </w:r>
      <w:proofErr w:type="spellEnd"/>
      <w:r w:rsidRPr="003F6A2F">
        <w:rPr>
          <w:rFonts w:ascii="Times New Roman" w:hAnsi="Times New Roman" w:cs="Times New Roman"/>
        </w:rPr>
        <w:t xml:space="preserve"> expansion) and industry (cement, ceramics). Avoid greenfield </w:t>
      </w:r>
      <w:proofErr w:type="spellStart"/>
      <w:r w:rsidRPr="003F6A2F">
        <w:rPr>
          <w:rFonts w:ascii="Times New Roman" w:hAnsi="Times New Roman" w:cs="Times New Roman"/>
        </w:rPr>
        <w:t>fertiliser</w:t>
      </w:r>
      <w:proofErr w:type="spellEnd"/>
      <w:r w:rsidRPr="003F6A2F">
        <w:rPr>
          <w:rFonts w:ascii="Times New Roman" w:hAnsi="Times New Roman" w:cs="Times New Roman"/>
        </w:rPr>
        <w:t xml:space="preserve"> without sovereign offtake guarantees.</w:t>
      </w:r>
    </w:p>
    <w:p w14:paraId="4321382E" w14:textId="77777777" w:rsidR="003F6A2F" w:rsidRPr="003F6A2F" w:rsidRDefault="003F6A2F" w:rsidP="005E7DA2">
      <w:pPr>
        <w:numPr>
          <w:ilvl w:val="0"/>
          <w:numId w:val="35"/>
        </w:numPr>
        <w:spacing w:line="240" w:lineRule="auto"/>
        <w:jc w:val="both"/>
        <w:rPr>
          <w:rFonts w:ascii="Times New Roman" w:hAnsi="Times New Roman" w:cs="Times New Roman"/>
        </w:rPr>
      </w:pPr>
      <w:r w:rsidRPr="003F6A2F">
        <w:rPr>
          <w:rFonts w:ascii="Times New Roman" w:hAnsi="Times New Roman" w:cs="Times New Roman"/>
          <w:b/>
          <w:bCs/>
        </w:rPr>
        <w:t>Regional Pipelines:</w:t>
      </w:r>
      <w:r w:rsidRPr="003F6A2F">
        <w:rPr>
          <w:rFonts w:ascii="Times New Roman" w:hAnsi="Times New Roman" w:cs="Times New Roman"/>
        </w:rPr>
        <w:t xml:space="preserve"> </w:t>
      </w:r>
      <w:r w:rsidRPr="003F6A2F">
        <w:rPr>
          <w:rFonts w:ascii="Times New Roman" w:hAnsi="Times New Roman" w:cs="Times New Roman"/>
          <w:b/>
          <w:bCs/>
        </w:rPr>
        <w:t>Underweight until FID.</w:t>
      </w:r>
      <w:r w:rsidRPr="003F6A2F">
        <w:rPr>
          <w:rFonts w:ascii="Times New Roman" w:hAnsi="Times New Roman" w:cs="Times New Roman"/>
        </w:rPr>
        <w:t xml:space="preserve"> SADC regulatory fragmentation and demand uncertainty make pure pipeline plays speculative. Exception: ROMPCO expansion with Sasol anchor.</w:t>
      </w:r>
    </w:p>
    <w:p w14:paraId="6C751CD7" w14:textId="77777777" w:rsidR="003F6A2F" w:rsidRPr="003F6A2F" w:rsidRDefault="003F6A2F" w:rsidP="005E7DA2">
      <w:pPr>
        <w:numPr>
          <w:ilvl w:val="0"/>
          <w:numId w:val="35"/>
        </w:numPr>
        <w:spacing w:line="240" w:lineRule="auto"/>
        <w:jc w:val="both"/>
        <w:rPr>
          <w:rFonts w:ascii="Times New Roman" w:hAnsi="Times New Roman" w:cs="Times New Roman"/>
        </w:rPr>
      </w:pPr>
      <w:r w:rsidRPr="003F6A2F">
        <w:rPr>
          <w:rFonts w:ascii="Times New Roman" w:hAnsi="Times New Roman" w:cs="Times New Roman"/>
          <w:b/>
          <w:bCs/>
        </w:rPr>
        <w:t>LNG Shipping/FSRU:</w:t>
      </w:r>
      <w:r w:rsidRPr="003F6A2F">
        <w:rPr>
          <w:rFonts w:ascii="Times New Roman" w:hAnsi="Times New Roman" w:cs="Times New Roman"/>
        </w:rPr>
        <w:t xml:space="preserve"> </w:t>
      </w:r>
      <w:r w:rsidRPr="003F6A2F">
        <w:rPr>
          <w:rFonts w:ascii="Times New Roman" w:hAnsi="Times New Roman" w:cs="Times New Roman"/>
          <w:b/>
          <w:bCs/>
        </w:rPr>
        <w:t>Overweight.</w:t>
      </w:r>
      <w:r w:rsidRPr="003F6A2F">
        <w:rPr>
          <w:rFonts w:ascii="Times New Roman" w:hAnsi="Times New Roman" w:cs="Times New Roman"/>
        </w:rPr>
        <w:t xml:space="preserve"> Matola and Richards Bay FSRUs are critical infrastructure with scarcity value. Terminal operators (Vopak, Transnet JV) offer defensive exposure to SADC gas demand.</w:t>
      </w:r>
    </w:p>
    <w:p w14:paraId="63E06607" w14:textId="7F5065E0" w:rsidR="003F6A2F" w:rsidRPr="003F6A2F" w:rsidRDefault="003F6A2F" w:rsidP="005E7DA2">
      <w:pPr>
        <w:spacing w:line="240" w:lineRule="auto"/>
        <w:jc w:val="both"/>
        <w:rPr>
          <w:rFonts w:ascii="Times New Roman" w:hAnsi="Times New Roman" w:cs="Times New Roman"/>
        </w:rPr>
      </w:pPr>
    </w:p>
    <w:p w14:paraId="3FF7DB28" w14:textId="77777777" w:rsidR="00283D7D" w:rsidRPr="003F6A2F" w:rsidRDefault="00283D7D" w:rsidP="005E7DA2">
      <w:pPr>
        <w:spacing w:line="240" w:lineRule="auto"/>
        <w:jc w:val="both"/>
        <w:rPr>
          <w:rFonts w:ascii="Times New Roman" w:hAnsi="Times New Roman" w:cs="Times New Roman"/>
        </w:rPr>
      </w:pPr>
    </w:p>
    <w:sectPr w:rsidR="00283D7D" w:rsidRPr="003F6A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4810"/>
    <w:multiLevelType w:val="multilevel"/>
    <w:tmpl w:val="C936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700D5"/>
    <w:multiLevelType w:val="multilevel"/>
    <w:tmpl w:val="43E4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27474A"/>
    <w:multiLevelType w:val="multilevel"/>
    <w:tmpl w:val="2E4C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207B75"/>
    <w:multiLevelType w:val="multilevel"/>
    <w:tmpl w:val="F1C2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4E0A6F"/>
    <w:multiLevelType w:val="multilevel"/>
    <w:tmpl w:val="0F628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75398B"/>
    <w:multiLevelType w:val="multilevel"/>
    <w:tmpl w:val="A488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B92770"/>
    <w:multiLevelType w:val="multilevel"/>
    <w:tmpl w:val="527E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003F6"/>
    <w:multiLevelType w:val="multilevel"/>
    <w:tmpl w:val="4DF4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4F20CC"/>
    <w:multiLevelType w:val="multilevel"/>
    <w:tmpl w:val="F6104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6D4D19"/>
    <w:multiLevelType w:val="multilevel"/>
    <w:tmpl w:val="1618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F47A1A"/>
    <w:multiLevelType w:val="multilevel"/>
    <w:tmpl w:val="21B0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0D0CB8"/>
    <w:multiLevelType w:val="multilevel"/>
    <w:tmpl w:val="2FCC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531F28"/>
    <w:multiLevelType w:val="multilevel"/>
    <w:tmpl w:val="103E8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512CB3"/>
    <w:multiLevelType w:val="multilevel"/>
    <w:tmpl w:val="F940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FF421B"/>
    <w:multiLevelType w:val="multilevel"/>
    <w:tmpl w:val="823E1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8230ED"/>
    <w:multiLevelType w:val="multilevel"/>
    <w:tmpl w:val="7F30E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7B5B1F"/>
    <w:multiLevelType w:val="multilevel"/>
    <w:tmpl w:val="F7A0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892ED0"/>
    <w:multiLevelType w:val="multilevel"/>
    <w:tmpl w:val="58345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A44D04"/>
    <w:multiLevelType w:val="multilevel"/>
    <w:tmpl w:val="8AE4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D42A7C"/>
    <w:multiLevelType w:val="multilevel"/>
    <w:tmpl w:val="1C3A4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7008C9"/>
    <w:multiLevelType w:val="multilevel"/>
    <w:tmpl w:val="85BE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6871A8"/>
    <w:multiLevelType w:val="multilevel"/>
    <w:tmpl w:val="22D0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6E4E76"/>
    <w:multiLevelType w:val="multilevel"/>
    <w:tmpl w:val="9FE8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26720D"/>
    <w:multiLevelType w:val="multilevel"/>
    <w:tmpl w:val="67B8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CE6AA5"/>
    <w:multiLevelType w:val="multilevel"/>
    <w:tmpl w:val="1CCA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3A1241"/>
    <w:multiLevelType w:val="multilevel"/>
    <w:tmpl w:val="F0B02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B16D8A"/>
    <w:multiLevelType w:val="multilevel"/>
    <w:tmpl w:val="1CAE9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132F16"/>
    <w:multiLevelType w:val="multilevel"/>
    <w:tmpl w:val="473A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EA093B"/>
    <w:multiLevelType w:val="multilevel"/>
    <w:tmpl w:val="A086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F81486"/>
    <w:multiLevelType w:val="multilevel"/>
    <w:tmpl w:val="2420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B45B4B"/>
    <w:multiLevelType w:val="multilevel"/>
    <w:tmpl w:val="4FAC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637AAB"/>
    <w:multiLevelType w:val="multilevel"/>
    <w:tmpl w:val="95C4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68269F"/>
    <w:multiLevelType w:val="multilevel"/>
    <w:tmpl w:val="A626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EE3C64"/>
    <w:multiLevelType w:val="multilevel"/>
    <w:tmpl w:val="EDF6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00667F"/>
    <w:multiLevelType w:val="multilevel"/>
    <w:tmpl w:val="C8145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8A2458"/>
    <w:multiLevelType w:val="multilevel"/>
    <w:tmpl w:val="1DD2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E35295"/>
    <w:multiLevelType w:val="multilevel"/>
    <w:tmpl w:val="DE18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E029CE"/>
    <w:multiLevelType w:val="multilevel"/>
    <w:tmpl w:val="14161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5501848">
    <w:abstractNumId w:val="6"/>
  </w:num>
  <w:num w:numId="2" w16cid:durableId="568425187">
    <w:abstractNumId w:val="0"/>
  </w:num>
  <w:num w:numId="3" w16cid:durableId="1142503167">
    <w:abstractNumId w:val="22"/>
  </w:num>
  <w:num w:numId="4" w16cid:durableId="1697123344">
    <w:abstractNumId w:val="4"/>
  </w:num>
  <w:num w:numId="5" w16cid:durableId="117458140">
    <w:abstractNumId w:val="35"/>
  </w:num>
  <w:num w:numId="6" w16cid:durableId="1854028959">
    <w:abstractNumId w:val="26"/>
  </w:num>
  <w:num w:numId="7" w16cid:durableId="1290014211">
    <w:abstractNumId w:val="13"/>
  </w:num>
  <w:num w:numId="8" w16cid:durableId="335957498">
    <w:abstractNumId w:val="14"/>
  </w:num>
  <w:num w:numId="9" w16cid:durableId="374542581">
    <w:abstractNumId w:val="9"/>
  </w:num>
  <w:num w:numId="10" w16cid:durableId="1558543297">
    <w:abstractNumId w:val="11"/>
  </w:num>
  <w:num w:numId="11" w16cid:durableId="2130933011">
    <w:abstractNumId w:val="27"/>
  </w:num>
  <w:num w:numId="12" w16cid:durableId="1101531236">
    <w:abstractNumId w:val="8"/>
  </w:num>
  <w:num w:numId="13" w16cid:durableId="834303809">
    <w:abstractNumId w:val="31"/>
  </w:num>
  <w:num w:numId="14" w16cid:durableId="1496145748">
    <w:abstractNumId w:val="18"/>
  </w:num>
  <w:num w:numId="15" w16cid:durableId="1518813528">
    <w:abstractNumId w:val="20"/>
  </w:num>
  <w:num w:numId="16" w16cid:durableId="1921207640">
    <w:abstractNumId w:val="3"/>
  </w:num>
  <w:num w:numId="17" w16cid:durableId="709647340">
    <w:abstractNumId w:val="23"/>
  </w:num>
  <w:num w:numId="18" w16cid:durableId="1874616292">
    <w:abstractNumId w:val="10"/>
  </w:num>
  <w:num w:numId="19" w16cid:durableId="819735954">
    <w:abstractNumId w:val="34"/>
  </w:num>
  <w:num w:numId="20" w16cid:durableId="1825007294">
    <w:abstractNumId w:val="29"/>
  </w:num>
  <w:num w:numId="21" w16cid:durableId="1892644838">
    <w:abstractNumId w:val="25"/>
  </w:num>
  <w:num w:numId="22" w16cid:durableId="42292727">
    <w:abstractNumId w:val="24"/>
  </w:num>
  <w:num w:numId="23" w16cid:durableId="1621884947">
    <w:abstractNumId w:val="7"/>
  </w:num>
  <w:num w:numId="24" w16cid:durableId="1152019348">
    <w:abstractNumId w:val="5"/>
  </w:num>
  <w:num w:numId="25" w16cid:durableId="1109351703">
    <w:abstractNumId w:val="19"/>
  </w:num>
  <w:num w:numId="26" w16cid:durableId="465124776">
    <w:abstractNumId w:val="33"/>
  </w:num>
  <w:num w:numId="27" w16cid:durableId="1309551126">
    <w:abstractNumId w:val="2"/>
  </w:num>
  <w:num w:numId="28" w16cid:durableId="454178964">
    <w:abstractNumId w:val="21"/>
  </w:num>
  <w:num w:numId="29" w16cid:durableId="1605187710">
    <w:abstractNumId w:val="16"/>
  </w:num>
  <w:num w:numId="30" w16cid:durableId="751242700">
    <w:abstractNumId w:val="28"/>
  </w:num>
  <w:num w:numId="31" w16cid:durableId="1040861153">
    <w:abstractNumId w:val="30"/>
  </w:num>
  <w:num w:numId="32" w16cid:durableId="880434178">
    <w:abstractNumId w:val="17"/>
  </w:num>
  <w:num w:numId="33" w16cid:durableId="713652882">
    <w:abstractNumId w:val="12"/>
  </w:num>
  <w:num w:numId="34" w16cid:durableId="1652442836">
    <w:abstractNumId w:val="37"/>
  </w:num>
  <w:num w:numId="35" w16cid:durableId="341903938">
    <w:abstractNumId w:val="1"/>
  </w:num>
  <w:num w:numId="36" w16cid:durableId="857889240">
    <w:abstractNumId w:val="15"/>
  </w:num>
  <w:num w:numId="37" w16cid:durableId="2026246300">
    <w:abstractNumId w:val="36"/>
  </w:num>
  <w:num w:numId="38" w16cid:durableId="165714347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A43"/>
    <w:rsid w:val="00110DBB"/>
    <w:rsid w:val="00282671"/>
    <w:rsid w:val="00283D7D"/>
    <w:rsid w:val="003E3C7E"/>
    <w:rsid w:val="003F6A2F"/>
    <w:rsid w:val="004419E1"/>
    <w:rsid w:val="005E7DA2"/>
    <w:rsid w:val="00627A43"/>
    <w:rsid w:val="007D652F"/>
    <w:rsid w:val="00A23B4D"/>
    <w:rsid w:val="00BB0294"/>
    <w:rsid w:val="00C0345B"/>
    <w:rsid w:val="00EA1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E020"/>
  <w15:chartTrackingRefBased/>
  <w15:docId w15:val="{EFB57855-98F6-40F0-84DE-1EFF0B46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A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7A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7A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7A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7A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7A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A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A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A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A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7A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7A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7A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7A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7A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A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A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A43"/>
    <w:rPr>
      <w:rFonts w:eastAsiaTheme="majorEastAsia" w:cstheme="majorBidi"/>
      <w:color w:val="272727" w:themeColor="text1" w:themeTint="D8"/>
    </w:rPr>
  </w:style>
  <w:style w:type="paragraph" w:styleId="Title">
    <w:name w:val="Title"/>
    <w:basedOn w:val="Normal"/>
    <w:next w:val="Normal"/>
    <w:link w:val="TitleChar"/>
    <w:uiPriority w:val="10"/>
    <w:qFormat/>
    <w:rsid w:val="00627A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A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A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A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A43"/>
    <w:pPr>
      <w:spacing w:before="160"/>
      <w:jc w:val="center"/>
    </w:pPr>
    <w:rPr>
      <w:i/>
      <w:iCs/>
      <w:color w:val="404040" w:themeColor="text1" w:themeTint="BF"/>
    </w:rPr>
  </w:style>
  <w:style w:type="character" w:customStyle="1" w:styleId="QuoteChar">
    <w:name w:val="Quote Char"/>
    <w:basedOn w:val="DefaultParagraphFont"/>
    <w:link w:val="Quote"/>
    <w:uiPriority w:val="29"/>
    <w:rsid w:val="00627A43"/>
    <w:rPr>
      <w:i/>
      <w:iCs/>
      <w:color w:val="404040" w:themeColor="text1" w:themeTint="BF"/>
    </w:rPr>
  </w:style>
  <w:style w:type="paragraph" w:styleId="ListParagraph">
    <w:name w:val="List Paragraph"/>
    <w:basedOn w:val="Normal"/>
    <w:uiPriority w:val="34"/>
    <w:qFormat/>
    <w:rsid w:val="00627A43"/>
    <w:pPr>
      <w:ind w:left="720"/>
      <w:contextualSpacing/>
    </w:pPr>
  </w:style>
  <w:style w:type="character" w:styleId="IntenseEmphasis">
    <w:name w:val="Intense Emphasis"/>
    <w:basedOn w:val="DefaultParagraphFont"/>
    <w:uiPriority w:val="21"/>
    <w:qFormat/>
    <w:rsid w:val="00627A43"/>
    <w:rPr>
      <w:i/>
      <w:iCs/>
      <w:color w:val="2F5496" w:themeColor="accent1" w:themeShade="BF"/>
    </w:rPr>
  </w:style>
  <w:style w:type="paragraph" w:styleId="IntenseQuote">
    <w:name w:val="Intense Quote"/>
    <w:basedOn w:val="Normal"/>
    <w:next w:val="Normal"/>
    <w:link w:val="IntenseQuoteChar"/>
    <w:uiPriority w:val="30"/>
    <w:qFormat/>
    <w:rsid w:val="00627A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7A43"/>
    <w:rPr>
      <w:i/>
      <w:iCs/>
      <w:color w:val="2F5496" w:themeColor="accent1" w:themeShade="BF"/>
    </w:rPr>
  </w:style>
  <w:style w:type="character" w:styleId="IntenseReference">
    <w:name w:val="Intense Reference"/>
    <w:basedOn w:val="DefaultParagraphFont"/>
    <w:uiPriority w:val="32"/>
    <w:qFormat/>
    <w:rsid w:val="00627A43"/>
    <w:rPr>
      <w:b/>
      <w:bCs/>
      <w:smallCaps/>
      <w:color w:val="2F5496" w:themeColor="accent1" w:themeShade="BF"/>
      <w:spacing w:val="5"/>
    </w:rPr>
  </w:style>
  <w:style w:type="character" w:styleId="Hyperlink">
    <w:name w:val="Hyperlink"/>
    <w:basedOn w:val="DefaultParagraphFont"/>
    <w:uiPriority w:val="99"/>
    <w:unhideWhenUsed/>
    <w:rsid w:val="00282671"/>
    <w:rPr>
      <w:color w:val="0563C1" w:themeColor="hyperlink"/>
      <w:u w:val="single"/>
    </w:rPr>
  </w:style>
  <w:style w:type="character" w:styleId="UnresolvedMention">
    <w:name w:val="Unresolved Mention"/>
    <w:basedOn w:val="DefaultParagraphFont"/>
    <w:uiPriority w:val="99"/>
    <w:semiHidden/>
    <w:unhideWhenUsed/>
    <w:rsid w:val="00282671"/>
    <w:rPr>
      <w:color w:val="605E5C"/>
      <w:shd w:val="clear" w:color="auto" w:fill="E1DFDD"/>
    </w:rPr>
  </w:style>
  <w:style w:type="table" w:styleId="TableGrid">
    <w:name w:val="Table Grid"/>
    <w:basedOn w:val="TableNormal"/>
    <w:uiPriority w:val="39"/>
    <w:rsid w:val="003E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14</Pages>
  <Words>3206</Words>
  <Characters>18276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2026-07-29T08:09:00Z</dcterms:created>
  <dcterms:modified xsi:type="dcterms:W3CDTF">2026-07-29T10:43:00Z</dcterms:modified>
</cp:coreProperties>
</file>