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40F" w:rsidRPr="005B440F" w:rsidRDefault="005B440F" w:rsidP="005B440F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Nigeria’s Natural Gas Reserve: Strategic Anchor for Africa’s Energy Transition</w:t>
      </w:r>
    </w:p>
    <w:p w:rsidR="005B440F" w:rsidRPr="005B440F" w:rsidRDefault="005B440F" w:rsidP="005B440F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Historical Development</w:t>
      </w:r>
    </w:p>
    <w:p w:rsidR="005B440F" w:rsidRPr="005B440F" w:rsidRDefault="005B440F" w:rsidP="005B440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Nigeria discovered oil in 1956 at </w:t>
      </w:r>
      <w:proofErr w:type="spellStart"/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>Oloibiri</w:t>
      </w:r>
      <w:proofErr w:type="spellEnd"/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, but natural gas was initially treated as a </w:t>
      </w:r>
      <w:proofErr w:type="spellStart"/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>byproduct</w:t>
      </w:r>
      <w:proofErr w:type="spellEnd"/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 and flared extensively. By the 1960s, Shell began limited non-commercial gas use for power plants and industries. The establishment of </w:t>
      </w:r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Nigeria LNG Limited (NLNG) in 1989</w:t>
      </w: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 marked a turning point, enabling the country to harness gas for export through LNG production.</w:t>
      </w:r>
    </w:p>
    <w:p w:rsidR="005B440F" w:rsidRPr="005B440F" w:rsidRDefault="005B440F" w:rsidP="005B440F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Reserve Estimates</w:t>
      </w:r>
    </w:p>
    <w:p w:rsidR="005B440F" w:rsidRPr="005B440F" w:rsidRDefault="005B440F" w:rsidP="005B440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Nigeria holds </w:t>
      </w:r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over 215 trillion cubic feet (</w:t>
      </w:r>
      <w:proofErr w:type="spellStart"/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Tcf</w:t>
      </w:r>
      <w:proofErr w:type="spellEnd"/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) of proven reserves</w:t>
      </w: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, ranking 1st in Africa and 9th globally. Potential resources are estimated at up to </w:t>
      </w:r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 xml:space="preserve">600 </w:t>
      </w:r>
      <w:proofErr w:type="spellStart"/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Tcf</w:t>
      </w:r>
      <w:proofErr w:type="spellEnd"/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, highlighting vast untapped opportunities. With a reserve life index of about </w:t>
      </w:r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94 years</w:t>
      </w: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>, Nigeria’s reserves are sustainable for the long term.</w:t>
      </w:r>
    </w:p>
    <w:p w:rsidR="005B440F" w:rsidRPr="005B440F" w:rsidRDefault="005B440F" w:rsidP="005B440F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Production &amp; Utilization</w:t>
      </w:r>
    </w:p>
    <w:p w:rsidR="005B440F" w:rsidRPr="005B440F" w:rsidRDefault="005B440F" w:rsidP="005B440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Gas production has grown steadily, rising from </w:t>
      </w:r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6.8 billion cubic feet/day (</w:t>
      </w:r>
      <w:proofErr w:type="spellStart"/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bcf</w:t>
      </w:r>
      <w:proofErr w:type="spellEnd"/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 xml:space="preserve">/d) in 2023 to 7.5 </w:t>
      </w:r>
      <w:proofErr w:type="spellStart"/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bcf</w:t>
      </w:r>
      <w:proofErr w:type="spellEnd"/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/d in 2025</w:t>
      </w: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, with a national target of 12 </w:t>
      </w:r>
      <w:proofErr w:type="spellStart"/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>bcf</w:t>
      </w:r>
      <w:proofErr w:type="spellEnd"/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/d by 2030. Utilization includes domestic consumption, reinjection for reservoir pressure, and LNG exports. Despite progress, </w:t>
      </w:r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gas flaring remains an issue</w:t>
      </w: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, though reduced significantly from 295 </w:t>
      </w:r>
      <w:proofErr w:type="spellStart"/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>bcf</w:t>
      </w:r>
      <w:proofErr w:type="spellEnd"/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 in 2014 (≈$1 bil</w:t>
      </w:r>
      <w:r>
        <w:rPr>
          <w:rFonts w:ascii="Segoe UI" w:eastAsia="Times New Roman" w:hAnsi="Segoe UI" w:cs="Segoe UI"/>
          <w:sz w:val="24"/>
          <w:szCs w:val="24"/>
          <w:lang w:eastAsia="en-GB"/>
        </w:rPr>
        <w:t xml:space="preserve">lion lost) to 191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en-GB"/>
        </w:rPr>
        <w:t>bcf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en-GB"/>
        </w:rPr>
        <w:t xml:space="preserve"> in 2024 </w:t>
      </w:r>
      <w:proofErr w:type="gramStart"/>
      <w:r>
        <w:rPr>
          <w:rFonts w:ascii="Segoe UI" w:eastAsia="Times New Roman" w:hAnsi="Segoe UI" w:cs="Segoe UI"/>
          <w:sz w:val="24"/>
          <w:szCs w:val="24"/>
          <w:lang w:eastAsia="en-GB"/>
        </w:rPr>
        <w:t>( approximately</w:t>
      </w:r>
      <w:proofErr w:type="gramEnd"/>
      <w:r>
        <w:rPr>
          <w:rFonts w:ascii="Segoe UI" w:eastAsia="Times New Roman" w:hAnsi="Segoe UI" w:cs="Segoe UI"/>
          <w:sz w:val="24"/>
          <w:szCs w:val="24"/>
          <w:lang w:eastAsia="en-GB"/>
        </w:rPr>
        <w:t xml:space="preserve"> </w:t>
      </w:r>
      <w:bookmarkStart w:id="0" w:name="_GoBack"/>
      <w:bookmarkEnd w:id="0"/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>$134 million lost).</w:t>
      </w:r>
    </w:p>
    <w:p w:rsidR="005B440F" w:rsidRPr="005B440F" w:rsidRDefault="005B440F" w:rsidP="005B440F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Policy Framework</w:t>
      </w:r>
    </w:p>
    <w:p w:rsidR="005B440F" w:rsidRPr="005B440F" w:rsidRDefault="005B440F" w:rsidP="005B440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The PIA 2021 provides capital allowance and other tax incentives for upstream operators who invest in infrastructure for gas utilisation. Nigeria has declared the </w:t>
      </w:r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Decade of Gas (2021–2030)</w:t>
      </w: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, a roadmap to prioritize gas for industrial growth and energy access. The </w:t>
      </w:r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Gas Master Plan (2026)</w:t>
      </w: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 integrates upstream, midstream, and downstream gas development, aiming to expand infrastructure and reduce flaring. </w:t>
      </w:r>
    </w:p>
    <w:p w:rsidR="005B440F" w:rsidRPr="005B440F" w:rsidRDefault="005B440F" w:rsidP="005B440F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Strategic Importance</w:t>
      </w:r>
    </w:p>
    <w:p w:rsidR="005B440F" w:rsidRPr="005B440F" w:rsidRDefault="005B440F" w:rsidP="005B440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Nigeria’s reserves are relatively “sweet gas,” low in hydrogen sulphide and carbon dioxide, making them easier to process. With Train 7 expanding LNG capacity to </w:t>
      </w:r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30 million tonnes per annum (MTPA)</w:t>
      </w: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, Nigeria is set to consolidate its role as a </w:t>
      </w:r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top LNG exporter</w:t>
      </w: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>, supplying Europe, Asia, and Africa.</w:t>
      </w:r>
    </w:p>
    <w:p w:rsidR="005B440F" w:rsidRPr="005B440F" w:rsidRDefault="005B440F" w:rsidP="005B440F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Challenges</w:t>
      </w:r>
    </w:p>
    <w:p w:rsidR="005B440F" w:rsidRPr="005B440F" w:rsidRDefault="005B440F" w:rsidP="005B440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 xml:space="preserve">Nigeria faces persistent challenges including </w:t>
      </w:r>
      <w:r w:rsidRPr="005B440F">
        <w:rPr>
          <w:rFonts w:ascii="Segoe UI" w:eastAsia="Times New Roman" w:hAnsi="Segoe UI" w:cs="Segoe UI"/>
          <w:bCs/>
          <w:sz w:val="24"/>
          <w:szCs w:val="24"/>
          <w:lang w:eastAsia="en-GB"/>
        </w:rPr>
        <w:t>infrastructure bottlenecks, underutilisation of reserves, and environmental impacts from flaring</w:t>
      </w:r>
      <w:r w:rsidRPr="005B440F">
        <w:rPr>
          <w:rFonts w:ascii="Segoe UI" w:eastAsia="Times New Roman" w:hAnsi="Segoe UI" w:cs="Segoe UI"/>
          <w:sz w:val="24"/>
          <w:szCs w:val="24"/>
          <w:lang w:eastAsia="en-GB"/>
        </w:rPr>
        <w:t>. Regulatory hurdles and investment gaps also slow down full monetisation.</w:t>
      </w:r>
    </w:p>
    <w:p w:rsidR="005B440F" w:rsidRPr="005B440F" w:rsidRDefault="005B440F" w:rsidP="005B440F">
      <w:pPr>
        <w:spacing w:line="240" w:lineRule="auto"/>
        <w:rPr>
          <w:rFonts w:ascii="Segoe UI" w:hAnsi="Segoe UI" w:cs="Segoe UI"/>
          <w:sz w:val="24"/>
          <w:szCs w:val="24"/>
        </w:rPr>
      </w:pPr>
    </w:p>
    <w:sectPr w:rsidR="005B440F" w:rsidRPr="005B44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40F"/>
    <w:rsid w:val="003A3C12"/>
    <w:rsid w:val="005B440F"/>
    <w:rsid w:val="009625FC"/>
    <w:rsid w:val="00A626FD"/>
    <w:rsid w:val="00C9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E6F41"/>
  <w15:chartTrackingRefBased/>
  <w15:docId w15:val="{BC47F50A-2108-4855-8092-67B840F6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B4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B44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40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B440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B4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B4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8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2026-07-06T16:05:00Z</dcterms:created>
  <dcterms:modified xsi:type="dcterms:W3CDTF">2026-07-06T16:26:00Z</dcterms:modified>
</cp:coreProperties>
</file>