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7815" w:rsidRPr="00E97815" w:rsidRDefault="00E97815" w:rsidP="00E97815">
      <w:pPr>
        <w:spacing w:before="100" w:beforeAutospacing="1" w:after="100" w:afterAutospacing="1" w:line="240" w:lineRule="auto"/>
        <w:outlineLvl w:val="1"/>
        <w:rPr>
          <w:rFonts w:ascii="Segoe UI" w:eastAsia="Times New Roman" w:hAnsi="Segoe UI" w:cs="Segoe UI"/>
          <w:b/>
          <w:bCs/>
          <w:sz w:val="36"/>
          <w:szCs w:val="36"/>
          <w:lang w:eastAsia="en-GB"/>
        </w:rPr>
      </w:pPr>
      <w:r w:rsidRPr="00E97815">
        <w:rPr>
          <w:rFonts w:ascii="Segoe UI" w:eastAsia="Times New Roman" w:hAnsi="Segoe UI" w:cs="Segoe UI"/>
          <w:b/>
          <w:bCs/>
          <w:sz w:val="36"/>
          <w:szCs w:val="36"/>
          <w:lang w:eastAsia="en-GB"/>
        </w:rPr>
        <w:t>Nigeria’s LNG Dominance, Infrastructure Readiness, and Gas Monetisation Pathways</w:t>
      </w:r>
    </w:p>
    <w:p w:rsidR="00E97815" w:rsidRPr="00E97815" w:rsidRDefault="00E97815" w:rsidP="00E97815">
      <w:pPr>
        <w:spacing w:before="100" w:beforeAutospacing="1" w:after="100" w:afterAutospacing="1" w:line="240" w:lineRule="auto"/>
        <w:jc w:val="both"/>
        <w:rPr>
          <w:rFonts w:ascii="Segoe UI" w:eastAsia="Times New Roman" w:hAnsi="Segoe UI" w:cs="Segoe UI"/>
          <w:sz w:val="24"/>
          <w:szCs w:val="24"/>
          <w:lang w:eastAsia="en-GB"/>
        </w:rPr>
      </w:pPr>
      <w:r w:rsidRPr="00E97815">
        <w:rPr>
          <w:rFonts w:ascii="Segoe UI" w:eastAsia="Times New Roman" w:hAnsi="Segoe UI" w:cs="Segoe UI"/>
          <w:sz w:val="24"/>
          <w:szCs w:val="24"/>
          <w:lang w:eastAsia="en-GB"/>
        </w:rPr>
        <w:t>Nigeria’s LNG dominance is rooted i</w:t>
      </w:r>
      <w:r>
        <w:rPr>
          <w:rFonts w:ascii="Segoe UI" w:eastAsia="Times New Roman" w:hAnsi="Segoe UI" w:cs="Segoe UI"/>
          <w:sz w:val="24"/>
          <w:szCs w:val="24"/>
          <w:lang w:eastAsia="en-GB"/>
        </w:rPr>
        <w:t xml:space="preserve">n its vast natural gas reserves </w:t>
      </w:r>
      <w:r w:rsidRPr="00E97815">
        <w:rPr>
          <w:rFonts w:ascii="Segoe UI" w:eastAsia="Times New Roman" w:hAnsi="Segoe UI" w:cs="Segoe UI"/>
          <w:sz w:val="24"/>
          <w:szCs w:val="24"/>
          <w:lang w:eastAsia="en-GB"/>
        </w:rPr>
        <w:t xml:space="preserve">over </w:t>
      </w:r>
      <w:r w:rsidRPr="00E97815">
        <w:rPr>
          <w:rFonts w:ascii="Segoe UI" w:eastAsia="Times New Roman" w:hAnsi="Segoe UI" w:cs="Segoe UI"/>
          <w:bCs/>
          <w:sz w:val="24"/>
          <w:szCs w:val="24"/>
          <w:lang w:eastAsia="en-GB"/>
        </w:rPr>
        <w:t>215 trillion cubic feet (</w:t>
      </w:r>
      <w:proofErr w:type="spellStart"/>
      <w:r w:rsidRPr="00E97815">
        <w:rPr>
          <w:rFonts w:ascii="Segoe UI" w:eastAsia="Times New Roman" w:hAnsi="Segoe UI" w:cs="Segoe UI"/>
          <w:bCs/>
          <w:sz w:val="24"/>
          <w:szCs w:val="24"/>
          <w:lang w:eastAsia="en-GB"/>
        </w:rPr>
        <w:t>Tcf</w:t>
      </w:r>
      <w:proofErr w:type="spellEnd"/>
      <w:r w:rsidRPr="00E97815">
        <w:rPr>
          <w:rFonts w:ascii="Segoe UI" w:eastAsia="Times New Roman" w:hAnsi="Segoe UI" w:cs="Segoe UI"/>
          <w:bCs/>
          <w:sz w:val="24"/>
          <w:szCs w:val="24"/>
          <w:lang w:eastAsia="en-GB"/>
        </w:rPr>
        <w:t>)</w:t>
      </w:r>
      <w:r>
        <w:rPr>
          <w:rFonts w:ascii="Segoe UI" w:eastAsia="Times New Roman" w:hAnsi="Segoe UI" w:cs="Segoe UI"/>
          <w:sz w:val="24"/>
          <w:szCs w:val="24"/>
          <w:lang w:eastAsia="en-GB"/>
        </w:rPr>
        <w:t xml:space="preserve"> of proven reserves </w:t>
      </w:r>
      <w:r w:rsidRPr="00E97815">
        <w:rPr>
          <w:rFonts w:ascii="Segoe UI" w:eastAsia="Times New Roman" w:hAnsi="Segoe UI" w:cs="Segoe UI"/>
          <w:sz w:val="24"/>
          <w:szCs w:val="24"/>
          <w:lang w:eastAsia="en-GB"/>
        </w:rPr>
        <w:t xml:space="preserve">and the infrastructure that enables large-scale monetisation. The country’s LNG industry is anchored by </w:t>
      </w:r>
      <w:r w:rsidRPr="00E97815">
        <w:rPr>
          <w:rFonts w:ascii="Segoe UI" w:eastAsia="Times New Roman" w:hAnsi="Segoe UI" w:cs="Segoe UI"/>
          <w:bCs/>
          <w:sz w:val="24"/>
          <w:szCs w:val="24"/>
          <w:lang w:eastAsia="en-GB"/>
        </w:rPr>
        <w:t>Nigeria LNG Limited (NLNG)</w:t>
      </w:r>
      <w:r w:rsidRPr="00E97815">
        <w:rPr>
          <w:rFonts w:ascii="Segoe UI" w:eastAsia="Times New Roman" w:hAnsi="Segoe UI" w:cs="Segoe UI"/>
          <w:sz w:val="24"/>
          <w:szCs w:val="24"/>
          <w:lang w:eastAsia="en-GB"/>
        </w:rPr>
        <w:t xml:space="preserve">, which operates six trains with a combined capacity of 22 million tonnes per annum (MTPA). The ongoing </w:t>
      </w:r>
      <w:r w:rsidRPr="00E97815">
        <w:rPr>
          <w:rFonts w:ascii="Segoe UI" w:eastAsia="Times New Roman" w:hAnsi="Segoe UI" w:cs="Segoe UI"/>
          <w:bCs/>
          <w:sz w:val="24"/>
          <w:szCs w:val="24"/>
          <w:lang w:eastAsia="en-GB"/>
        </w:rPr>
        <w:t>Train 7 expansion</w:t>
      </w:r>
      <w:r w:rsidRPr="00E97815">
        <w:rPr>
          <w:rFonts w:ascii="Segoe UI" w:eastAsia="Times New Roman" w:hAnsi="Segoe UI" w:cs="Segoe UI"/>
          <w:sz w:val="24"/>
          <w:szCs w:val="24"/>
          <w:lang w:eastAsia="en-GB"/>
        </w:rPr>
        <w:t xml:space="preserve">, valued at over $5 billion and now more than 90% complete, will increase capacity to </w:t>
      </w:r>
      <w:r w:rsidRPr="00E97815">
        <w:rPr>
          <w:rFonts w:ascii="Segoe UI" w:eastAsia="Times New Roman" w:hAnsi="Segoe UI" w:cs="Segoe UI"/>
          <w:bCs/>
          <w:sz w:val="24"/>
          <w:szCs w:val="24"/>
          <w:lang w:eastAsia="en-GB"/>
        </w:rPr>
        <w:t>30 MTPA</w:t>
      </w:r>
      <w:r w:rsidRPr="00E97815">
        <w:rPr>
          <w:rFonts w:ascii="Segoe UI" w:eastAsia="Times New Roman" w:hAnsi="Segoe UI" w:cs="Segoe UI"/>
          <w:sz w:val="24"/>
          <w:szCs w:val="24"/>
          <w:lang w:eastAsia="en-GB"/>
        </w:rPr>
        <w:t>, cementing Nigeria’s role as Africa’s leading LNG exporter.</w:t>
      </w:r>
    </w:p>
    <w:p w:rsidR="00E97815" w:rsidRPr="00E97815" w:rsidRDefault="00E97815" w:rsidP="00E97815">
      <w:pPr>
        <w:spacing w:before="100" w:beforeAutospacing="1" w:after="100" w:afterAutospacing="1" w:line="240" w:lineRule="auto"/>
        <w:outlineLvl w:val="2"/>
        <w:rPr>
          <w:rFonts w:ascii="Segoe UI" w:eastAsia="Times New Roman" w:hAnsi="Segoe UI" w:cs="Segoe UI"/>
          <w:b/>
          <w:bCs/>
          <w:sz w:val="27"/>
          <w:szCs w:val="27"/>
          <w:lang w:eastAsia="en-GB"/>
        </w:rPr>
      </w:pPr>
      <w:r w:rsidRPr="00E97815">
        <w:rPr>
          <w:rFonts w:ascii="Segoe UI" w:eastAsia="Times New Roman" w:hAnsi="Segoe UI" w:cs="Segoe UI"/>
          <w:b/>
          <w:bCs/>
          <w:sz w:val="27"/>
          <w:szCs w:val="27"/>
          <w:lang w:eastAsia="en-GB"/>
        </w:rPr>
        <w:t>Infrastructural Readiness</w:t>
      </w:r>
    </w:p>
    <w:p w:rsidR="00E97815" w:rsidRPr="00E97815" w:rsidRDefault="00E97815" w:rsidP="00E97815">
      <w:pPr>
        <w:spacing w:before="100" w:beforeAutospacing="1" w:after="100" w:afterAutospacing="1" w:line="240" w:lineRule="auto"/>
        <w:jc w:val="both"/>
        <w:rPr>
          <w:rFonts w:ascii="Segoe UI" w:eastAsia="Times New Roman" w:hAnsi="Segoe UI" w:cs="Segoe UI"/>
          <w:sz w:val="24"/>
          <w:szCs w:val="24"/>
          <w:lang w:eastAsia="en-GB"/>
        </w:rPr>
      </w:pPr>
      <w:r w:rsidRPr="00E97815">
        <w:rPr>
          <w:rFonts w:ascii="Segoe UI" w:eastAsia="Times New Roman" w:hAnsi="Segoe UI" w:cs="Segoe UI"/>
          <w:sz w:val="24"/>
          <w:szCs w:val="24"/>
          <w:lang w:eastAsia="en-GB"/>
        </w:rPr>
        <w:t xml:space="preserve">Nigeria’s LNG dominance is supported by significant infrastructure investments. The </w:t>
      </w:r>
      <w:r w:rsidRPr="00E97815">
        <w:rPr>
          <w:rFonts w:ascii="Segoe UI" w:eastAsia="Times New Roman" w:hAnsi="Segoe UI" w:cs="Segoe UI"/>
          <w:bCs/>
          <w:sz w:val="24"/>
          <w:szCs w:val="24"/>
          <w:lang w:eastAsia="en-GB"/>
        </w:rPr>
        <w:t>Bonny Island LNG plant</w:t>
      </w:r>
      <w:r w:rsidRPr="00E97815">
        <w:rPr>
          <w:rFonts w:ascii="Segoe UI" w:eastAsia="Times New Roman" w:hAnsi="Segoe UI" w:cs="Segoe UI"/>
          <w:sz w:val="24"/>
          <w:szCs w:val="24"/>
          <w:lang w:eastAsia="en-GB"/>
        </w:rPr>
        <w:t xml:space="preserve"> is one of the largest in Africa, with modern facilities capable of meeting global demand</w:t>
      </w:r>
      <w:r>
        <w:rPr>
          <w:rFonts w:ascii="Segoe UI" w:eastAsia="Times New Roman" w:hAnsi="Segoe UI" w:cs="Segoe UI"/>
          <w:sz w:val="24"/>
          <w:szCs w:val="24"/>
          <w:lang w:eastAsia="en-GB"/>
        </w:rPr>
        <w:t xml:space="preserve"> and the soon expected completion of </w:t>
      </w:r>
      <w:proofErr w:type="spellStart"/>
      <w:r>
        <w:rPr>
          <w:rFonts w:ascii="Segoe UI" w:eastAsia="Times New Roman" w:hAnsi="Segoe UI" w:cs="Segoe UI"/>
          <w:sz w:val="24"/>
          <w:szCs w:val="24"/>
          <w:lang w:eastAsia="en-GB"/>
        </w:rPr>
        <w:t>it’s</w:t>
      </w:r>
      <w:proofErr w:type="spellEnd"/>
      <w:r>
        <w:rPr>
          <w:rFonts w:ascii="Segoe UI" w:eastAsia="Times New Roman" w:hAnsi="Segoe UI" w:cs="Segoe UI"/>
          <w:sz w:val="24"/>
          <w:szCs w:val="24"/>
          <w:lang w:eastAsia="en-GB"/>
        </w:rPr>
        <w:t xml:space="preserve"> Train 7</w:t>
      </w:r>
      <w:r w:rsidRPr="00E97815">
        <w:rPr>
          <w:rFonts w:ascii="Segoe UI" w:eastAsia="Times New Roman" w:hAnsi="Segoe UI" w:cs="Segoe UI"/>
          <w:sz w:val="24"/>
          <w:szCs w:val="24"/>
          <w:lang w:eastAsia="en-GB"/>
        </w:rPr>
        <w:t xml:space="preserve">. The </w:t>
      </w:r>
      <w:r w:rsidRPr="00E97815">
        <w:rPr>
          <w:rFonts w:ascii="Segoe UI" w:eastAsia="Times New Roman" w:hAnsi="Segoe UI" w:cs="Segoe UI"/>
          <w:bCs/>
          <w:sz w:val="24"/>
          <w:szCs w:val="24"/>
          <w:lang w:eastAsia="en-GB"/>
        </w:rPr>
        <w:t>OB3 pipeline (</w:t>
      </w:r>
      <w:proofErr w:type="spellStart"/>
      <w:r w:rsidRPr="00E97815">
        <w:rPr>
          <w:rFonts w:ascii="Segoe UI" w:eastAsia="Times New Roman" w:hAnsi="Segoe UI" w:cs="Segoe UI"/>
          <w:bCs/>
          <w:sz w:val="24"/>
          <w:szCs w:val="24"/>
          <w:lang w:eastAsia="en-GB"/>
        </w:rPr>
        <w:t>Obiafu</w:t>
      </w:r>
      <w:proofErr w:type="spellEnd"/>
      <w:r w:rsidRPr="00E97815">
        <w:rPr>
          <w:rFonts w:ascii="Segoe UI" w:eastAsia="Times New Roman" w:hAnsi="Segoe UI" w:cs="Segoe UI"/>
          <w:bCs/>
          <w:sz w:val="24"/>
          <w:szCs w:val="24"/>
          <w:lang w:eastAsia="en-GB"/>
        </w:rPr>
        <w:t>–</w:t>
      </w:r>
      <w:proofErr w:type="spellStart"/>
      <w:r w:rsidRPr="00E97815">
        <w:rPr>
          <w:rFonts w:ascii="Segoe UI" w:eastAsia="Times New Roman" w:hAnsi="Segoe UI" w:cs="Segoe UI"/>
          <w:bCs/>
          <w:sz w:val="24"/>
          <w:szCs w:val="24"/>
          <w:lang w:eastAsia="en-GB"/>
        </w:rPr>
        <w:t>Obrikom</w:t>
      </w:r>
      <w:proofErr w:type="spellEnd"/>
      <w:r w:rsidRPr="00E97815">
        <w:rPr>
          <w:rFonts w:ascii="Segoe UI" w:eastAsia="Times New Roman" w:hAnsi="Segoe UI" w:cs="Segoe UI"/>
          <w:bCs/>
          <w:sz w:val="24"/>
          <w:szCs w:val="24"/>
          <w:lang w:eastAsia="en-GB"/>
        </w:rPr>
        <w:t>–</w:t>
      </w:r>
      <w:proofErr w:type="spellStart"/>
      <w:r w:rsidRPr="00E97815">
        <w:rPr>
          <w:rFonts w:ascii="Segoe UI" w:eastAsia="Times New Roman" w:hAnsi="Segoe UI" w:cs="Segoe UI"/>
          <w:bCs/>
          <w:sz w:val="24"/>
          <w:szCs w:val="24"/>
          <w:lang w:eastAsia="en-GB"/>
        </w:rPr>
        <w:t>Oben</w:t>
      </w:r>
      <w:proofErr w:type="spellEnd"/>
      <w:r w:rsidRPr="00E97815">
        <w:rPr>
          <w:rFonts w:ascii="Segoe UI" w:eastAsia="Times New Roman" w:hAnsi="Segoe UI" w:cs="Segoe UI"/>
          <w:bCs/>
          <w:sz w:val="24"/>
          <w:szCs w:val="24"/>
          <w:lang w:eastAsia="en-GB"/>
        </w:rPr>
        <w:t>)</w:t>
      </w:r>
      <w:r w:rsidRPr="00E97815">
        <w:rPr>
          <w:rFonts w:ascii="Segoe UI" w:eastAsia="Times New Roman" w:hAnsi="Segoe UI" w:cs="Segoe UI"/>
          <w:sz w:val="24"/>
          <w:szCs w:val="24"/>
          <w:lang w:eastAsia="en-GB"/>
        </w:rPr>
        <w:t xml:space="preserve">, nearing completion, will connect eastern gas fields to the national grid, improving domestic supply reliability. The </w:t>
      </w:r>
      <w:proofErr w:type="spellStart"/>
      <w:r w:rsidRPr="00E97815">
        <w:rPr>
          <w:rFonts w:ascii="Segoe UI" w:eastAsia="Times New Roman" w:hAnsi="Segoe UI" w:cs="Segoe UI"/>
          <w:bCs/>
          <w:sz w:val="24"/>
          <w:szCs w:val="24"/>
          <w:lang w:eastAsia="en-GB"/>
        </w:rPr>
        <w:t>Ajaokuta</w:t>
      </w:r>
      <w:proofErr w:type="spellEnd"/>
      <w:r w:rsidRPr="00E97815">
        <w:rPr>
          <w:rFonts w:ascii="Segoe UI" w:eastAsia="Times New Roman" w:hAnsi="Segoe UI" w:cs="Segoe UI"/>
          <w:bCs/>
          <w:sz w:val="24"/>
          <w:szCs w:val="24"/>
          <w:lang w:eastAsia="en-GB"/>
        </w:rPr>
        <w:t>–Kaduna–Kano (AKK) pipeline</w:t>
      </w:r>
      <w:r w:rsidRPr="00E97815">
        <w:rPr>
          <w:rFonts w:ascii="Segoe UI" w:eastAsia="Times New Roman" w:hAnsi="Segoe UI" w:cs="Segoe UI"/>
          <w:sz w:val="24"/>
          <w:szCs w:val="24"/>
          <w:lang w:eastAsia="en-GB"/>
        </w:rPr>
        <w:t>, under construction, will transport gas northwards to industries and power plants, expanding access beyond the coastal regions. Gas processing plants, compressor stations, and metering facilities further strengthen Nigeria’s readiness to meet both export and domestic needs.</w:t>
      </w:r>
    </w:p>
    <w:p w:rsidR="00E97815" w:rsidRPr="00E97815" w:rsidRDefault="00E97815" w:rsidP="00E97815">
      <w:pPr>
        <w:spacing w:before="100" w:beforeAutospacing="1" w:after="100" w:afterAutospacing="1" w:line="240" w:lineRule="auto"/>
        <w:outlineLvl w:val="2"/>
        <w:rPr>
          <w:rFonts w:ascii="Segoe UI" w:eastAsia="Times New Roman" w:hAnsi="Segoe UI" w:cs="Segoe UI"/>
          <w:b/>
          <w:bCs/>
          <w:sz w:val="27"/>
          <w:szCs w:val="27"/>
          <w:lang w:eastAsia="en-GB"/>
        </w:rPr>
      </w:pPr>
      <w:r w:rsidRPr="00E97815">
        <w:rPr>
          <w:rFonts w:ascii="Segoe UI" w:eastAsia="Times New Roman" w:hAnsi="Segoe UI" w:cs="Segoe UI"/>
          <w:b/>
          <w:bCs/>
          <w:sz w:val="27"/>
          <w:szCs w:val="27"/>
          <w:lang w:eastAsia="en-GB"/>
        </w:rPr>
        <w:t>Gas Monetisation Pathways</w:t>
      </w:r>
    </w:p>
    <w:p w:rsidR="00E97815" w:rsidRPr="00E97815" w:rsidRDefault="00E97815" w:rsidP="00E97815">
      <w:pPr>
        <w:spacing w:before="100" w:beforeAutospacing="1" w:after="100" w:afterAutospacing="1" w:line="240" w:lineRule="auto"/>
        <w:rPr>
          <w:rFonts w:ascii="Segoe UI" w:eastAsia="Times New Roman" w:hAnsi="Segoe UI" w:cs="Segoe UI"/>
          <w:sz w:val="24"/>
          <w:szCs w:val="24"/>
          <w:lang w:eastAsia="en-GB"/>
        </w:rPr>
      </w:pPr>
      <w:r w:rsidRPr="00E97815">
        <w:rPr>
          <w:rFonts w:ascii="Segoe UI" w:eastAsia="Times New Roman" w:hAnsi="Segoe UI" w:cs="Segoe UI"/>
          <w:sz w:val="24"/>
          <w:szCs w:val="24"/>
          <w:lang w:eastAsia="en-GB"/>
        </w:rPr>
        <w:t>Nigeria’s gas monetisation strategy is multi-pronged:</w:t>
      </w:r>
    </w:p>
    <w:p w:rsidR="00E97815" w:rsidRPr="00E97815" w:rsidRDefault="00E97815" w:rsidP="00E97815">
      <w:pPr>
        <w:numPr>
          <w:ilvl w:val="0"/>
          <w:numId w:val="1"/>
        </w:numPr>
        <w:spacing w:before="100" w:beforeAutospacing="1" w:after="100" w:afterAutospacing="1" w:line="240" w:lineRule="auto"/>
        <w:rPr>
          <w:rFonts w:ascii="Segoe UI" w:eastAsia="Times New Roman" w:hAnsi="Segoe UI" w:cs="Segoe UI"/>
          <w:sz w:val="24"/>
          <w:szCs w:val="24"/>
          <w:lang w:eastAsia="en-GB"/>
        </w:rPr>
      </w:pPr>
      <w:r w:rsidRPr="00E97815">
        <w:rPr>
          <w:rFonts w:ascii="Segoe UI" w:eastAsia="Times New Roman" w:hAnsi="Segoe UI" w:cs="Segoe UI"/>
          <w:b/>
          <w:bCs/>
          <w:sz w:val="24"/>
          <w:szCs w:val="24"/>
          <w:lang w:eastAsia="en-GB"/>
        </w:rPr>
        <w:t>LNG Exports:</w:t>
      </w:r>
      <w:r w:rsidRPr="00E97815">
        <w:rPr>
          <w:rFonts w:ascii="Segoe UI" w:eastAsia="Times New Roman" w:hAnsi="Segoe UI" w:cs="Segoe UI"/>
          <w:sz w:val="24"/>
          <w:szCs w:val="24"/>
          <w:lang w:eastAsia="en-GB"/>
        </w:rPr>
        <w:t xml:space="preserve"> The backbone of Nigeria’s monetisation, with Train 7 expansion ensuring stronger foothold in Europe and Asia.</w:t>
      </w:r>
    </w:p>
    <w:p w:rsidR="00E97815" w:rsidRPr="00E97815" w:rsidRDefault="00E97815" w:rsidP="00E97815">
      <w:pPr>
        <w:numPr>
          <w:ilvl w:val="0"/>
          <w:numId w:val="1"/>
        </w:numPr>
        <w:spacing w:before="100" w:beforeAutospacing="1" w:after="100" w:afterAutospacing="1" w:line="240" w:lineRule="auto"/>
        <w:rPr>
          <w:rFonts w:ascii="Segoe UI" w:eastAsia="Times New Roman" w:hAnsi="Segoe UI" w:cs="Segoe UI"/>
          <w:sz w:val="24"/>
          <w:szCs w:val="24"/>
          <w:lang w:eastAsia="en-GB"/>
        </w:rPr>
      </w:pPr>
      <w:r w:rsidRPr="00E97815">
        <w:rPr>
          <w:rFonts w:ascii="Segoe UI" w:eastAsia="Times New Roman" w:hAnsi="Segoe UI" w:cs="Segoe UI"/>
          <w:b/>
          <w:bCs/>
          <w:sz w:val="24"/>
          <w:szCs w:val="24"/>
          <w:lang w:eastAsia="en-GB"/>
        </w:rPr>
        <w:t>Gas-to-Power:</w:t>
      </w:r>
      <w:r w:rsidRPr="00E97815">
        <w:rPr>
          <w:rFonts w:ascii="Segoe UI" w:eastAsia="Times New Roman" w:hAnsi="Segoe UI" w:cs="Segoe UI"/>
          <w:sz w:val="24"/>
          <w:szCs w:val="24"/>
          <w:lang w:eastAsia="en-GB"/>
        </w:rPr>
        <w:t xml:space="preserve"> Critical for electrification, with projects designed to channel gas into Nigeria’s struggling power sector.</w:t>
      </w:r>
    </w:p>
    <w:p w:rsidR="00E97815" w:rsidRPr="00E97815" w:rsidRDefault="00E97815" w:rsidP="00E97815">
      <w:pPr>
        <w:numPr>
          <w:ilvl w:val="0"/>
          <w:numId w:val="1"/>
        </w:numPr>
        <w:spacing w:before="100" w:beforeAutospacing="1" w:after="100" w:afterAutospacing="1" w:line="240" w:lineRule="auto"/>
        <w:rPr>
          <w:rFonts w:ascii="Segoe UI" w:eastAsia="Times New Roman" w:hAnsi="Segoe UI" w:cs="Segoe UI"/>
          <w:sz w:val="24"/>
          <w:szCs w:val="24"/>
          <w:lang w:eastAsia="en-GB"/>
        </w:rPr>
      </w:pPr>
      <w:r w:rsidRPr="00E97815">
        <w:rPr>
          <w:rFonts w:ascii="Segoe UI" w:eastAsia="Times New Roman" w:hAnsi="Segoe UI" w:cs="Segoe UI"/>
          <w:b/>
          <w:bCs/>
          <w:sz w:val="24"/>
          <w:szCs w:val="24"/>
          <w:lang w:eastAsia="en-GB"/>
        </w:rPr>
        <w:t>Petrochemicals:</w:t>
      </w:r>
      <w:r w:rsidRPr="00E97815">
        <w:rPr>
          <w:rFonts w:ascii="Segoe UI" w:eastAsia="Times New Roman" w:hAnsi="Segoe UI" w:cs="Segoe UI"/>
          <w:sz w:val="24"/>
          <w:szCs w:val="24"/>
          <w:lang w:eastAsia="en-GB"/>
        </w:rPr>
        <w:t xml:space="preserve"> Gas is increasingly being used as feedstock for fertilizers, plastics, and chemicals, supporting industrialisation.</w:t>
      </w:r>
    </w:p>
    <w:p w:rsidR="00E97815" w:rsidRPr="00E97815" w:rsidRDefault="00E97815" w:rsidP="00E97815">
      <w:pPr>
        <w:numPr>
          <w:ilvl w:val="0"/>
          <w:numId w:val="1"/>
        </w:numPr>
        <w:spacing w:before="100" w:beforeAutospacing="1" w:after="100" w:afterAutospacing="1" w:line="240" w:lineRule="auto"/>
        <w:rPr>
          <w:rFonts w:ascii="Segoe UI" w:eastAsia="Times New Roman" w:hAnsi="Segoe UI" w:cs="Segoe UI"/>
          <w:sz w:val="24"/>
          <w:szCs w:val="24"/>
          <w:lang w:eastAsia="en-GB"/>
        </w:rPr>
      </w:pPr>
      <w:r w:rsidRPr="00E97815">
        <w:rPr>
          <w:rFonts w:ascii="Segoe UI" w:eastAsia="Times New Roman" w:hAnsi="Segoe UI" w:cs="Segoe UI"/>
          <w:b/>
          <w:bCs/>
          <w:sz w:val="24"/>
          <w:szCs w:val="24"/>
          <w:lang w:eastAsia="en-GB"/>
        </w:rPr>
        <w:t>Gas-to-Liquids (GTL):</w:t>
      </w:r>
      <w:r w:rsidRPr="00E97815">
        <w:rPr>
          <w:rFonts w:ascii="Segoe UI" w:eastAsia="Times New Roman" w:hAnsi="Segoe UI" w:cs="Segoe UI"/>
          <w:sz w:val="24"/>
          <w:szCs w:val="24"/>
          <w:lang w:eastAsia="en-GB"/>
        </w:rPr>
        <w:t xml:space="preserve"> Emerging opportunities to convert gas into liquid fuels, diversifying energy products.</w:t>
      </w:r>
    </w:p>
    <w:p w:rsidR="00E97815" w:rsidRDefault="00E97815" w:rsidP="00E97815">
      <w:pPr>
        <w:numPr>
          <w:ilvl w:val="0"/>
          <w:numId w:val="1"/>
        </w:numPr>
        <w:spacing w:before="100" w:beforeAutospacing="1" w:after="100" w:afterAutospacing="1" w:line="240" w:lineRule="auto"/>
        <w:rPr>
          <w:rFonts w:ascii="Segoe UI" w:eastAsia="Times New Roman" w:hAnsi="Segoe UI" w:cs="Segoe UI"/>
          <w:sz w:val="24"/>
          <w:szCs w:val="24"/>
          <w:lang w:eastAsia="en-GB"/>
        </w:rPr>
      </w:pPr>
      <w:r w:rsidRPr="00E97815">
        <w:rPr>
          <w:rFonts w:ascii="Segoe UI" w:eastAsia="Times New Roman" w:hAnsi="Segoe UI" w:cs="Segoe UI"/>
          <w:b/>
          <w:bCs/>
          <w:sz w:val="24"/>
          <w:szCs w:val="24"/>
          <w:lang w:eastAsia="en-GB"/>
        </w:rPr>
        <w:t>Domestic Distribution:</w:t>
      </w:r>
      <w:r w:rsidRPr="00E97815">
        <w:rPr>
          <w:rFonts w:ascii="Segoe UI" w:eastAsia="Times New Roman" w:hAnsi="Segoe UI" w:cs="Segoe UI"/>
          <w:sz w:val="24"/>
          <w:szCs w:val="24"/>
          <w:lang w:eastAsia="en-GB"/>
        </w:rPr>
        <w:t xml:space="preserve"> Pipelines like OB3 and AKK are designed to ensure gas reaches industries and households, reducing reliance on imports and diesel.</w:t>
      </w:r>
    </w:p>
    <w:p w:rsidR="00E97815" w:rsidRDefault="00E97815" w:rsidP="00E97815">
      <w:pPr>
        <w:numPr>
          <w:ilvl w:val="0"/>
          <w:numId w:val="1"/>
        </w:numPr>
        <w:spacing w:before="100" w:beforeAutospacing="1" w:after="100" w:afterAutospacing="1" w:line="240" w:lineRule="auto"/>
        <w:rPr>
          <w:rFonts w:ascii="Segoe UI" w:eastAsia="Times New Roman" w:hAnsi="Segoe UI" w:cs="Segoe UI"/>
          <w:sz w:val="24"/>
          <w:szCs w:val="24"/>
          <w:lang w:eastAsia="en-GB"/>
        </w:rPr>
      </w:pPr>
      <w:r>
        <w:rPr>
          <w:rFonts w:ascii="Segoe UI" w:eastAsia="Times New Roman" w:hAnsi="Segoe UI" w:cs="Segoe UI"/>
          <w:b/>
          <w:bCs/>
          <w:sz w:val="24"/>
          <w:szCs w:val="24"/>
          <w:lang w:eastAsia="en-GB"/>
        </w:rPr>
        <w:t>Compressed Natural Gas:</w:t>
      </w:r>
      <w:r>
        <w:rPr>
          <w:rFonts w:ascii="Segoe UI" w:eastAsia="Times New Roman" w:hAnsi="Segoe UI" w:cs="Segoe UI"/>
          <w:sz w:val="24"/>
          <w:szCs w:val="24"/>
          <w:lang w:eastAsia="en-GB"/>
        </w:rPr>
        <w:t xml:space="preserve"> Nigeria is making efforts to ensuring the wide use of compressed natural gas for automobile fuel as one of its gas monetization pathways.</w:t>
      </w:r>
    </w:p>
    <w:p w:rsidR="00E97815" w:rsidRPr="00E97815" w:rsidRDefault="00E97815" w:rsidP="00E97815">
      <w:pPr>
        <w:spacing w:before="100" w:beforeAutospacing="1" w:after="100" w:afterAutospacing="1" w:line="240" w:lineRule="auto"/>
        <w:ind w:left="720"/>
        <w:rPr>
          <w:rFonts w:ascii="Segoe UI" w:eastAsia="Times New Roman" w:hAnsi="Segoe UI" w:cs="Segoe UI"/>
          <w:sz w:val="24"/>
          <w:szCs w:val="24"/>
          <w:lang w:eastAsia="en-GB"/>
        </w:rPr>
      </w:pPr>
    </w:p>
    <w:p w:rsidR="00E97815" w:rsidRPr="00E97815" w:rsidRDefault="00E97815" w:rsidP="00E97815">
      <w:pPr>
        <w:spacing w:before="100" w:beforeAutospacing="1" w:after="100" w:afterAutospacing="1" w:line="240" w:lineRule="auto"/>
        <w:outlineLvl w:val="2"/>
        <w:rPr>
          <w:rFonts w:ascii="Segoe UI" w:eastAsia="Times New Roman" w:hAnsi="Segoe UI" w:cs="Segoe UI"/>
          <w:b/>
          <w:bCs/>
          <w:sz w:val="27"/>
          <w:szCs w:val="27"/>
          <w:lang w:eastAsia="en-GB"/>
        </w:rPr>
      </w:pPr>
      <w:r w:rsidRPr="00E97815">
        <w:rPr>
          <w:rFonts w:ascii="Segoe UI" w:eastAsia="Times New Roman" w:hAnsi="Segoe UI" w:cs="Segoe UI"/>
          <w:b/>
          <w:bCs/>
          <w:sz w:val="27"/>
          <w:szCs w:val="27"/>
          <w:lang w:eastAsia="en-GB"/>
        </w:rPr>
        <w:lastRenderedPageBreak/>
        <w:t>Strategic Positioning</w:t>
      </w:r>
    </w:p>
    <w:p w:rsidR="00E97815" w:rsidRPr="00E97815" w:rsidRDefault="00E97815" w:rsidP="00E97815">
      <w:pPr>
        <w:spacing w:before="100" w:beforeAutospacing="1" w:after="100" w:afterAutospacing="1" w:line="240" w:lineRule="auto"/>
        <w:jc w:val="both"/>
        <w:rPr>
          <w:rFonts w:ascii="Segoe UI" w:eastAsia="Times New Roman" w:hAnsi="Segoe UI" w:cs="Segoe UI"/>
          <w:sz w:val="24"/>
          <w:szCs w:val="24"/>
          <w:lang w:eastAsia="en-GB"/>
        </w:rPr>
      </w:pPr>
      <w:r w:rsidRPr="00E97815">
        <w:rPr>
          <w:rFonts w:ascii="Segoe UI" w:eastAsia="Times New Roman" w:hAnsi="Segoe UI" w:cs="Segoe UI"/>
          <w:sz w:val="24"/>
          <w:szCs w:val="24"/>
          <w:lang w:eastAsia="en-GB"/>
        </w:rPr>
        <w:t xml:space="preserve">Nigeria supplies about </w:t>
      </w:r>
      <w:r w:rsidRPr="00E97815">
        <w:rPr>
          <w:rFonts w:ascii="Segoe UI" w:eastAsia="Times New Roman" w:hAnsi="Segoe UI" w:cs="Segoe UI"/>
          <w:bCs/>
          <w:sz w:val="24"/>
          <w:szCs w:val="24"/>
          <w:lang w:eastAsia="en-GB"/>
        </w:rPr>
        <w:t>14% of EU gas imports</w:t>
      </w:r>
      <w:r w:rsidRPr="00E97815">
        <w:rPr>
          <w:rFonts w:ascii="Segoe UI" w:eastAsia="Times New Roman" w:hAnsi="Segoe UI" w:cs="Segoe UI"/>
          <w:sz w:val="24"/>
          <w:szCs w:val="24"/>
          <w:lang w:eastAsia="en-GB"/>
        </w:rPr>
        <w:t xml:space="preserve">, with nearly </w:t>
      </w:r>
      <w:r w:rsidRPr="00E97815">
        <w:rPr>
          <w:rFonts w:ascii="Segoe UI" w:eastAsia="Times New Roman" w:hAnsi="Segoe UI" w:cs="Segoe UI"/>
          <w:bCs/>
          <w:sz w:val="24"/>
          <w:szCs w:val="24"/>
          <w:lang w:eastAsia="en-GB"/>
        </w:rPr>
        <w:t>60% of its LNG exports destined for Europe</w:t>
      </w:r>
      <w:r w:rsidRPr="00E97815">
        <w:rPr>
          <w:rFonts w:ascii="Segoe UI" w:eastAsia="Times New Roman" w:hAnsi="Segoe UI" w:cs="Segoe UI"/>
          <w:sz w:val="24"/>
          <w:szCs w:val="24"/>
          <w:lang w:eastAsia="en-GB"/>
        </w:rPr>
        <w:t>, making it a critical partner in Europe’s diversification away from Russian gas. Its infrastructure readiness and monetisation pathways position Nigeria as Africa’s most reliable LNG supplier while also laying the foundation for domestic energy transformation.</w:t>
      </w:r>
    </w:p>
    <w:p w:rsidR="00E97815" w:rsidRPr="00E97815" w:rsidRDefault="00E97815" w:rsidP="00E97815">
      <w:pPr>
        <w:spacing w:before="100" w:beforeAutospacing="1" w:after="100" w:afterAutospacing="1" w:line="240" w:lineRule="auto"/>
        <w:outlineLvl w:val="2"/>
        <w:rPr>
          <w:rFonts w:ascii="Segoe UI" w:eastAsia="Times New Roman" w:hAnsi="Segoe UI" w:cs="Segoe UI"/>
          <w:b/>
          <w:bCs/>
          <w:sz w:val="27"/>
          <w:szCs w:val="27"/>
          <w:lang w:eastAsia="en-GB"/>
        </w:rPr>
      </w:pPr>
      <w:r w:rsidRPr="00E97815">
        <w:rPr>
          <w:rFonts w:ascii="Segoe UI" w:eastAsia="Times New Roman" w:hAnsi="Segoe UI" w:cs="Segoe UI"/>
          <w:b/>
          <w:bCs/>
          <w:sz w:val="27"/>
          <w:szCs w:val="27"/>
          <w:lang w:eastAsia="en-GB"/>
        </w:rPr>
        <w:t>Challenges</w:t>
      </w:r>
    </w:p>
    <w:p w:rsidR="00E97815" w:rsidRPr="00E97815" w:rsidRDefault="00E97815" w:rsidP="00E97815">
      <w:pPr>
        <w:spacing w:before="100" w:beforeAutospacing="1" w:after="100" w:afterAutospacing="1" w:line="240" w:lineRule="auto"/>
        <w:jc w:val="both"/>
        <w:rPr>
          <w:rFonts w:ascii="Segoe UI" w:eastAsia="Times New Roman" w:hAnsi="Segoe UI" w:cs="Segoe UI"/>
          <w:sz w:val="24"/>
          <w:szCs w:val="24"/>
          <w:lang w:eastAsia="en-GB"/>
        </w:rPr>
      </w:pPr>
      <w:r w:rsidRPr="00E97815">
        <w:rPr>
          <w:rFonts w:ascii="Segoe UI" w:eastAsia="Times New Roman" w:hAnsi="Segoe UI" w:cs="Segoe UI"/>
          <w:sz w:val="24"/>
          <w:szCs w:val="24"/>
          <w:lang w:eastAsia="en-GB"/>
        </w:rPr>
        <w:t xml:space="preserve">Despite these strengths, Nigeria faces persistent challenges such as </w:t>
      </w:r>
      <w:r w:rsidRPr="00E97815">
        <w:rPr>
          <w:rFonts w:ascii="Segoe UI" w:eastAsia="Times New Roman" w:hAnsi="Segoe UI" w:cs="Segoe UI"/>
          <w:bCs/>
          <w:sz w:val="24"/>
          <w:szCs w:val="24"/>
          <w:lang w:eastAsia="en-GB"/>
        </w:rPr>
        <w:t>pipeline vandalism, gas flaring, regulatory bottlenecks, and underdeveloped domestic distribution networks</w:t>
      </w:r>
      <w:r w:rsidRPr="00E97815">
        <w:rPr>
          <w:rFonts w:ascii="Segoe UI" w:eastAsia="Times New Roman" w:hAnsi="Segoe UI" w:cs="Segoe UI"/>
          <w:sz w:val="24"/>
          <w:szCs w:val="24"/>
          <w:lang w:eastAsia="en-GB"/>
        </w:rPr>
        <w:t>. Addressing these issues is crucial to fully realise the benefits of its gas monetisation pathways.</w:t>
      </w:r>
      <w:bookmarkStart w:id="0" w:name="_GoBack"/>
      <w:bookmarkEnd w:id="0"/>
    </w:p>
    <w:p w:rsidR="009625FC" w:rsidRPr="00E97815" w:rsidRDefault="009625FC">
      <w:pPr>
        <w:rPr>
          <w:rFonts w:ascii="Segoe UI" w:hAnsi="Segoe UI" w:cs="Segoe UI"/>
        </w:rPr>
      </w:pPr>
    </w:p>
    <w:sectPr w:rsidR="009625FC" w:rsidRPr="00E97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9A638A"/>
    <w:multiLevelType w:val="multilevel"/>
    <w:tmpl w:val="BED8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815"/>
    <w:rsid w:val="003A3C12"/>
    <w:rsid w:val="009625FC"/>
    <w:rsid w:val="00A626FD"/>
    <w:rsid w:val="00E978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50BE6"/>
  <w15:chartTrackingRefBased/>
  <w15:docId w15:val="{0E8F0E3B-DB59-4D8E-90B3-C7068530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9781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E9781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9781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E97815"/>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E978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978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12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432</Words>
  <Characters>2469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2026-07-06T16:30:00Z</dcterms:created>
  <dcterms:modified xsi:type="dcterms:W3CDTF">2026-07-06T16:35:00Z</dcterms:modified>
</cp:coreProperties>
</file>