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1EC94" w14:textId="12FCF6CC" w:rsidR="00C20F6D" w:rsidRPr="00546232" w:rsidRDefault="00546232" w:rsidP="00546232">
      <w:pPr>
        <w:jc w:val="both"/>
        <w:rPr>
          <w:rFonts w:ascii="Times New Roman" w:hAnsi="Times New Roman" w:cs="Times New Roman"/>
          <w:b/>
          <w:bCs/>
          <w:sz w:val="24"/>
          <w:szCs w:val="24"/>
        </w:rPr>
      </w:pPr>
      <w:r w:rsidRPr="00546232">
        <w:rPr>
          <w:rFonts w:ascii="Times New Roman" w:hAnsi="Times New Roman" w:cs="Times New Roman"/>
          <w:b/>
          <w:bCs/>
          <w:sz w:val="24"/>
          <w:szCs w:val="24"/>
        </w:rPr>
        <w:t>SUSTAINING NIGERIA'S LNG DOMINANCE AMID RISING AFRICAN COMPETITION: STRATEGIC RISKS AND OPPORTUNITIES</w:t>
      </w:r>
    </w:p>
    <w:p w14:paraId="27515E37" w14:textId="77777777" w:rsidR="00C20F6D" w:rsidRPr="00546232" w:rsidRDefault="00000000" w:rsidP="00546232">
      <w:pPr>
        <w:ind w:firstLine="90"/>
        <w:jc w:val="both"/>
        <w:rPr>
          <w:rFonts w:ascii="Times New Roman" w:hAnsi="Times New Roman" w:cs="Times New Roman"/>
          <w:b/>
          <w:bCs/>
          <w:sz w:val="24"/>
          <w:szCs w:val="24"/>
          <w:u w:val="single"/>
        </w:rPr>
      </w:pPr>
      <w:r w:rsidRPr="00546232">
        <w:rPr>
          <w:rFonts w:ascii="Times New Roman" w:hAnsi="Times New Roman" w:cs="Times New Roman"/>
          <w:b/>
          <w:bCs/>
          <w:sz w:val="24"/>
          <w:szCs w:val="24"/>
          <w:u w:val="single"/>
        </w:rPr>
        <w:t>Executive Summary</w:t>
      </w:r>
    </w:p>
    <w:p w14:paraId="77981EA5" w14:textId="3BB752A0" w:rsidR="00C20F6D" w:rsidRPr="00546232" w:rsidRDefault="00000000" w:rsidP="00546232">
      <w:pPr>
        <w:jc w:val="both"/>
        <w:rPr>
          <w:rFonts w:ascii="Times New Roman" w:hAnsi="Times New Roman" w:cs="Times New Roman"/>
          <w:sz w:val="24"/>
          <w:szCs w:val="24"/>
        </w:rPr>
      </w:pPr>
      <w:r w:rsidRPr="00546232">
        <w:rPr>
          <w:rFonts w:ascii="Times New Roman" w:hAnsi="Times New Roman" w:cs="Times New Roman"/>
          <w:sz w:val="24"/>
          <w:szCs w:val="24"/>
        </w:rPr>
        <w:t xml:space="preserve">Nigeria remains Africa’s largest LNG exporter, shipping 14.78 Mt in 2025 versus Algeria’s 9.70 Mt and Africa-wide exports of 39.77 Mt. Its lead is still anchored in scale, legacy infrastructure and Atlantic Basin location, but not in operational resilience: NLNG’s </w:t>
      </w:r>
      <w:r w:rsidR="00546232" w:rsidRPr="00546232">
        <w:rPr>
          <w:rFonts w:ascii="Times New Roman" w:hAnsi="Times New Roman" w:cs="Times New Roman"/>
          <w:sz w:val="24"/>
          <w:szCs w:val="24"/>
        </w:rPr>
        <w:t>utilization</w:t>
      </w:r>
      <w:r w:rsidRPr="00546232">
        <w:rPr>
          <w:rFonts w:ascii="Times New Roman" w:hAnsi="Times New Roman" w:cs="Times New Roman"/>
          <w:sz w:val="24"/>
          <w:szCs w:val="24"/>
        </w:rPr>
        <w:t xml:space="preserve"> was only 66.6% in 2025, far below what Nigeria’s 22.2 </w:t>
      </w:r>
      <w:proofErr w:type="spellStart"/>
      <w:r w:rsidRPr="00546232">
        <w:rPr>
          <w:rFonts w:ascii="Times New Roman" w:hAnsi="Times New Roman" w:cs="Times New Roman"/>
          <w:sz w:val="24"/>
          <w:szCs w:val="24"/>
        </w:rPr>
        <w:t>mtpa</w:t>
      </w:r>
      <w:proofErr w:type="spellEnd"/>
      <w:r w:rsidRPr="00546232">
        <w:rPr>
          <w:rFonts w:ascii="Times New Roman" w:hAnsi="Times New Roman" w:cs="Times New Roman"/>
          <w:sz w:val="24"/>
          <w:szCs w:val="24"/>
        </w:rPr>
        <w:t xml:space="preserve"> installed capacity should permit. Nigeria’s strategic problem is therefore above-ground, not subsurface: </w:t>
      </w:r>
      <w:proofErr w:type="spellStart"/>
      <w:r w:rsidRPr="00546232">
        <w:rPr>
          <w:rFonts w:ascii="Times New Roman" w:hAnsi="Times New Roman" w:cs="Times New Roman"/>
          <w:sz w:val="24"/>
          <w:szCs w:val="24"/>
        </w:rPr>
        <w:t>feedgas</w:t>
      </w:r>
      <w:proofErr w:type="spellEnd"/>
      <w:r w:rsidRPr="00546232">
        <w:rPr>
          <w:rFonts w:ascii="Times New Roman" w:hAnsi="Times New Roman" w:cs="Times New Roman"/>
          <w:sz w:val="24"/>
          <w:szCs w:val="24"/>
        </w:rPr>
        <w:t xml:space="preserve"> reliability, pipeline security, expansion execution and carbon competitiveness now matter more than reserve size alone.</w:t>
      </w:r>
    </w:p>
    <w:p w14:paraId="21DCA8C3" w14:textId="55748D2B" w:rsidR="00C20F6D" w:rsidRPr="00546232" w:rsidRDefault="00000000" w:rsidP="00546232">
      <w:pPr>
        <w:ind w:firstLine="90"/>
        <w:jc w:val="both"/>
        <w:rPr>
          <w:rFonts w:ascii="Times New Roman" w:hAnsi="Times New Roman" w:cs="Times New Roman"/>
          <w:sz w:val="24"/>
          <w:szCs w:val="24"/>
        </w:rPr>
      </w:pPr>
      <w:r w:rsidRPr="00546232">
        <w:rPr>
          <w:rFonts w:ascii="Times New Roman" w:hAnsi="Times New Roman" w:cs="Times New Roman"/>
          <w:sz w:val="24"/>
          <w:szCs w:val="24"/>
        </w:rPr>
        <w:t xml:space="preserve">The competitive challenge is intensifying. Mozambique has only 3.4 </w:t>
      </w:r>
      <w:proofErr w:type="spellStart"/>
      <w:r w:rsidRPr="00546232">
        <w:rPr>
          <w:rFonts w:ascii="Times New Roman" w:hAnsi="Times New Roman" w:cs="Times New Roman"/>
          <w:sz w:val="24"/>
          <w:szCs w:val="24"/>
        </w:rPr>
        <w:t>mtpa</w:t>
      </w:r>
      <w:proofErr w:type="spellEnd"/>
      <w:r w:rsidRPr="00546232">
        <w:rPr>
          <w:rFonts w:ascii="Times New Roman" w:hAnsi="Times New Roman" w:cs="Times New Roman"/>
          <w:sz w:val="24"/>
          <w:szCs w:val="24"/>
        </w:rPr>
        <w:t xml:space="preserve"> operating today, but it holds ~100 </w:t>
      </w:r>
      <w:proofErr w:type="spellStart"/>
      <w:r w:rsidRPr="00546232">
        <w:rPr>
          <w:rFonts w:ascii="Times New Roman" w:hAnsi="Times New Roman" w:cs="Times New Roman"/>
          <w:sz w:val="24"/>
          <w:szCs w:val="24"/>
        </w:rPr>
        <w:t>Tcf</w:t>
      </w:r>
      <w:proofErr w:type="spellEnd"/>
      <w:r w:rsidRPr="00546232">
        <w:rPr>
          <w:rFonts w:ascii="Times New Roman" w:hAnsi="Times New Roman" w:cs="Times New Roman"/>
          <w:sz w:val="24"/>
          <w:szCs w:val="24"/>
        </w:rPr>
        <w:t xml:space="preserve"> of gas and an 18 </w:t>
      </w:r>
      <w:proofErr w:type="spellStart"/>
      <w:r w:rsidRPr="00546232">
        <w:rPr>
          <w:rFonts w:ascii="Times New Roman" w:hAnsi="Times New Roman" w:cs="Times New Roman"/>
          <w:sz w:val="24"/>
          <w:szCs w:val="24"/>
        </w:rPr>
        <w:t>mtpa</w:t>
      </w:r>
      <w:proofErr w:type="spellEnd"/>
      <w:r w:rsidRPr="00546232">
        <w:rPr>
          <w:rFonts w:ascii="Times New Roman" w:hAnsi="Times New Roman" w:cs="Times New Roman"/>
          <w:sz w:val="24"/>
          <w:szCs w:val="24"/>
        </w:rPr>
        <w:t xml:space="preserve"> Rovuma design plus the 12.88 </w:t>
      </w:r>
      <w:proofErr w:type="spellStart"/>
      <w:r w:rsidRPr="00546232">
        <w:rPr>
          <w:rFonts w:ascii="Times New Roman" w:hAnsi="Times New Roman" w:cs="Times New Roman"/>
          <w:sz w:val="24"/>
          <w:szCs w:val="24"/>
        </w:rPr>
        <w:t>mtpa</w:t>
      </w:r>
      <w:proofErr w:type="spellEnd"/>
      <w:r w:rsidRPr="00546232">
        <w:rPr>
          <w:rFonts w:ascii="Times New Roman" w:hAnsi="Times New Roman" w:cs="Times New Roman"/>
          <w:sz w:val="24"/>
          <w:szCs w:val="24"/>
        </w:rPr>
        <w:t xml:space="preserve"> Mozambique LNG project if security and financing risks ease. Mauritania/Senegal entered the market in 2025 with first GTA cargoes, while Tanzania is still trying to close a $42 billion LNG framework that could underpin a 15 </w:t>
      </w:r>
      <w:proofErr w:type="spellStart"/>
      <w:r w:rsidRPr="00546232">
        <w:rPr>
          <w:rFonts w:ascii="Times New Roman" w:hAnsi="Times New Roman" w:cs="Times New Roman"/>
          <w:sz w:val="24"/>
          <w:szCs w:val="24"/>
        </w:rPr>
        <w:t>mtpa</w:t>
      </w:r>
      <w:proofErr w:type="spellEnd"/>
      <w:r w:rsidRPr="00546232">
        <w:rPr>
          <w:rFonts w:ascii="Times New Roman" w:hAnsi="Times New Roman" w:cs="Times New Roman"/>
          <w:sz w:val="24"/>
          <w:szCs w:val="24"/>
        </w:rPr>
        <w:t xml:space="preserve"> export platform in the next decade. Algeria remains a formidable incumbent with 25.5 </w:t>
      </w:r>
      <w:proofErr w:type="spellStart"/>
      <w:r w:rsidRPr="00546232">
        <w:rPr>
          <w:rFonts w:ascii="Times New Roman" w:hAnsi="Times New Roman" w:cs="Times New Roman"/>
          <w:sz w:val="24"/>
          <w:szCs w:val="24"/>
        </w:rPr>
        <w:t>mtpa</w:t>
      </w:r>
      <w:proofErr w:type="spellEnd"/>
      <w:r w:rsidRPr="00546232">
        <w:rPr>
          <w:rFonts w:ascii="Times New Roman" w:hAnsi="Times New Roman" w:cs="Times New Roman"/>
          <w:sz w:val="24"/>
          <w:szCs w:val="24"/>
        </w:rPr>
        <w:t xml:space="preserve"> nameplate capacity, even if ageing assets and lower </w:t>
      </w:r>
      <w:r w:rsidR="00546232" w:rsidRPr="00546232">
        <w:rPr>
          <w:rFonts w:ascii="Times New Roman" w:hAnsi="Times New Roman" w:cs="Times New Roman"/>
          <w:sz w:val="24"/>
          <w:szCs w:val="24"/>
        </w:rPr>
        <w:t>utilization</w:t>
      </w:r>
      <w:r w:rsidRPr="00546232">
        <w:rPr>
          <w:rFonts w:ascii="Times New Roman" w:hAnsi="Times New Roman" w:cs="Times New Roman"/>
          <w:sz w:val="24"/>
          <w:szCs w:val="24"/>
        </w:rPr>
        <w:t xml:space="preserve"> are constraining exports.</w:t>
      </w:r>
    </w:p>
    <w:p w14:paraId="29430E64" w14:textId="405FFF0C" w:rsidR="00C20F6D" w:rsidRPr="00546232" w:rsidRDefault="00000000" w:rsidP="00546232">
      <w:pPr>
        <w:ind w:firstLine="90"/>
        <w:jc w:val="both"/>
        <w:rPr>
          <w:rFonts w:ascii="Times New Roman" w:hAnsi="Times New Roman" w:cs="Times New Roman"/>
          <w:sz w:val="24"/>
          <w:szCs w:val="24"/>
        </w:rPr>
      </w:pPr>
      <w:r w:rsidRPr="00546232">
        <w:rPr>
          <w:rFonts w:ascii="Times New Roman" w:hAnsi="Times New Roman" w:cs="Times New Roman"/>
          <w:sz w:val="24"/>
          <w:szCs w:val="24"/>
        </w:rPr>
        <w:t>Nigeria’s near-term opportunity is favorable: Europe still needs flexible LNG despite structural demand erosion, Iberia is already materially exposed to Nigerian supply, and Asian demand growth led by China and India keeps portfolio diversification valuable.</w:t>
      </w:r>
      <w:r w:rsidR="00546232">
        <w:rPr>
          <w:rFonts w:ascii="Times New Roman" w:hAnsi="Times New Roman" w:cs="Times New Roman"/>
          <w:sz w:val="24"/>
          <w:szCs w:val="24"/>
        </w:rPr>
        <w:t xml:space="preserve"> </w:t>
      </w:r>
      <w:r w:rsidRPr="00546232">
        <w:rPr>
          <w:rFonts w:ascii="Times New Roman" w:hAnsi="Times New Roman" w:cs="Times New Roman"/>
          <w:sz w:val="24"/>
          <w:szCs w:val="24"/>
        </w:rPr>
        <w:t xml:space="preserve">But the next supply wave from the United States and Qatar is the dominant external threat. The IEA expects ~300 </w:t>
      </w:r>
      <w:proofErr w:type="spellStart"/>
      <w:r w:rsidRPr="00546232">
        <w:rPr>
          <w:rFonts w:ascii="Times New Roman" w:hAnsi="Times New Roman" w:cs="Times New Roman"/>
          <w:sz w:val="24"/>
          <w:szCs w:val="24"/>
        </w:rPr>
        <w:t>bcm</w:t>
      </w:r>
      <w:proofErr w:type="spellEnd"/>
      <w:r w:rsidRPr="00546232">
        <w:rPr>
          <w:rFonts w:ascii="Times New Roman" w:hAnsi="Times New Roman" w:cs="Times New Roman"/>
          <w:sz w:val="24"/>
          <w:szCs w:val="24"/>
        </w:rPr>
        <w:t>/yr of new liquefaction capacity by 2030, with the United States and Qatar accounting for roughly 70% of the increase; price competition will intensify and buyers will become more selective on emissions, reliability and contract flexibility.</w:t>
      </w:r>
    </w:p>
    <w:tbl>
      <w:tblPr>
        <w:tblStyle w:val="TableGrid"/>
        <w:tblW w:w="0" w:type="auto"/>
        <w:tblLook w:val="02E0" w:firstRow="1" w:lastRow="1" w:firstColumn="1" w:lastColumn="0" w:noHBand="1" w:noVBand="0"/>
      </w:tblPr>
      <w:tblGrid>
        <w:gridCol w:w="3456"/>
        <w:gridCol w:w="3434"/>
        <w:gridCol w:w="3406"/>
      </w:tblGrid>
      <w:tr w:rsidR="00C20F6D" w:rsidRPr="00546232" w14:paraId="0D8F203E" w14:textId="77777777" w:rsidTr="00EE2D06">
        <w:tc>
          <w:tcPr>
            <w:tcW w:w="3552" w:type="dxa"/>
          </w:tcPr>
          <w:p w14:paraId="0C8BEC18" w14:textId="77777777" w:rsidR="00C20F6D" w:rsidRPr="00EE2D06" w:rsidRDefault="00000000" w:rsidP="00546232">
            <w:pPr>
              <w:spacing w:line="276" w:lineRule="auto"/>
              <w:ind w:firstLine="90"/>
              <w:jc w:val="both"/>
              <w:rPr>
                <w:rFonts w:ascii="Times New Roman" w:hAnsi="Times New Roman" w:cs="Times New Roman"/>
                <w:b/>
                <w:bCs/>
                <w:sz w:val="24"/>
                <w:szCs w:val="24"/>
              </w:rPr>
            </w:pPr>
            <w:r w:rsidRPr="00EE2D06">
              <w:rPr>
                <w:rFonts w:ascii="Times New Roman" w:hAnsi="Times New Roman" w:cs="Times New Roman"/>
                <w:b/>
                <w:bCs/>
                <w:sz w:val="24"/>
                <w:szCs w:val="24"/>
              </w:rPr>
              <w:t>Key risks</w:t>
            </w:r>
          </w:p>
        </w:tc>
        <w:tc>
          <w:tcPr>
            <w:tcW w:w="3552" w:type="dxa"/>
          </w:tcPr>
          <w:p w14:paraId="6EED1F6B" w14:textId="77777777" w:rsidR="00C20F6D" w:rsidRPr="00EE2D06" w:rsidRDefault="00000000" w:rsidP="00546232">
            <w:pPr>
              <w:spacing w:line="276" w:lineRule="auto"/>
              <w:ind w:firstLine="90"/>
              <w:jc w:val="both"/>
              <w:rPr>
                <w:rFonts w:ascii="Times New Roman" w:hAnsi="Times New Roman" w:cs="Times New Roman"/>
                <w:b/>
                <w:bCs/>
                <w:sz w:val="24"/>
                <w:szCs w:val="24"/>
              </w:rPr>
            </w:pPr>
            <w:r w:rsidRPr="00EE2D06">
              <w:rPr>
                <w:rFonts w:ascii="Times New Roman" w:hAnsi="Times New Roman" w:cs="Times New Roman"/>
                <w:b/>
                <w:bCs/>
                <w:sz w:val="24"/>
                <w:szCs w:val="24"/>
              </w:rPr>
              <w:t>Major opportunities</w:t>
            </w:r>
          </w:p>
        </w:tc>
        <w:tc>
          <w:tcPr>
            <w:tcW w:w="3552" w:type="dxa"/>
          </w:tcPr>
          <w:p w14:paraId="19DB4FBF" w14:textId="77777777" w:rsidR="00C20F6D" w:rsidRPr="00EE2D06" w:rsidRDefault="00000000" w:rsidP="00546232">
            <w:pPr>
              <w:spacing w:line="276" w:lineRule="auto"/>
              <w:ind w:firstLine="90"/>
              <w:jc w:val="both"/>
              <w:rPr>
                <w:rFonts w:ascii="Times New Roman" w:hAnsi="Times New Roman" w:cs="Times New Roman"/>
                <w:b/>
                <w:bCs/>
                <w:sz w:val="24"/>
                <w:szCs w:val="24"/>
              </w:rPr>
            </w:pPr>
            <w:r w:rsidRPr="00EE2D06">
              <w:rPr>
                <w:rFonts w:ascii="Times New Roman" w:hAnsi="Times New Roman" w:cs="Times New Roman"/>
                <w:b/>
                <w:bCs/>
                <w:sz w:val="24"/>
                <w:szCs w:val="24"/>
              </w:rPr>
              <w:t>Intelligence assessment</w:t>
            </w:r>
          </w:p>
        </w:tc>
      </w:tr>
      <w:tr w:rsidR="00C20F6D" w:rsidRPr="00546232" w14:paraId="3CBC2503" w14:textId="77777777" w:rsidTr="00EE2D06">
        <w:tc>
          <w:tcPr>
            <w:tcW w:w="3552" w:type="dxa"/>
          </w:tcPr>
          <w:p w14:paraId="46D4936F" w14:textId="77777777" w:rsidR="00C20F6D" w:rsidRPr="00546232" w:rsidRDefault="00000000" w:rsidP="00546232">
            <w:pPr>
              <w:spacing w:line="276" w:lineRule="auto"/>
              <w:ind w:firstLine="90"/>
              <w:rPr>
                <w:rFonts w:ascii="Times New Roman" w:hAnsi="Times New Roman" w:cs="Times New Roman"/>
                <w:b/>
                <w:bCs/>
                <w:sz w:val="24"/>
                <w:szCs w:val="24"/>
              </w:rPr>
            </w:pPr>
            <w:proofErr w:type="spellStart"/>
            <w:r w:rsidRPr="00546232">
              <w:rPr>
                <w:rFonts w:ascii="Times New Roman" w:hAnsi="Times New Roman" w:cs="Times New Roman"/>
                <w:sz w:val="24"/>
                <w:szCs w:val="24"/>
              </w:rPr>
              <w:t>Feedgas</w:t>
            </w:r>
            <w:proofErr w:type="spellEnd"/>
            <w:r w:rsidRPr="00546232">
              <w:rPr>
                <w:rFonts w:ascii="Times New Roman" w:hAnsi="Times New Roman" w:cs="Times New Roman"/>
                <w:sz w:val="24"/>
                <w:szCs w:val="24"/>
              </w:rPr>
              <w:t xml:space="preserve"> shortfalls; vandalism/sabotage; Train 7 slippage; global oversupply; carbon and methane constraints.</w:t>
            </w:r>
          </w:p>
        </w:tc>
        <w:tc>
          <w:tcPr>
            <w:tcW w:w="3552" w:type="dxa"/>
          </w:tcPr>
          <w:p w14:paraId="6428E9E8" w14:textId="596C819D" w:rsidR="00C20F6D" w:rsidRPr="00546232" w:rsidRDefault="00000000" w:rsidP="00546232">
            <w:pPr>
              <w:spacing w:line="276" w:lineRule="auto"/>
              <w:ind w:firstLine="90"/>
              <w:rPr>
                <w:rFonts w:ascii="Times New Roman" w:hAnsi="Times New Roman" w:cs="Times New Roman"/>
                <w:b/>
                <w:bCs/>
                <w:sz w:val="24"/>
                <w:szCs w:val="24"/>
              </w:rPr>
            </w:pPr>
            <w:r w:rsidRPr="00546232">
              <w:rPr>
                <w:rFonts w:ascii="Times New Roman" w:hAnsi="Times New Roman" w:cs="Times New Roman"/>
                <w:sz w:val="24"/>
                <w:szCs w:val="24"/>
              </w:rPr>
              <w:t xml:space="preserve">Train 7 + upstream tie-ins; flare gas </w:t>
            </w:r>
            <w:r w:rsidR="00546232" w:rsidRPr="00546232">
              <w:rPr>
                <w:rFonts w:ascii="Times New Roman" w:hAnsi="Times New Roman" w:cs="Times New Roman"/>
                <w:sz w:val="24"/>
                <w:szCs w:val="24"/>
              </w:rPr>
              <w:t>monetization</w:t>
            </w:r>
            <w:r w:rsidRPr="00546232">
              <w:rPr>
                <w:rFonts w:ascii="Times New Roman" w:hAnsi="Times New Roman" w:cs="Times New Roman"/>
                <w:sz w:val="24"/>
                <w:szCs w:val="24"/>
              </w:rPr>
              <w:t>; Iberian/European demand; Asia diversification; lower-emissions LNG.</w:t>
            </w:r>
          </w:p>
        </w:tc>
        <w:tc>
          <w:tcPr>
            <w:tcW w:w="3552" w:type="dxa"/>
          </w:tcPr>
          <w:p w14:paraId="10A2484B" w14:textId="77777777" w:rsidR="00C20F6D" w:rsidRPr="00546232" w:rsidRDefault="00000000" w:rsidP="00546232">
            <w:pPr>
              <w:spacing w:line="276" w:lineRule="auto"/>
              <w:ind w:firstLine="90"/>
              <w:rPr>
                <w:rFonts w:ascii="Times New Roman" w:hAnsi="Times New Roman" w:cs="Times New Roman"/>
                <w:b/>
                <w:bCs/>
                <w:sz w:val="24"/>
                <w:szCs w:val="24"/>
              </w:rPr>
            </w:pPr>
            <w:r w:rsidRPr="00546232">
              <w:rPr>
                <w:rFonts w:ascii="Times New Roman" w:hAnsi="Times New Roman" w:cs="Times New Roman"/>
                <w:sz w:val="24"/>
                <w:szCs w:val="24"/>
              </w:rPr>
              <w:t>Base case: Nigeria likely retains African LNG leadership through the early 2030s, but its lead narrows materially if Mozambique restarts Area 1/Rovuma and Nigeria under-executes.</w:t>
            </w:r>
          </w:p>
        </w:tc>
      </w:tr>
    </w:tbl>
    <w:p w14:paraId="5D54B80D" w14:textId="77777777" w:rsidR="00546232" w:rsidRDefault="00546232" w:rsidP="00546232">
      <w:pPr>
        <w:ind w:firstLine="90"/>
        <w:jc w:val="both"/>
        <w:rPr>
          <w:rFonts w:ascii="Times New Roman" w:hAnsi="Times New Roman" w:cs="Times New Roman"/>
          <w:sz w:val="24"/>
          <w:szCs w:val="24"/>
        </w:rPr>
      </w:pPr>
    </w:p>
    <w:p w14:paraId="3D2F9999" w14:textId="77777777" w:rsidR="00546232" w:rsidRDefault="00546232" w:rsidP="00546232">
      <w:pPr>
        <w:ind w:firstLine="90"/>
        <w:jc w:val="both"/>
        <w:rPr>
          <w:rFonts w:ascii="Times New Roman" w:hAnsi="Times New Roman" w:cs="Times New Roman"/>
          <w:sz w:val="24"/>
          <w:szCs w:val="24"/>
        </w:rPr>
      </w:pPr>
    </w:p>
    <w:p w14:paraId="1A0EE306" w14:textId="77777777" w:rsidR="00546232" w:rsidRDefault="00546232" w:rsidP="00546232">
      <w:pPr>
        <w:ind w:firstLine="90"/>
        <w:jc w:val="both"/>
        <w:rPr>
          <w:rFonts w:ascii="Times New Roman" w:hAnsi="Times New Roman" w:cs="Times New Roman"/>
          <w:sz w:val="24"/>
          <w:szCs w:val="24"/>
        </w:rPr>
      </w:pPr>
    </w:p>
    <w:p w14:paraId="4621D709" w14:textId="77777777" w:rsidR="00546232" w:rsidRDefault="00546232" w:rsidP="00546232">
      <w:pPr>
        <w:ind w:firstLine="90"/>
        <w:jc w:val="both"/>
        <w:rPr>
          <w:rFonts w:ascii="Times New Roman" w:hAnsi="Times New Roman" w:cs="Times New Roman"/>
          <w:sz w:val="24"/>
          <w:szCs w:val="24"/>
        </w:rPr>
      </w:pPr>
    </w:p>
    <w:p w14:paraId="01FE23FE" w14:textId="77777777" w:rsidR="00546232" w:rsidRDefault="00546232" w:rsidP="00546232">
      <w:pPr>
        <w:ind w:firstLine="90"/>
        <w:jc w:val="both"/>
        <w:rPr>
          <w:rFonts w:ascii="Times New Roman" w:hAnsi="Times New Roman" w:cs="Times New Roman"/>
          <w:sz w:val="24"/>
          <w:szCs w:val="24"/>
        </w:rPr>
      </w:pPr>
    </w:p>
    <w:p w14:paraId="51F8946B" w14:textId="77777777" w:rsidR="00546232" w:rsidRDefault="00546232" w:rsidP="00546232">
      <w:pPr>
        <w:ind w:firstLine="90"/>
        <w:jc w:val="both"/>
        <w:rPr>
          <w:rFonts w:ascii="Times New Roman" w:hAnsi="Times New Roman" w:cs="Times New Roman"/>
          <w:sz w:val="24"/>
          <w:szCs w:val="24"/>
        </w:rPr>
      </w:pPr>
    </w:p>
    <w:p w14:paraId="0A04786A" w14:textId="77777777" w:rsidR="00546232" w:rsidRDefault="00546232" w:rsidP="00546232">
      <w:pPr>
        <w:ind w:firstLine="90"/>
        <w:jc w:val="both"/>
        <w:rPr>
          <w:rFonts w:ascii="Times New Roman" w:hAnsi="Times New Roman" w:cs="Times New Roman"/>
          <w:sz w:val="24"/>
          <w:szCs w:val="24"/>
        </w:rPr>
      </w:pPr>
    </w:p>
    <w:p w14:paraId="4C937366" w14:textId="48629BEC" w:rsidR="00C20F6D" w:rsidRPr="00546232" w:rsidRDefault="00000000" w:rsidP="00546232">
      <w:pPr>
        <w:ind w:firstLine="90"/>
        <w:jc w:val="both"/>
        <w:rPr>
          <w:rFonts w:ascii="Times New Roman" w:hAnsi="Times New Roman" w:cs="Times New Roman"/>
          <w:b/>
          <w:bCs/>
          <w:sz w:val="24"/>
          <w:szCs w:val="24"/>
        </w:rPr>
      </w:pPr>
      <w:r w:rsidRPr="00546232">
        <w:rPr>
          <w:rFonts w:ascii="Times New Roman" w:hAnsi="Times New Roman" w:cs="Times New Roman"/>
          <w:b/>
          <w:bCs/>
          <w:sz w:val="24"/>
          <w:szCs w:val="24"/>
        </w:rPr>
        <w:lastRenderedPageBreak/>
        <w:t>1. Africa’s LNG Landscape</w:t>
      </w:r>
    </w:p>
    <w:p w14:paraId="4FBEDD74" w14:textId="77777777" w:rsidR="00C20F6D" w:rsidRPr="00546232" w:rsidRDefault="00000000" w:rsidP="00546232">
      <w:pPr>
        <w:ind w:firstLine="90"/>
        <w:jc w:val="both"/>
        <w:rPr>
          <w:rFonts w:ascii="Times New Roman" w:hAnsi="Times New Roman" w:cs="Times New Roman"/>
          <w:sz w:val="24"/>
          <w:szCs w:val="24"/>
        </w:rPr>
      </w:pPr>
      <w:r w:rsidRPr="00546232">
        <w:rPr>
          <w:rFonts w:ascii="Times New Roman" w:hAnsi="Times New Roman" w:cs="Times New Roman"/>
          <w:noProof/>
          <w:sz w:val="24"/>
          <w:szCs w:val="24"/>
        </w:rPr>
        <w:drawing>
          <wp:inline distT="0" distB="0" distL="0" distR="0" wp14:anchorId="7BA48B15" wp14:editId="727890BF">
            <wp:extent cx="6217920" cy="28563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africa_lng_map.png"/>
                    <pic:cNvPicPr/>
                  </pic:nvPicPr>
                  <pic:blipFill>
                    <a:blip r:embed="rId6"/>
                    <a:stretch>
                      <a:fillRect/>
                    </a:stretch>
                  </pic:blipFill>
                  <pic:spPr>
                    <a:xfrm>
                      <a:off x="0" y="0"/>
                      <a:ext cx="6217920" cy="2856329"/>
                    </a:xfrm>
                    <a:prstGeom prst="rect">
                      <a:avLst/>
                    </a:prstGeom>
                  </pic:spPr>
                </pic:pic>
              </a:graphicData>
            </a:graphic>
          </wp:inline>
        </w:drawing>
      </w:r>
    </w:p>
    <w:p w14:paraId="68429D54" w14:textId="7851DE68" w:rsidR="00C20F6D" w:rsidRPr="00546232" w:rsidRDefault="00000000" w:rsidP="00546232">
      <w:pPr>
        <w:jc w:val="both"/>
        <w:rPr>
          <w:rFonts w:ascii="Times New Roman" w:hAnsi="Times New Roman" w:cs="Times New Roman"/>
          <w:sz w:val="24"/>
          <w:szCs w:val="24"/>
        </w:rPr>
      </w:pPr>
      <w:r w:rsidRPr="00546232">
        <w:rPr>
          <w:rFonts w:ascii="Times New Roman" w:hAnsi="Times New Roman" w:cs="Times New Roman"/>
          <w:sz w:val="24"/>
          <w:szCs w:val="24"/>
        </w:rPr>
        <w:t xml:space="preserve">Africa holds about 17,221 </w:t>
      </w:r>
      <w:proofErr w:type="spellStart"/>
      <w:r w:rsidRPr="00546232">
        <w:rPr>
          <w:rFonts w:ascii="Times New Roman" w:hAnsi="Times New Roman" w:cs="Times New Roman"/>
          <w:sz w:val="24"/>
          <w:szCs w:val="24"/>
        </w:rPr>
        <w:t>bcm</w:t>
      </w:r>
      <w:proofErr w:type="spellEnd"/>
      <w:r w:rsidRPr="00546232">
        <w:rPr>
          <w:rFonts w:ascii="Times New Roman" w:hAnsi="Times New Roman" w:cs="Times New Roman"/>
          <w:sz w:val="24"/>
          <w:szCs w:val="24"/>
        </w:rPr>
        <w:t xml:space="preserve"> of proven gas reserves (~8% of the world total), led by Nigeria, Algeria and Mozambique. In 2024 the continent exported 37.98 Mt of LNG</w:t>
      </w:r>
      <w:r w:rsidR="00546232">
        <w:rPr>
          <w:rFonts w:ascii="Times New Roman" w:hAnsi="Times New Roman" w:cs="Times New Roman"/>
          <w:sz w:val="24"/>
          <w:szCs w:val="24"/>
        </w:rPr>
        <w:t xml:space="preserve"> </w:t>
      </w:r>
      <w:r w:rsidRPr="00546232">
        <w:rPr>
          <w:rFonts w:ascii="Times New Roman" w:hAnsi="Times New Roman" w:cs="Times New Roman"/>
          <w:sz w:val="24"/>
          <w:szCs w:val="24"/>
        </w:rPr>
        <w:t>about 9.2% of global LNG trade</w:t>
      </w:r>
      <w:r w:rsidR="00546232">
        <w:rPr>
          <w:rFonts w:ascii="Times New Roman" w:hAnsi="Times New Roman" w:cs="Times New Roman"/>
          <w:sz w:val="24"/>
          <w:szCs w:val="24"/>
        </w:rPr>
        <w:t xml:space="preserve"> </w:t>
      </w:r>
      <w:r w:rsidRPr="00546232">
        <w:rPr>
          <w:rFonts w:ascii="Times New Roman" w:hAnsi="Times New Roman" w:cs="Times New Roman"/>
          <w:sz w:val="24"/>
          <w:szCs w:val="24"/>
        </w:rPr>
        <w:t>rising to 39.77 Mt in 2025 after Mauritania/Senegal entered the market.</w:t>
      </w:r>
    </w:p>
    <w:p w14:paraId="5E9A98D3" w14:textId="026FCB9E" w:rsidR="00C20F6D" w:rsidRPr="00546232" w:rsidRDefault="00000000" w:rsidP="00546232">
      <w:pPr>
        <w:ind w:firstLine="90"/>
        <w:jc w:val="both"/>
        <w:rPr>
          <w:rFonts w:ascii="Times New Roman" w:hAnsi="Times New Roman" w:cs="Times New Roman"/>
          <w:sz w:val="24"/>
          <w:szCs w:val="24"/>
        </w:rPr>
      </w:pPr>
      <w:r w:rsidRPr="00546232">
        <w:rPr>
          <w:rFonts w:ascii="Times New Roman" w:hAnsi="Times New Roman" w:cs="Times New Roman"/>
          <w:sz w:val="24"/>
          <w:szCs w:val="24"/>
        </w:rPr>
        <w:t>Africa’s LNG geography is splitting into three groups. First are incumbent exporters with operating infrastructure</w:t>
      </w:r>
      <w:r w:rsidR="00546232">
        <w:rPr>
          <w:rFonts w:ascii="Times New Roman" w:hAnsi="Times New Roman" w:cs="Times New Roman"/>
          <w:sz w:val="24"/>
          <w:szCs w:val="24"/>
        </w:rPr>
        <w:t xml:space="preserve"> </w:t>
      </w:r>
      <w:r w:rsidRPr="00546232">
        <w:rPr>
          <w:rFonts w:ascii="Times New Roman" w:hAnsi="Times New Roman" w:cs="Times New Roman"/>
          <w:sz w:val="24"/>
          <w:szCs w:val="24"/>
        </w:rPr>
        <w:t>Nigeria, Algeria, Angola, Egypt, Equatorial Guinea, Cameroon, Mozambique and Congo. Second are new entrants, notably Mauritania/Senegal through GTA. Third are high-potential but delayed projects such as Tanzania and Mozambique’s larger onshore trains. Europe’s gas market is changing structurally, not disappearing: the IEA sees OECD Europe gas demand down about 10% by 2030 in the base case, yet Shell still expects Europe to require LNG into the 2030s because renewable buildout is not fully eliminating the need for flexible molecules.</w:t>
      </w:r>
      <w:r w:rsidR="00546232">
        <w:rPr>
          <w:rFonts w:ascii="Times New Roman" w:hAnsi="Times New Roman" w:cs="Times New Roman"/>
          <w:sz w:val="24"/>
          <w:szCs w:val="24"/>
        </w:rPr>
        <w:t xml:space="preserve"> </w:t>
      </w:r>
      <w:r w:rsidRPr="00546232">
        <w:rPr>
          <w:rFonts w:ascii="Times New Roman" w:hAnsi="Times New Roman" w:cs="Times New Roman"/>
          <w:sz w:val="24"/>
          <w:szCs w:val="24"/>
        </w:rPr>
        <w:t>Asia remains the core growth engine, with China driving about a quarter of global gas demand growth to 2030 and India’s gas consumption expected to rise ~40% from 2024 to 2030.</w:t>
      </w:r>
    </w:p>
    <w:p w14:paraId="6BE5B369" w14:textId="10733FDD" w:rsidR="00C20F6D" w:rsidRPr="00546232" w:rsidRDefault="00000000" w:rsidP="00546232">
      <w:pPr>
        <w:jc w:val="both"/>
        <w:rPr>
          <w:rFonts w:ascii="Times New Roman" w:hAnsi="Times New Roman" w:cs="Times New Roman"/>
          <w:sz w:val="24"/>
          <w:szCs w:val="24"/>
        </w:rPr>
      </w:pPr>
      <w:r w:rsidRPr="00546232">
        <w:rPr>
          <w:rFonts w:ascii="Times New Roman" w:hAnsi="Times New Roman" w:cs="Times New Roman"/>
          <w:sz w:val="24"/>
          <w:szCs w:val="24"/>
        </w:rPr>
        <w:t>Africa’s competitive field is broadening, but only Mozambique has the reserve depth and project pipeline to challenge Nigeria at scale by the 2030s; Mauritania/Senegal and Tanzania matter more as margin competitors than immediate leaders.</w:t>
      </w:r>
    </w:p>
    <w:p w14:paraId="6620BE66" w14:textId="77777777" w:rsidR="00C20F6D" w:rsidRPr="00546232" w:rsidRDefault="00000000" w:rsidP="00546232">
      <w:pPr>
        <w:ind w:firstLine="90"/>
        <w:jc w:val="both"/>
        <w:rPr>
          <w:rFonts w:ascii="Times New Roman" w:hAnsi="Times New Roman" w:cs="Times New Roman"/>
          <w:b/>
          <w:bCs/>
          <w:sz w:val="24"/>
          <w:szCs w:val="24"/>
        </w:rPr>
      </w:pPr>
      <w:r w:rsidRPr="00546232">
        <w:rPr>
          <w:rFonts w:ascii="Times New Roman" w:hAnsi="Times New Roman" w:cs="Times New Roman"/>
          <w:b/>
          <w:bCs/>
          <w:sz w:val="24"/>
          <w:szCs w:val="24"/>
        </w:rPr>
        <w:t>2. Nigeria’s LNG Position</w:t>
      </w:r>
    </w:p>
    <w:p w14:paraId="306350D9" w14:textId="6AF382CA" w:rsidR="00C20F6D" w:rsidRPr="00546232" w:rsidRDefault="00000000" w:rsidP="00546232">
      <w:pPr>
        <w:jc w:val="both"/>
        <w:rPr>
          <w:rFonts w:ascii="Times New Roman" w:hAnsi="Times New Roman" w:cs="Times New Roman"/>
          <w:sz w:val="24"/>
          <w:szCs w:val="24"/>
        </w:rPr>
      </w:pPr>
      <w:r w:rsidRPr="00546232">
        <w:rPr>
          <w:rFonts w:ascii="Times New Roman" w:hAnsi="Times New Roman" w:cs="Times New Roman"/>
          <w:sz w:val="24"/>
          <w:szCs w:val="24"/>
        </w:rPr>
        <w:t xml:space="preserve">Nigeria’s comparative advantage remains formidable on paper: 211.1 </w:t>
      </w:r>
      <w:proofErr w:type="spellStart"/>
      <w:r w:rsidRPr="00546232">
        <w:rPr>
          <w:rFonts w:ascii="Times New Roman" w:hAnsi="Times New Roman" w:cs="Times New Roman"/>
          <w:sz w:val="24"/>
          <w:szCs w:val="24"/>
        </w:rPr>
        <w:t>Tcf</w:t>
      </w:r>
      <w:proofErr w:type="spellEnd"/>
      <w:r w:rsidRPr="00546232">
        <w:rPr>
          <w:rFonts w:ascii="Times New Roman" w:hAnsi="Times New Roman" w:cs="Times New Roman"/>
          <w:sz w:val="24"/>
          <w:szCs w:val="24"/>
        </w:rPr>
        <w:t xml:space="preserve"> of proved gas reserves, six operating trains at Bonny Island, and Train 7 under construction to lift capacity from 22.2 </w:t>
      </w:r>
      <w:proofErr w:type="spellStart"/>
      <w:r w:rsidRPr="00546232">
        <w:rPr>
          <w:rFonts w:ascii="Times New Roman" w:hAnsi="Times New Roman" w:cs="Times New Roman"/>
          <w:sz w:val="24"/>
          <w:szCs w:val="24"/>
        </w:rPr>
        <w:t>mtpa</w:t>
      </w:r>
      <w:proofErr w:type="spellEnd"/>
      <w:r w:rsidRPr="00546232">
        <w:rPr>
          <w:rFonts w:ascii="Times New Roman" w:hAnsi="Times New Roman" w:cs="Times New Roman"/>
          <w:sz w:val="24"/>
          <w:szCs w:val="24"/>
        </w:rPr>
        <w:t xml:space="preserve"> to 30 </w:t>
      </w:r>
      <w:proofErr w:type="spellStart"/>
      <w:r w:rsidRPr="00546232">
        <w:rPr>
          <w:rFonts w:ascii="Times New Roman" w:hAnsi="Times New Roman" w:cs="Times New Roman"/>
          <w:sz w:val="24"/>
          <w:szCs w:val="24"/>
        </w:rPr>
        <w:t>mtpa</w:t>
      </w:r>
      <w:proofErr w:type="spellEnd"/>
      <w:r w:rsidRPr="00546232">
        <w:rPr>
          <w:rFonts w:ascii="Times New Roman" w:hAnsi="Times New Roman" w:cs="Times New Roman"/>
          <w:sz w:val="24"/>
          <w:szCs w:val="24"/>
        </w:rPr>
        <w:t>. NLNG has contributed over $44 billion in dividends since inception, with roughly 49% accruing to the federal government through NNPC, and paid around $1.2 billion in corporate and tertiary education taxes in 2023. NLNG also estimates it contributes around 1% of rebased GDP and supplies about 40% of domestic LPG demand. In market terms, Nigeria enjoys rare two-basin flexibility: NNPC argues the country is roughly 10 sailing days from Europe while remaining commercially relevant to Asia, a structural logistics advantage over more distant Atlantic suppliers.</w:t>
      </w:r>
    </w:p>
    <w:p w14:paraId="12478E3E" w14:textId="77777777" w:rsidR="00D35B12" w:rsidRDefault="00000000" w:rsidP="00D35B12">
      <w:pPr>
        <w:ind w:firstLine="90"/>
        <w:jc w:val="both"/>
        <w:rPr>
          <w:rFonts w:ascii="Times New Roman" w:hAnsi="Times New Roman" w:cs="Times New Roman"/>
          <w:sz w:val="24"/>
          <w:szCs w:val="24"/>
        </w:rPr>
      </w:pPr>
      <w:r w:rsidRPr="00546232">
        <w:rPr>
          <w:rFonts w:ascii="Times New Roman" w:hAnsi="Times New Roman" w:cs="Times New Roman"/>
          <w:sz w:val="24"/>
          <w:szCs w:val="24"/>
        </w:rPr>
        <w:lastRenderedPageBreak/>
        <w:t>But the underperformance is plain. EIA estimates Nigeria exported about 650 Bcf of natural gas in 2024, down from its 2014-2023 average, while the World Bank reports a 12% rise in flaring in 2024</w:t>
      </w:r>
      <w:r w:rsidR="00546232">
        <w:rPr>
          <w:rFonts w:ascii="Times New Roman" w:hAnsi="Times New Roman" w:cs="Times New Roman"/>
          <w:sz w:val="24"/>
          <w:szCs w:val="24"/>
        </w:rPr>
        <w:t xml:space="preserve"> </w:t>
      </w:r>
      <w:r w:rsidRPr="00546232">
        <w:rPr>
          <w:rFonts w:ascii="Times New Roman" w:hAnsi="Times New Roman" w:cs="Times New Roman"/>
          <w:sz w:val="24"/>
          <w:szCs w:val="24"/>
        </w:rPr>
        <w:t xml:space="preserve">evidence that gas capture and </w:t>
      </w:r>
      <w:r w:rsidR="00546232" w:rsidRPr="00546232">
        <w:rPr>
          <w:rFonts w:ascii="Times New Roman" w:hAnsi="Times New Roman" w:cs="Times New Roman"/>
          <w:sz w:val="24"/>
          <w:szCs w:val="24"/>
        </w:rPr>
        <w:t>monetization</w:t>
      </w:r>
      <w:r w:rsidRPr="00546232">
        <w:rPr>
          <w:rFonts w:ascii="Times New Roman" w:hAnsi="Times New Roman" w:cs="Times New Roman"/>
          <w:sz w:val="24"/>
          <w:szCs w:val="24"/>
        </w:rPr>
        <w:t xml:space="preserve"> infrastructure is still inadequate. In response, NLNG signed 20-year gas supply agreements in 2025 for 1.29 </w:t>
      </w:r>
      <w:proofErr w:type="spellStart"/>
      <w:r w:rsidRPr="00546232">
        <w:rPr>
          <w:rFonts w:ascii="Times New Roman" w:hAnsi="Times New Roman" w:cs="Times New Roman"/>
          <w:sz w:val="24"/>
          <w:szCs w:val="24"/>
        </w:rPr>
        <w:t>bscf</w:t>
      </w:r>
      <w:proofErr w:type="spellEnd"/>
      <w:r w:rsidRPr="00546232">
        <w:rPr>
          <w:rFonts w:ascii="Times New Roman" w:hAnsi="Times New Roman" w:cs="Times New Roman"/>
          <w:sz w:val="24"/>
          <w:szCs w:val="24"/>
        </w:rPr>
        <w:t>/d to support existing trains and Train 7, explicitly to address persistent supply disruptions and source diversification after IOC onshore divestments.</w:t>
      </w:r>
    </w:p>
    <w:p w14:paraId="34E7C1F2" w14:textId="0BDB0F40" w:rsidR="00C20F6D" w:rsidRPr="00546232" w:rsidRDefault="00000000" w:rsidP="00D35B12">
      <w:pPr>
        <w:jc w:val="both"/>
        <w:rPr>
          <w:rFonts w:ascii="Times New Roman" w:hAnsi="Times New Roman" w:cs="Times New Roman"/>
          <w:sz w:val="24"/>
          <w:szCs w:val="24"/>
        </w:rPr>
      </w:pPr>
      <w:r w:rsidRPr="00546232">
        <w:rPr>
          <w:rFonts w:ascii="Times New Roman" w:hAnsi="Times New Roman" w:cs="Times New Roman"/>
          <w:sz w:val="24"/>
          <w:szCs w:val="24"/>
        </w:rPr>
        <w:t xml:space="preserve">Nigeria’s leadership is real, but fragile. Without converting reserves into secure, low-loss </w:t>
      </w:r>
      <w:proofErr w:type="spellStart"/>
      <w:r w:rsidRPr="00546232">
        <w:rPr>
          <w:rFonts w:ascii="Times New Roman" w:hAnsi="Times New Roman" w:cs="Times New Roman"/>
          <w:sz w:val="24"/>
          <w:szCs w:val="24"/>
        </w:rPr>
        <w:t>feedgas</w:t>
      </w:r>
      <w:proofErr w:type="spellEnd"/>
      <w:r w:rsidRPr="00546232">
        <w:rPr>
          <w:rFonts w:ascii="Times New Roman" w:hAnsi="Times New Roman" w:cs="Times New Roman"/>
          <w:sz w:val="24"/>
          <w:szCs w:val="24"/>
        </w:rPr>
        <w:t>, Nigeria’s LNG sector risks acting like a partially stranded giant</w:t>
      </w:r>
      <w:r w:rsidR="00D35B12">
        <w:rPr>
          <w:rFonts w:ascii="Times New Roman" w:hAnsi="Times New Roman" w:cs="Times New Roman"/>
          <w:sz w:val="24"/>
          <w:szCs w:val="24"/>
        </w:rPr>
        <w:t xml:space="preserve"> </w:t>
      </w:r>
      <w:r w:rsidRPr="00546232">
        <w:rPr>
          <w:rFonts w:ascii="Times New Roman" w:hAnsi="Times New Roman" w:cs="Times New Roman"/>
          <w:sz w:val="24"/>
          <w:szCs w:val="24"/>
        </w:rPr>
        <w:t>large in capacity, inconsistent in execution and vulnerable to more nimble competitors.</w:t>
      </w:r>
    </w:p>
    <w:p w14:paraId="3A0824BA" w14:textId="77777777" w:rsidR="00C20F6D" w:rsidRPr="00D35B12" w:rsidRDefault="00000000" w:rsidP="00546232">
      <w:pPr>
        <w:ind w:firstLine="90"/>
        <w:jc w:val="both"/>
        <w:rPr>
          <w:rFonts w:ascii="Times New Roman" w:hAnsi="Times New Roman" w:cs="Times New Roman"/>
          <w:b/>
          <w:bCs/>
          <w:sz w:val="24"/>
          <w:szCs w:val="24"/>
        </w:rPr>
      </w:pPr>
      <w:r w:rsidRPr="00D35B12">
        <w:rPr>
          <w:rFonts w:ascii="Times New Roman" w:hAnsi="Times New Roman" w:cs="Times New Roman"/>
          <w:b/>
          <w:bCs/>
          <w:sz w:val="24"/>
          <w:szCs w:val="24"/>
        </w:rPr>
        <w:t>3. Competitive Intelligence Assessment</w:t>
      </w:r>
    </w:p>
    <w:p w14:paraId="6575B5CE" w14:textId="77777777" w:rsidR="00C20F6D" w:rsidRPr="00546232" w:rsidRDefault="00000000" w:rsidP="00546232">
      <w:pPr>
        <w:ind w:firstLine="90"/>
        <w:jc w:val="both"/>
        <w:rPr>
          <w:rFonts w:ascii="Times New Roman" w:hAnsi="Times New Roman" w:cs="Times New Roman"/>
          <w:sz w:val="24"/>
          <w:szCs w:val="24"/>
        </w:rPr>
      </w:pPr>
      <w:r w:rsidRPr="00546232">
        <w:rPr>
          <w:rFonts w:ascii="Times New Roman" w:hAnsi="Times New Roman" w:cs="Times New Roman"/>
          <w:noProof/>
          <w:sz w:val="24"/>
          <w:szCs w:val="24"/>
        </w:rPr>
        <w:drawing>
          <wp:inline distT="0" distB="0" distL="0" distR="0" wp14:anchorId="25432F2F" wp14:editId="0D5CAEDB">
            <wp:extent cx="4514850" cy="3362790"/>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_radar.png"/>
                    <pic:cNvPicPr/>
                  </pic:nvPicPr>
                  <pic:blipFill rotWithShape="1">
                    <a:blip r:embed="rId7"/>
                    <a:srcRect r="32624" b="3666"/>
                    <a:stretch>
                      <a:fillRect/>
                    </a:stretch>
                  </pic:blipFill>
                  <pic:spPr bwMode="auto">
                    <a:xfrm>
                      <a:off x="0" y="0"/>
                      <a:ext cx="4520781" cy="3367208"/>
                    </a:xfrm>
                    <a:prstGeom prst="rect">
                      <a:avLst/>
                    </a:prstGeom>
                    <a:ln>
                      <a:noFill/>
                    </a:ln>
                    <a:extLst>
                      <a:ext uri="{53640926-AAD7-44D8-BBD7-CCE9431645EC}">
                        <a14:shadowObscured xmlns:a14="http://schemas.microsoft.com/office/drawing/2010/main"/>
                      </a:ext>
                    </a:extLst>
                  </pic:spPr>
                </pic:pic>
              </a:graphicData>
            </a:graphic>
          </wp:inline>
        </w:drawing>
      </w:r>
    </w:p>
    <w:p w14:paraId="6FCC8F8D" w14:textId="0291EC8D" w:rsidR="00C20F6D" w:rsidRPr="00546232" w:rsidRDefault="00000000" w:rsidP="00546232">
      <w:pPr>
        <w:ind w:firstLine="90"/>
        <w:jc w:val="both"/>
        <w:rPr>
          <w:rFonts w:ascii="Times New Roman" w:hAnsi="Times New Roman" w:cs="Times New Roman"/>
          <w:sz w:val="24"/>
          <w:szCs w:val="24"/>
        </w:rPr>
      </w:pPr>
      <w:r w:rsidRPr="00546232">
        <w:rPr>
          <w:rFonts w:ascii="Times New Roman" w:hAnsi="Times New Roman" w:cs="Times New Roman"/>
          <w:sz w:val="24"/>
          <w:szCs w:val="24"/>
        </w:rPr>
        <w:t>Nigeria scores highest on reserves, operating capacity and installed infrastructure. The weakest relative dimensions are security and ESG. Mozambique’s strategic threat is long-cycle but real; Senegal/Mauritania score well on momentum from a smaller base</w:t>
      </w:r>
      <w:r w:rsidR="00D35B12">
        <w:rPr>
          <w:rFonts w:ascii="Times New Roman" w:hAnsi="Times New Roman" w:cs="Times New Roman"/>
          <w:sz w:val="24"/>
          <w:szCs w:val="24"/>
        </w:rPr>
        <w:t>.</w:t>
      </w:r>
    </w:p>
    <w:p w14:paraId="15AC0DC2" w14:textId="77777777" w:rsidR="00C20F6D" w:rsidRPr="00D35B12" w:rsidRDefault="00000000" w:rsidP="00546232">
      <w:pPr>
        <w:ind w:firstLine="90"/>
        <w:jc w:val="both"/>
        <w:rPr>
          <w:rFonts w:ascii="Times New Roman" w:hAnsi="Times New Roman" w:cs="Times New Roman"/>
          <w:b/>
          <w:bCs/>
          <w:sz w:val="24"/>
          <w:szCs w:val="24"/>
        </w:rPr>
      </w:pPr>
      <w:r w:rsidRPr="00D35B12">
        <w:rPr>
          <w:rFonts w:ascii="Times New Roman" w:hAnsi="Times New Roman" w:cs="Times New Roman"/>
          <w:b/>
          <w:bCs/>
          <w:sz w:val="24"/>
          <w:szCs w:val="24"/>
        </w:rPr>
        <w:t>Competitive Intelligence Matrix</w:t>
      </w:r>
    </w:p>
    <w:tbl>
      <w:tblPr>
        <w:tblStyle w:val="TableGrid"/>
        <w:tblW w:w="0" w:type="auto"/>
        <w:tblLook w:val="04A0" w:firstRow="1" w:lastRow="0" w:firstColumn="1" w:lastColumn="0" w:noHBand="0" w:noVBand="1"/>
      </w:tblPr>
      <w:tblGrid>
        <w:gridCol w:w="2268"/>
        <w:gridCol w:w="1260"/>
        <w:gridCol w:w="1701"/>
        <w:gridCol w:w="1089"/>
        <w:gridCol w:w="2160"/>
        <w:gridCol w:w="1818"/>
      </w:tblGrid>
      <w:tr w:rsidR="00C20F6D" w:rsidRPr="00546232" w14:paraId="47DE2FB4" w14:textId="77777777" w:rsidTr="00D35B12">
        <w:tc>
          <w:tcPr>
            <w:tcW w:w="2268" w:type="dxa"/>
          </w:tcPr>
          <w:p w14:paraId="049896EF" w14:textId="77777777" w:rsidR="00C20F6D" w:rsidRPr="00546232" w:rsidRDefault="00000000" w:rsidP="00D35B12">
            <w:pPr>
              <w:spacing w:line="276" w:lineRule="auto"/>
              <w:ind w:firstLine="90"/>
              <w:rPr>
                <w:rFonts w:ascii="Times New Roman" w:hAnsi="Times New Roman" w:cs="Times New Roman"/>
                <w:sz w:val="24"/>
                <w:szCs w:val="24"/>
              </w:rPr>
            </w:pPr>
            <w:r w:rsidRPr="00546232">
              <w:rPr>
                <w:rFonts w:ascii="Times New Roman" w:hAnsi="Times New Roman" w:cs="Times New Roman"/>
                <w:sz w:val="24"/>
                <w:szCs w:val="24"/>
              </w:rPr>
              <w:t>Market</w:t>
            </w:r>
          </w:p>
        </w:tc>
        <w:tc>
          <w:tcPr>
            <w:tcW w:w="1260" w:type="dxa"/>
          </w:tcPr>
          <w:p w14:paraId="6CE2FEED" w14:textId="77777777" w:rsidR="00C20F6D" w:rsidRPr="00546232" w:rsidRDefault="00000000" w:rsidP="00D35B12">
            <w:pPr>
              <w:spacing w:line="276" w:lineRule="auto"/>
              <w:ind w:firstLine="90"/>
              <w:rPr>
                <w:rFonts w:ascii="Times New Roman" w:hAnsi="Times New Roman" w:cs="Times New Roman"/>
                <w:sz w:val="24"/>
                <w:szCs w:val="24"/>
              </w:rPr>
            </w:pPr>
            <w:r w:rsidRPr="00546232">
              <w:rPr>
                <w:rFonts w:ascii="Times New Roman" w:hAnsi="Times New Roman" w:cs="Times New Roman"/>
                <w:sz w:val="24"/>
                <w:szCs w:val="24"/>
              </w:rPr>
              <w:t>Reserves (</w:t>
            </w:r>
            <w:proofErr w:type="spellStart"/>
            <w:r w:rsidRPr="00546232">
              <w:rPr>
                <w:rFonts w:ascii="Times New Roman" w:hAnsi="Times New Roman" w:cs="Times New Roman"/>
                <w:sz w:val="24"/>
                <w:szCs w:val="24"/>
              </w:rPr>
              <w:t>Tcf</w:t>
            </w:r>
            <w:proofErr w:type="spellEnd"/>
            <w:r w:rsidRPr="00546232">
              <w:rPr>
                <w:rFonts w:ascii="Times New Roman" w:hAnsi="Times New Roman" w:cs="Times New Roman"/>
                <w:sz w:val="24"/>
                <w:szCs w:val="24"/>
              </w:rPr>
              <w:t>)</w:t>
            </w:r>
          </w:p>
        </w:tc>
        <w:tc>
          <w:tcPr>
            <w:tcW w:w="1701" w:type="dxa"/>
          </w:tcPr>
          <w:p w14:paraId="5B5ABB76" w14:textId="77777777" w:rsidR="00C20F6D" w:rsidRPr="00546232" w:rsidRDefault="00000000" w:rsidP="00D35B12">
            <w:pPr>
              <w:spacing w:line="276" w:lineRule="auto"/>
              <w:ind w:firstLine="90"/>
              <w:rPr>
                <w:rFonts w:ascii="Times New Roman" w:hAnsi="Times New Roman" w:cs="Times New Roman"/>
                <w:sz w:val="24"/>
                <w:szCs w:val="24"/>
              </w:rPr>
            </w:pPr>
            <w:r w:rsidRPr="00546232">
              <w:rPr>
                <w:rFonts w:ascii="Times New Roman" w:hAnsi="Times New Roman" w:cs="Times New Roman"/>
                <w:sz w:val="24"/>
                <w:szCs w:val="24"/>
              </w:rPr>
              <w:t>2025 cap./exports</w:t>
            </w:r>
          </w:p>
        </w:tc>
        <w:tc>
          <w:tcPr>
            <w:tcW w:w="1089" w:type="dxa"/>
          </w:tcPr>
          <w:p w14:paraId="42D69753" w14:textId="77777777" w:rsidR="00C20F6D" w:rsidRPr="00546232" w:rsidRDefault="00000000" w:rsidP="00D35B12">
            <w:pPr>
              <w:spacing w:line="276" w:lineRule="auto"/>
              <w:ind w:firstLine="90"/>
              <w:rPr>
                <w:rFonts w:ascii="Times New Roman" w:hAnsi="Times New Roman" w:cs="Times New Roman"/>
                <w:sz w:val="24"/>
                <w:szCs w:val="24"/>
              </w:rPr>
            </w:pPr>
            <w:r w:rsidRPr="00546232">
              <w:rPr>
                <w:rFonts w:ascii="Times New Roman" w:hAnsi="Times New Roman" w:cs="Times New Roman"/>
                <w:sz w:val="24"/>
                <w:szCs w:val="24"/>
              </w:rPr>
              <w:t>2030 pipeline</w:t>
            </w:r>
          </w:p>
        </w:tc>
        <w:tc>
          <w:tcPr>
            <w:tcW w:w="2160" w:type="dxa"/>
          </w:tcPr>
          <w:p w14:paraId="3D7835DA" w14:textId="77777777" w:rsidR="00C20F6D" w:rsidRPr="00546232" w:rsidRDefault="00000000" w:rsidP="00D35B12">
            <w:pPr>
              <w:spacing w:line="276" w:lineRule="auto"/>
              <w:ind w:firstLine="90"/>
              <w:rPr>
                <w:rFonts w:ascii="Times New Roman" w:hAnsi="Times New Roman" w:cs="Times New Roman"/>
                <w:sz w:val="24"/>
                <w:szCs w:val="24"/>
              </w:rPr>
            </w:pPr>
            <w:r w:rsidRPr="00546232">
              <w:rPr>
                <w:rFonts w:ascii="Times New Roman" w:hAnsi="Times New Roman" w:cs="Times New Roman"/>
                <w:sz w:val="24"/>
                <w:szCs w:val="24"/>
              </w:rPr>
              <w:t>Main constraint</w:t>
            </w:r>
          </w:p>
        </w:tc>
        <w:tc>
          <w:tcPr>
            <w:tcW w:w="1818" w:type="dxa"/>
          </w:tcPr>
          <w:p w14:paraId="47B6B8D9" w14:textId="77777777" w:rsidR="00C20F6D" w:rsidRPr="00546232" w:rsidRDefault="00000000" w:rsidP="00D35B12">
            <w:pPr>
              <w:spacing w:line="276" w:lineRule="auto"/>
              <w:ind w:firstLine="90"/>
              <w:rPr>
                <w:rFonts w:ascii="Times New Roman" w:hAnsi="Times New Roman" w:cs="Times New Roman"/>
                <w:sz w:val="24"/>
                <w:szCs w:val="24"/>
              </w:rPr>
            </w:pPr>
            <w:r w:rsidRPr="00546232">
              <w:rPr>
                <w:rFonts w:ascii="Times New Roman" w:hAnsi="Times New Roman" w:cs="Times New Roman"/>
                <w:sz w:val="24"/>
                <w:szCs w:val="24"/>
              </w:rPr>
              <w:t>Strategic read-through</w:t>
            </w:r>
          </w:p>
        </w:tc>
      </w:tr>
      <w:tr w:rsidR="00C20F6D" w:rsidRPr="00546232" w14:paraId="6F57EBAA" w14:textId="77777777" w:rsidTr="00D35B12">
        <w:tc>
          <w:tcPr>
            <w:tcW w:w="2268" w:type="dxa"/>
          </w:tcPr>
          <w:p w14:paraId="31D8E22F"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Nigeria</w:t>
            </w:r>
          </w:p>
        </w:tc>
        <w:tc>
          <w:tcPr>
            <w:tcW w:w="1260" w:type="dxa"/>
          </w:tcPr>
          <w:p w14:paraId="6869FE16"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211.1</w:t>
            </w:r>
          </w:p>
        </w:tc>
        <w:tc>
          <w:tcPr>
            <w:tcW w:w="1701" w:type="dxa"/>
          </w:tcPr>
          <w:p w14:paraId="45458A1A"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22.2 / 14.8</w:t>
            </w:r>
          </w:p>
        </w:tc>
        <w:tc>
          <w:tcPr>
            <w:tcW w:w="1089" w:type="dxa"/>
          </w:tcPr>
          <w:p w14:paraId="17CFE7CE"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8.0</w:t>
            </w:r>
          </w:p>
        </w:tc>
        <w:tc>
          <w:tcPr>
            <w:tcW w:w="2160" w:type="dxa"/>
          </w:tcPr>
          <w:p w14:paraId="1DFC93F1" w14:textId="77777777" w:rsidR="00C20F6D" w:rsidRPr="00546232" w:rsidRDefault="00000000" w:rsidP="00546232">
            <w:pPr>
              <w:spacing w:line="276" w:lineRule="auto"/>
              <w:ind w:firstLine="90"/>
              <w:jc w:val="both"/>
              <w:rPr>
                <w:rFonts w:ascii="Times New Roman" w:hAnsi="Times New Roman" w:cs="Times New Roman"/>
                <w:sz w:val="24"/>
                <w:szCs w:val="24"/>
              </w:rPr>
            </w:pPr>
            <w:proofErr w:type="spellStart"/>
            <w:r w:rsidRPr="00546232">
              <w:rPr>
                <w:rFonts w:ascii="Times New Roman" w:hAnsi="Times New Roman" w:cs="Times New Roman"/>
                <w:sz w:val="24"/>
                <w:szCs w:val="24"/>
              </w:rPr>
              <w:t>Feedgas</w:t>
            </w:r>
            <w:proofErr w:type="spellEnd"/>
            <w:r w:rsidRPr="00546232">
              <w:rPr>
                <w:rFonts w:ascii="Times New Roman" w:hAnsi="Times New Roman" w:cs="Times New Roman"/>
                <w:sz w:val="24"/>
                <w:szCs w:val="24"/>
              </w:rPr>
              <w:t>/security</w:t>
            </w:r>
          </w:p>
        </w:tc>
        <w:tc>
          <w:tcPr>
            <w:tcW w:w="1818" w:type="dxa"/>
          </w:tcPr>
          <w:p w14:paraId="7DC450AD" w14:textId="77777777" w:rsidR="00C20F6D" w:rsidRPr="00546232" w:rsidRDefault="00000000" w:rsidP="00D35B12">
            <w:pPr>
              <w:spacing w:line="276" w:lineRule="auto"/>
              <w:ind w:firstLine="90"/>
              <w:rPr>
                <w:rFonts w:ascii="Times New Roman" w:hAnsi="Times New Roman" w:cs="Times New Roman"/>
                <w:sz w:val="24"/>
                <w:szCs w:val="24"/>
              </w:rPr>
            </w:pPr>
            <w:r w:rsidRPr="00546232">
              <w:rPr>
                <w:rFonts w:ascii="Times New Roman" w:hAnsi="Times New Roman" w:cs="Times New Roman"/>
                <w:sz w:val="24"/>
                <w:szCs w:val="24"/>
              </w:rPr>
              <w:t>Leader if execution improves</w:t>
            </w:r>
          </w:p>
        </w:tc>
      </w:tr>
      <w:tr w:rsidR="00C20F6D" w:rsidRPr="00546232" w14:paraId="7C053F5F" w14:textId="77777777" w:rsidTr="00D35B12">
        <w:tc>
          <w:tcPr>
            <w:tcW w:w="2268" w:type="dxa"/>
          </w:tcPr>
          <w:p w14:paraId="1AF8CB7A"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Algeria</w:t>
            </w:r>
          </w:p>
        </w:tc>
        <w:tc>
          <w:tcPr>
            <w:tcW w:w="1260" w:type="dxa"/>
          </w:tcPr>
          <w:p w14:paraId="55A2BE64"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159.0</w:t>
            </w:r>
          </w:p>
        </w:tc>
        <w:tc>
          <w:tcPr>
            <w:tcW w:w="1701" w:type="dxa"/>
          </w:tcPr>
          <w:p w14:paraId="5F6EEF92"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25.5 / 9.7</w:t>
            </w:r>
          </w:p>
        </w:tc>
        <w:tc>
          <w:tcPr>
            <w:tcW w:w="1089" w:type="dxa"/>
          </w:tcPr>
          <w:p w14:paraId="3DE9ADCC"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w:t>
            </w:r>
          </w:p>
        </w:tc>
        <w:tc>
          <w:tcPr>
            <w:tcW w:w="2160" w:type="dxa"/>
          </w:tcPr>
          <w:p w14:paraId="48BD4B51"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 xml:space="preserve">Aging </w:t>
            </w:r>
            <w:proofErr w:type="spellStart"/>
            <w:r w:rsidRPr="00546232">
              <w:rPr>
                <w:rFonts w:ascii="Times New Roman" w:hAnsi="Times New Roman" w:cs="Times New Roman"/>
                <w:sz w:val="24"/>
                <w:szCs w:val="24"/>
              </w:rPr>
              <w:t>utilisation</w:t>
            </w:r>
            <w:proofErr w:type="spellEnd"/>
          </w:p>
        </w:tc>
        <w:tc>
          <w:tcPr>
            <w:tcW w:w="1818" w:type="dxa"/>
          </w:tcPr>
          <w:p w14:paraId="20FF44F5" w14:textId="77777777" w:rsidR="00C20F6D" w:rsidRPr="00546232" w:rsidRDefault="00000000" w:rsidP="00D35B12">
            <w:pPr>
              <w:spacing w:line="276" w:lineRule="auto"/>
              <w:ind w:firstLine="90"/>
              <w:rPr>
                <w:rFonts w:ascii="Times New Roman" w:hAnsi="Times New Roman" w:cs="Times New Roman"/>
                <w:sz w:val="24"/>
                <w:szCs w:val="24"/>
              </w:rPr>
            </w:pPr>
            <w:r w:rsidRPr="00546232">
              <w:rPr>
                <w:rFonts w:ascii="Times New Roman" w:hAnsi="Times New Roman" w:cs="Times New Roman"/>
                <w:sz w:val="24"/>
                <w:szCs w:val="24"/>
              </w:rPr>
              <w:t>Durable but mature incumbent</w:t>
            </w:r>
          </w:p>
        </w:tc>
      </w:tr>
      <w:tr w:rsidR="00C20F6D" w:rsidRPr="00546232" w14:paraId="122C462B" w14:textId="77777777" w:rsidTr="00D35B12">
        <w:tc>
          <w:tcPr>
            <w:tcW w:w="2268" w:type="dxa"/>
          </w:tcPr>
          <w:p w14:paraId="705D0D94"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Mozambique</w:t>
            </w:r>
          </w:p>
        </w:tc>
        <w:tc>
          <w:tcPr>
            <w:tcW w:w="1260" w:type="dxa"/>
          </w:tcPr>
          <w:p w14:paraId="3CDEE086"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100.3</w:t>
            </w:r>
          </w:p>
        </w:tc>
        <w:tc>
          <w:tcPr>
            <w:tcW w:w="1701" w:type="dxa"/>
          </w:tcPr>
          <w:p w14:paraId="4D5854F6"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3.4 / 3.7</w:t>
            </w:r>
          </w:p>
        </w:tc>
        <w:tc>
          <w:tcPr>
            <w:tcW w:w="1089" w:type="dxa"/>
          </w:tcPr>
          <w:p w14:paraId="50C04ADE"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30.9</w:t>
            </w:r>
          </w:p>
        </w:tc>
        <w:tc>
          <w:tcPr>
            <w:tcW w:w="2160" w:type="dxa"/>
          </w:tcPr>
          <w:p w14:paraId="7C04F6E5"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Security/financing</w:t>
            </w:r>
          </w:p>
        </w:tc>
        <w:tc>
          <w:tcPr>
            <w:tcW w:w="1818" w:type="dxa"/>
          </w:tcPr>
          <w:p w14:paraId="65809DA2" w14:textId="77777777" w:rsidR="00C20F6D" w:rsidRPr="00546232" w:rsidRDefault="00000000" w:rsidP="00D35B12">
            <w:pPr>
              <w:spacing w:line="276" w:lineRule="auto"/>
              <w:ind w:firstLine="90"/>
              <w:rPr>
                <w:rFonts w:ascii="Times New Roman" w:hAnsi="Times New Roman" w:cs="Times New Roman"/>
                <w:sz w:val="24"/>
                <w:szCs w:val="24"/>
              </w:rPr>
            </w:pPr>
            <w:r w:rsidRPr="00546232">
              <w:rPr>
                <w:rFonts w:ascii="Times New Roman" w:hAnsi="Times New Roman" w:cs="Times New Roman"/>
                <w:sz w:val="24"/>
                <w:szCs w:val="24"/>
              </w:rPr>
              <w:t>Main long-</w:t>
            </w:r>
            <w:r w:rsidRPr="00546232">
              <w:rPr>
                <w:rFonts w:ascii="Times New Roman" w:hAnsi="Times New Roman" w:cs="Times New Roman"/>
                <w:sz w:val="24"/>
                <w:szCs w:val="24"/>
              </w:rPr>
              <w:lastRenderedPageBreak/>
              <w:t>cycle challenger</w:t>
            </w:r>
          </w:p>
        </w:tc>
      </w:tr>
      <w:tr w:rsidR="00C20F6D" w:rsidRPr="00546232" w14:paraId="1531E6B5" w14:textId="77777777" w:rsidTr="00D35B12">
        <w:tc>
          <w:tcPr>
            <w:tcW w:w="2268" w:type="dxa"/>
          </w:tcPr>
          <w:p w14:paraId="478C8BD4"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lastRenderedPageBreak/>
              <w:t>Senegal/Mauritania</w:t>
            </w:r>
          </w:p>
        </w:tc>
        <w:tc>
          <w:tcPr>
            <w:tcW w:w="1260" w:type="dxa"/>
          </w:tcPr>
          <w:p w14:paraId="75DD244C"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15.0</w:t>
            </w:r>
          </w:p>
        </w:tc>
        <w:tc>
          <w:tcPr>
            <w:tcW w:w="1701" w:type="dxa"/>
          </w:tcPr>
          <w:p w14:paraId="3FC6611C"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2.5 / 1.2</w:t>
            </w:r>
          </w:p>
        </w:tc>
        <w:tc>
          <w:tcPr>
            <w:tcW w:w="1089" w:type="dxa"/>
          </w:tcPr>
          <w:p w14:paraId="38883F6C"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2.5</w:t>
            </w:r>
          </w:p>
        </w:tc>
        <w:tc>
          <w:tcPr>
            <w:tcW w:w="2160" w:type="dxa"/>
          </w:tcPr>
          <w:p w14:paraId="5DF5DA50"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Scale</w:t>
            </w:r>
          </w:p>
        </w:tc>
        <w:tc>
          <w:tcPr>
            <w:tcW w:w="1818" w:type="dxa"/>
          </w:tcPr>
          <w:p w14:paraId="3BC5253A" w14:textId="77777777" w:rsidR="00C20F6D" w:rsidRPr="00546232" w:rsidRDefault="00000000" w:rsidP="00D35B12">
            <w:pPr>
              <w:spacing w:line="276" w:lineRule="auto"/>
              <w:ind w:firstLine="90"/>
              <w:rPr>
                <w:rFonts w:ascii="Times New Roman" w:hAnsi="Times New Roman" w:cs="Times New Roman"/>
                <w:sz w:val="24"/>
                <w:szCs w:val="24"/>
              </w:rPr>
            </w:pPr>
            <w:r w:rsidRPr="00546232">
              <w:rPr>
                <w:rFonts w:ascii="Times New Roman" w:hAnsi="Times New Roman" w:cs="Times New Roman"/>
                <w:sz w:val="24"/>
                <w:szCs w:val="24"/>
              </w:rPr>
              <w:t>Meaningful niche competitor</w:t>
            </w:r>
          </w:p>
        </w:tc>
      </w:tr>
      <w:tr w:rsidR="00C20F6D" w:rsidRPr="00546232" w14:paraId="523EF3DC" w14:textId="77777777" w:rsidTr="00D35B12">
        <w:tc>
          <w:tcPr>
            <w:tcW w:w="2268" w:type="dxa"/>
          </w:tcPr>
          <w:p w14:paraId="366C6FEB"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Tanzania</w:t>
            </w:r>
          </w:p>
        </w:tc>
        <w:tc>
          <w:tcPr>
            <w:tcW w:w="1260" w:type="dxa"/>
          </w:tcPr>
          <w:p w14:paraId="790E4CC1"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47.1</w:t>
            </w:r>
          </w:p>
        </w:tc>
        <w:tc>
          <w:tcPr>
            <w:tcW w:w="1701" w:type="dxa"/>
          </w:tcPr>
          <w:p w14:paraId="34A385C5"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0.0 / 0.0</w:t>
            </w:r>
          </w:p>
        </w:tc>
        <w:tc>
          <w:tcPr>
            <w:tcW w:w="1089" w:type="dxa"/>
          </w:tcPr>
          <w:p w14:paraId="004FA193"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15.0</w:t>
            </w:r>
          </w:p>
        </w:tc>
        <w:tc>
          <w:tcPr>
            <w:tcW w:w="2160" w:type="dxa"/>
          </w:tcPr>
          <w:p w14:paraId="09F63110"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Legal/fiscal closure</w:t>
            </w:r>
          </w:p>
        </w:tc>
        <w:tc>
          <w:tcPr>
            <w:tcW w:w="1818" w:type="dxa"/>
          </w:tcPr>
          <w:p w14:paraId="44C4F02E" w14:textId="77777777" w:rsidR="00C20F6D" w:rsidRPr="00546232" w:rsidRDefault="00000000" w:rsidP="00D35B12">
            <w:pPr>
              <w:spacing w:line="276" w:lineRule="auto"/>
              <w:ind w:firstLine="90"/>
              <w:rPr>
                <w:rFonts w:ascii="Times New Roman" w:hAnsi="Times New Roman" w:cs="Times New Roman"/>
                <w:sz w:val="24"/>
                <w:szCs w:val="24"/>
              </w:rPr>
            </w:pPr>
            <w:r w:rsidRPr="00546232">
              <w:rPr>
                <w:rFonts w:ascii="Times New Roman" w:hAnsi="Times New Roman" w:cs="Times New Roman"/>
                <w:sz w:val="24"/>
                <w:szCs w:val="24"/>
              </w:rPr>
              <w:t>Option value, not yet a threat</w:t>
            </w:r>
          </w:p>
        </w:tc>
      </w:tr>
    </w:tbl>
    <w:p w14:paraId="10CF25ED" w14:textId="77777777" w:rsidR="00D35B12" w:rsidRDefault="00D35B12" w:rsidP="00D35B12">
      <w:pPr>
        <w:jc w:val="both"/>
        <w:rPr>
          <w:rFonts w:ascii="Times New Roman" w:hAnsi="Times New Roman" w:cs="Times New Roman"/>
          <w:sz w:val="24"/>
          <w:szCs w:val="24"/>
        </w:rPr>
      </w:pPr>
    </w:p>
    <w:p w14:paraId="541E23B3" w14:textId="65214463" w:rsidR="00C20F6D" w:rsidRPr="00546232" w:rsidRDefault="00000000" w:rsidP="00D35B12">
      <w:pPr>
        <w:jc w:val="both"/>
        <w:rPr>
          <w:rFonts w:ascii="Times New Roman" w:hAnsi="Times New Roman" w:cs="Times New Roman"/>
          <w:sz w:val="24"/>
          <w:szCs w:val="24"/>
        </w:rPr>
      </w:pPr>
      <w:r w:rsidRPr="00546232">
        <w:rPr>
          <w:rFonts w:ascii="Times New Roman" w:hAnsi="Times New Roman" w:cs="Times New Roman"/>
          <w:sz w:val="24"/>
          <w:szCs w:val="24"/>
        </w:rPr>
        <w:t>Nigeria’s biggest challenger is not Algeria, which is an established but maturing exporter, nor Senegal/Mauritania, which remains small even after first cargoes. The credible strategic challenger is Mozambique: if security improves and both Area 1 and Rovuma move, Mozambique’s sanctioned/potential export system could exceed Nigeria’s current operating scale in the next decade. Tanzania is strategically important because its long delay does not remove its option value; if it closes its legal and fiscal framework, it could emerge as a large new East African supplier in the early 2030s.</w:t>
      </w:r>
    </w:p>
    <w:p w14:paraId="234C6FA2" w14:textId="1FB38E31" w:rsidR="00C20F6D" w:rsidRPr="00546232" w:rsidRDefault="00000000" w:rsidP="00D35B12">
      <w:pPr>
        <w:jc w:val="both"/>
        <w:rPr>
          <w:rFonts w:ascii="Times New Roman" w:hAnsi="Times New Roman" w:cs="Times New Roman"/>
          <w:sz w:val="24"/>
          <w:szCs w:val="24"/>
        </w:rPr>
      </w:pPr>
      <w:r w:rsidRPr="00546232">
        <w:rPr>
          <w:rFonts w:ascii="Times New Roman" w:hAnsi="Times New Roman" w:cs="Times New Roman"/>
          <w:sz w:val="24"/>
          <w:szCs w:val="24"/>
        </w:rPr>
        <w:t xml:space="preserve">Nigeria still has the strongest all-around position in Africa, but Mozambique has the strongest medium-term upside and therefore represents the principal threat to Nigeria’s 2030s leadership, especially if Nigeria fails to lift </w:t>
      </w:r>
      <w:r w:rsidR="00D35B12" w:rsidRPr="00546232">
        <w:rPr>
          <w:rFonts w:ascii="Times New Roman" w:hAnsi="Times New Roman" w:cs="Times New Roman"/>
          <w:sz w:val="24"/>
          <w:szCs w:val="24"/>
        </w:rPr>
        <w:t>utilization</w:t>
      </w:r>
      <w:r w:rsidRPr="00546232">
        <w:rPr>
          <w:rFonts w:ascii="Times New Roman" w:hAnsi="Times New Roman" w:cs="Times New Roman"/>
          <w:sz w:val="24"/>
          <w:szCs w:val="24"/>
        </w:rPr>
        <w:t xml:space="preserve"> before Train 7 comes online.</w:t>
      </w:r>
    </w:p>
    <w:p w14:paraId="46635904" w14:textId="77777777" w:rsidR="00C20F6D" w:rsidRPr="00D35B12" w:rsidRDefault="00000000" w:rsidP="00546232">
      <w:pPr>
        <w:ind w:firstLine="90"/>
        <w:jc w:val="both"/>
        <w:rPr>
          <w:rFonts w:ascii="Times New Roman" w:hAnsi="Times New Roman" w:cs="Times New Roman"/>
          <w:b/>
          <w:bCs/>
          <w:sz w:val="24"/>
          <w:szCs w:val="24"/>
        </w:rPr>
      </w:pPr>
      <w:r w:rsidRPr="00D35B12">
        <w:rPr>
          <w:rFonts w:ascii="Times New Roman" w:hAnsi="Times New Roman" w:cs="Times New Roman"/>
          <w:b/>
          <w:bCs/>
          <w:sz w:val="24"/>
          <w:szCs w:val="24"/>
        </w:rPr>
        <w:t>4. Strategic Risks</w:t>
      </w:r>
    </w:p>
    <w:p w14:paraId="6C5ACD03" w14:textId="77777777" w:rsidR="00C20F6D" w:rsidRPr="00546232" w:rsidRDefault="00000000" w:rsidP="00546232">
      <w:pPr>
        <w:ind w:firstLine="90"/>
        <w:jc w:val="both"/>
        <w:rPr>
          <w:rFonts w:ascii="Times New Roman" w:hAnsi="Times New Roman" w:cs="Times New Roman"/>
          <w:sz w:val="24"/>
          <w:szCs w:val="24"/>
        </w:rPr>
      </w:pPr>
      <w:r w:rsidRPr="00546232">
        <w:rPr>
          <w:rFonts w:ascii="Times New Roman" w:hAnsi="Times New Roman" w:cs="Times New Roman"/>
          <w:noProof/>
          <w:sz w:val="24"/>
          <w:szCs w:val="24"/>
        </w:rPr>
        <w:drawing>
          <wp:inline distT="0" distB="0" distL="0" distR="0" wp14:anchorId="4CC3D695" wp14:editId="4097C80A">
            <wp:extent cx="6216611" cy="24504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_risk_outlook.png"/>
                    <pic:cNvPicPr/>
                  </pic:nvPicPr>
                  <pic:blipFill rotWithShape="1">
                    <a:blip r:embed="rId8"/>
                    <a:srcRect t="6878"/>
                    <a:stretch>
                      <a:fillRect/>
                    </a:stretch>
                  </pic:blipFill>
                  <pic:spPr bwMode="auto">
                    <a:xfrm>
                      <a:off x="0" y="0"/>
                      <a:ext cx="6216611" cy="2450465"/>
                    </a:xfrm>
                    <a:prstGeom prst="rect">
                      <a:avLst/>
                    </a:prstGeom>
                    <a:ln>
                      <a:noFill/>
                    </a:ln>
                    <a:extLst>
                      <a:ext uri="{53640926-AAD7-44D8-BBD7-CCE9431645EC}">
                        <a14:shadowObscured xmlns:a14="http://schemas.microsoft.com/office/drawing/2010/main"/>
                      </a:ext>
                    </a:extLst>
                  </pic:spPr>
                </pic:pic>
              </a:graphicData>
            </a:graphic>
          </wp:inline>
        </w:drawing>
      </w:r>
    </w:p>
    <w:p w14:paraId="31AA5B8F" w14:textId="3616752F" w:rsidR="00D35B12" w:rsidRDefault="00D35B12" w:rsidP="00D35B12">
      <w:pPr>
        <w:jc w:val="both"/>
        <w:rPr>
          <w:rFonts w:ascii="Times New Roman" w:hAnsi="Times New Roman" w:cs="Times New Roman"/>
          <w:sz w:val="24"/>
          <w:szCs w:val="24"/>
        </w:rPr>
      </w:pPr>
      <w:r>
        <w:rPr>
          <w:rFonts w:ascii="Times New Roman" w:hAnsi="Times New Roman" w:cs="Times New Roman"/>
          <w:sz w:val="24"/>
          <w:szCs w:val="24"/>
        </w:rPr>
        <w:t>T</w:t>
      </w:r>
      <w:r w:rsidRPr="00546232">
        <w:rPr>
          <w:rFonts w:ascii="Times New Roman" w:hAnsi="Times New Roman" w:cs="Times New Roman"/>
          <w:sz w:val="24"/>
          <w:szCs w:val="24"/>
        </w:rPr>
        <w:t>he highest-consequence risks are not purely international. Nigeria’s most severe vulnerabilities are still domestic</w:t>
      </w:r>
      <w:r>
        <w:rPr>
          <w:rFonts w:ascii="Times New Roman" w:hAnsi="Times New Roman" w:cs="Times New Roman"/>
          <w:sz w:val="24"/>
          <w:szCs w:val="24"/>
        </w:rPr>
        <w:t xml:space="preserve"> </w:t>
      </w:r>
      <w:r w:rsidRPr="00546232">
        <w:rPr>
          <w:rFonts w:ascii="Times New Roman" w:hAnsi="Times New Roman" w:cs="Times New Roman"/>
          <w:sz w:val="24"/>
          <w:szCs w:val="24"/>
        </w:rPr>
        <w:t xml:space="preserve">pipeline sabotage, </w:t>
      </w:r>
      <w:proofErr w:type="spellStart"/>
      <w:r w:rsidRPr="00546232">
        <w:rPr>
          <w:rFonts w:ascii="Times New Roman" w:hAnsi="Times New Roman" w:cs="Times New Roman"/>
          <w:sz w:val="24"/>
          <w:szCs w:val="24"/>
        </w:rPr>
        <w:t>feedgas</w:t>
      </w:r>
      <w:proofErr w:type="spellEnd"/>
      <w:r w:rsidRPr="00546232">
        <w:rPr>
          <w:rFonts w:ascii="Times New Roman" w:hAnsi="Times New Roman" w:cs="Times New Roman"/>
          <w:sz w:val="24"/>
          <w:szCs w:val="24"/>
        </w:rPr>
        <w:t xml:space="preserve"> shortages and expansion slippage</w:t>
      </w:r>
      <w:r>
        <w:rPr>
          <w:rFonts w:ascii="Times New Roman" w:hAnsi="Times New Roman" w:cs="Times New Roman"/>
          <w:sz w:val="24"/>
          <w:szCs w:val="24"/>
        </w:rPr>
        <w:t xml:space="preserve"> </w:t>
      </w:r>
      <w:r w:rsidRPr="00546232">
        <w:rPr>
          <w:rFonts w:ascii="Times New Roman" w:hAnsi="Times New Roman" w:cs="Times New Roman"/>
          <w:sz w:val="24"/>
          <w:szCs w:val="24"/>
        </w:rPr>
        <w:t>because they directly reduce utilization and weaken commercial credibility. The global supply wave from the U.S. and Qatar then amplifies every domestic weakness through lower prices and tougher buyer discipline.</w:t>
      </w:r>
    </w:p>
    <w:p w14:paraId="79443DF2" w14:textId="51A8DEF3" w:rsidR="00C20F6D" w:rsidRPr="00546232" w:rsidRDefault="00000000" w:rsidP="00D35B12">
      <w:pPr>
        <w:jc w:val="both"/>
        <w:rPr>
          <w:rFonts w:ascii="Times New Roman" w:hAnsi="Times New Roman" w:cs="Times New Roman"/>
          <w:sz w:val="24"/>
          <w:szCs w:val="24"/>
        </w:rPr>
      </w:pPr>
      <w:r w:rsidRPr="00546232">
        <w:rPr>
          <w:rFonts w:ascii="Times New Roman" w:hAnsi="Times New Roman" w:cs="Times New Roman"/>
          <w:sz w:val="24"/>
          <w:szCs w:val="24"/>
        </w:rPr>
        <w:t xml:space="preserve">Domestic risks remain structurally dominant. NLNG itself linked gas supply problems to pipeline disruptions, vandalism and sabotage in 2025, even as NNPC reported improved security and near-full pipeline receipts later that year. The World Bank’s flare tracker reinforces the diagnosis: rising flaring and high flare intensity indicate that </w:t>
      </w:r>
      <w:r w:rsidR="00D35B12" w:rsidRPr="00546232">
        <w:rPr>
          <w:rFonts w:ascii="Times New Roman" w:hAnsi="Times New Roman" w:cs="Times New Roman"/>
          <w:sz w:val="24"/>
          <w:szCs w:val="24"/>
        </w:rPr>
        <w:t>monetization</w:t>
      </w:r>
      <w:r w:rsidRPr="00546232">
        <w:rPr>
          <w:rFonts w:ascii="Times New Roman" w:hAnsi="Times New Roman" w:cs="Times New Roman"/>
          <w:sz w:val="24"/>
          <w:szCs w:val="24"/>
        </w:rPr>
        <w:t xml:space="preserve"> pathways remain too weak, especially for smaller producers without reliable access to Bonny Island. Externally, the IEA expects around 300 </w:t>
      </w:r>
      <w:proofErr w:type="spellStart"/>
      <w:r w:rsidRPr="00546232">
        <w:rPr>
          <w:rFonts w:ascii="Times New Roman" w:hAnsi="Times New Roman" w:cs="Times New Roman"/>
          <w:sz w:val="24"/>
          <w:szCs w:val="24"/>
        </w:rPr>
        <w:t>bcm</w:t>
      </w:r>
      <w:proofErr w:type="spellEnd"/>
      <w:r w:rsidRPr="00546232">
        <w:rPr>
          <w:rFonts w:ascii="Times New Roman" w:hAnsi="Times New Roman" w:cs="Times New Roman"/>
          <w:sz w:val="24"/>
          <w:szCs w:val="24"/>
        </w:rPr>
        <w:t xml:space="preserve">/yr of </w:t>
      </w:r>
      <w:r w:rsidRPr="00546232">
        <w:rPr>
          <w:rFonts w:ascii="Times New Roman" w:hAnsi="Times New Roman" w:cs="Times New Roman"/>
          <w:sz w:val="24"/>
          <w:szCs w:val="24"/>
        </w:rPr>
        <w:lastRenderedPageBreak/>
        <w:t>new LNG capacity by 2030, with the U.S. and Qatar accounting for roughly 70% of additions, which will pressure Nigeria on price, reliability and emissions performance simultaneously.</w:t>
      </w:r>
    </w:p>
    <w:p w14:paraId="4A0959C9" w14:textId="367D1EBA" w:rsidR="00C20F6D" w:rsidRPr="00546232" w:rsidRDefault="00000000" w:rsidP="00D35B12">
      <w:pPr>
        <w:jc w:val="both"/>
        <w:rPr>
          <w:rFonts w:ascii="Times New Roman" w:hAnsi="Times New Roman" w:cs="Times New Roman"/>
          <w:sz w:val="24"/>
          <w:szCs w:val="24"/>
        </w:rPr>
      </w:pPr>
      <w:r w:rsidRPr="00546232">
        <w:rPr>
          <w:rFonts w:ascii="Times New Roman" w:hAnsi="Times New Roman" w:cs="Times New Roman"/>
          <w:sz w:val="24"/>
          <w:szCs w:val="24"/>
        </w:rPr>
        <w:t>Nigeria’s LNG risk profile is highly leverage-sensitive: modest improvements in domestic security and gas gathering can meaningfully lift exports, while modest deterioration can erase much of its scale advantage because global alternatives are multiplying.</w:t>
      </w:r>
    </w:p>
    <w:p w14:paraId="63C64B02" w14:textId="77777777" w:rsidR="00C20F6D" w:rsidRPr="00D35B12" w:rsidRDefault="00000000" w:rsidP="00546232">
      <w:pPr>
        <w:ind w:firstLine="90"/>
        <w:jc w:val="both"/>
        <w:rPr>
          <w:rFonts w:ascii="Times New Roman" w:hAnsi="Times New Roman" w:cs="Times New Roman"/>
          <w:b/>
          <w:bCs/>
          <w:sz w:val="24"/>
          <w:szCs w:val="24"/>
        </w:rPr>
      </w:pPr>
      <w:r w:rsidRPr="00D35B12">
        <w:rPr>
          <w:rFonts w:ascii="Times New Roman" w:hAnsi="Times New Roman" w:cs="Times New Roman"/>
          <w:b/>
          <w:bCs/>
          <w:sz w:val="24"/>
          <w:szCs w:val="24"/>
        </w:rPr>
        <w:t>5. Global LNG Market Outlook</w:t>
      </w:r>
    </w:p>
    <w:p w14:paraId="49388782" w14:textId="20DB8A71" w:rsidR="00C20F6D" w:rsidRPr="00546232" w:rsidRDefault="00000000" w:rsidP="00D35B12">
      <w:pPr>
        <w:jc w:val="both"/>
        <w:rPr>
          <w:rFonts w:ascii="Times New Roman" w:hAnsi="Times New Roman" w:cs="Times New Roman"/>
          <w:sz w:val="24"/>
          <w:szCs w:val="24"/>
        </w:rPr>
      </w:pPr>
      <w:r w:rsidRPr="00546232">
        <w:rPr>
          <w:rFonts w:ascii="Times New Roman" w:hAnsi="Times New Roman" w:cs="Times New Roman"/>
          <w:sz w:val="24"/>
          <w:szCs w:val="24"/>
        </w:rPr>
        <w:t xml:space="preserve">The demand story remains supportive but less forgiving. Shell’s 2025 LNG Outlook places global LNG demand at roughly 520-580 </w:t>
      </w:r>
      <w:proofErr w:type="spellStart"/>
      <w:r w:rsidRPr="00546232">
        <w:rPr>
          <w:rFonts w:ascii="Times New Roman" w:hAnsi="Times New Roman" w:cs="Times New Roman"/>
          <w:sz w:val="24"/>
          <w:szCs w:val="24"/>
        </w:rPr>
        <w:t>mtpa</w:t>
      </w:r>
      <w:proofErr w:type="spellEnd"/>
      <w:r w:rsidRPr="00546232">
        <w:rPr>
          <w:rFonts w:ascii="Times New Roman" w:hAnsi="Times New Roman" w:cs="Times New Roman"/>
          <w:sz w:val="24"/>
          <w:szCs w:val="24"/>
        </w:rPr>
        <w:t xml:space="preserve"> by 2030 and 650-700 </w:t>
      </w:r>
      <w:proofErr w:type="spellStart"/>
      <w:r w:rsidRPr="00546232">
        <w:rPr>
          <w:rFonts w:ascii="Times New Roman" w:hAnsi="Times New Roman" w:cs="Times New Roman"/>
          <w:sz w:val="24"/>
          <w:szCs w:val="24"/>
        </w:rPr>
        <w:t>mtpa</w:t>
      </w:r>
      <w:proofErr w:type="spellEnd"/>
      <w:r w:rsidRPr="00546232">
        <w:rPr>
          <w:rFonts w:ascii="Times New Roman" w:hAnsi="Times New Roman" w:cs="Times New Roman"/>
          <w:sz w:val="24"/>
          <w:szCs w:val="24"/>
        </w:rPr>
        <w:t xml:space="preserve"> by 2040, up from 407 Mt traded in 2024, while Reuters reported Shell’s broader market estimate at 630-718 Mt by 2040. The IEA’s medium-term view is more cautionary on balance: gas demand still grows through 2030, but Europe declines structurally and the main growth engines are China, India and parts of emerging Asia. This implies Nigeria should not assume Europe alone can absorb expanding Nigerian supply at attractive margins; portfolio balance matters more than ever.</w:t>
      </w:r>
    </w:p>
    <w:p w14:paraId="18B362C4" w14:textId="60A19CDF" w:rsidR="00C20F6D" w:rsidRPr="00546232" w:rsidRDefault="00000000" w:rsidP="00546232">
      <w:pPr>
        <w:ind w:firstLine="90"/>
        <w:jc w:val="both"/>
        <w:rPr>
          <w:rFonts w:ascii="Times New Roman" w:hAnsi="Times New Roman" w:cs="Times New Roman"/>
          <w:sz w:val="24"/>
          <w:szCs w:val="24"/>
        </w:rPr>
      </w:pPr>
      <w:r w:rsidRPr="00546232">
        <w:rPr>
          <w:rFonts w:ascii="Times New Roman" w:hAnsi="Times New Roman" w:cs="Times New Roman"/>
          <w:sz w:val="24"/>
          <w:szCs w:val="24"/>
        </w:rPr>
        <w:t>Low-carbon LNG is becoming a contract and financing differentiator. The IEA notes that CCUS and methane reduction are increasingly relevant to market access and long-term contracting, while Nigeria’s rising flare intensity weakens its starting position. Europe’s need for LNG into the 2030s is still real, but carbon scrutiny will sharpen. In Asia, China and India are still expanding import infrastructure, yet buyers there are price sensitive and will benefit from the coming supply wave</w:t>
      </w:r>
      <w:r w:rsidR="00D35B12">
        <w:rPr>
          <w:rFonts w:ascii="Times New Roman" w:hAnsi="Times New Roman" w:cs="Times New Roman"/>
          <w:sz w:val="24"/>
          <w:szCs w:val="24"/>
        </w:rPr>
        <w:t>.</w:t>
      </w:r>
    </w:p>
    <w:p w14:paraId="34E0B931" w14:textId="70E3A88E" w:rsidR="00C20F6D" w:rsidRPr="00546232" w:rsidRDefault="00000000" w:rsidP="00D35B12">
      <w:pPr>
        <w:jc w:val="both"/>
        <w:rPr>
          <w:rFonts w:ascii="Times New Roman" w:hAnsi="Times New Roman" w:cs="Times New Roman"/>
          <w:sz w:val="24"/>
          <w:szCs w:val="24"/>
        </w:rPr>
      </w:pPr>
      <w:r w:rsidRPr="00546232">
        <w:rPr>
          <w:rFonts w:ascii="Times New Roman" w:hAnsi="Times New Roman" w:cs="Times New Roman"/>
          <w:sz w:val="24"/>
          <w:szCs w:val="24"/>
        </w:rPr>
        <w:t>Nigeria’s optimal market strategy is not a simple East-versus-West choice. It is to preserve Europe-facing flexibility while deepening Asia optionality and reducing emissions intensity fast enough to remain a preferred</w:t>
      </w:r>
      <w:r w:rsidR="00D35B12">
        <w:rPr>
          <w:rFonts w:ascii="Times New Roman" w:hAnsi="Times New Roman" w:cs="Times New Roman"/>
          <w:sz w:val="24"/>
          <w:szCs w:val="24"/>
        </w:rPr>
        <w:t xml:space="preserve"> </w:t>
      </w:r>
      <w:r w:rsidRPr="00546232">
        <w:rPr>
          <w:rFonts w:ascii="Times New Roman" w:hAnsi="Times New Roman" w:cs="Times New Roman"/>
          <w:sz w:val="24"/>
          <w:szCs w:val="24"/>
        </w:rPr>
        <w:t>supplier.</w:t>
      </w:r>
    </w:p>
    <w:p w14:paraId="2C2D6B49" w14:textId="77777777" w:rsidR="00C20F6D" w:rsidRPr="00D35B12" w:rsidRDefault="00000000" w:rsidP="00546232">
      <w:pPr>
        <w:ind w:firstLine="90"/>
        <w:jc w:val="both"/>
        <w:rPr>
          <w:rFonts w:ascii="Times New Roman" w:hAnsi="Times New Roman" w:cs="Times New Roman"/>
          <w:b/>
          <w:bCs/>
          <w:sz w:val="24"/>
          <w:szCs w:val="24"/>
        </w:rPr>
      </w:pPr>
      <w:r w:rsidRPr="00D35B12">
        <w:rPr>
          <w:rFonts w:ascii="Times New Roman" w:hAnsi="Times New Roman" w:cs="Times New Roman"/>
          <w:b/>
          <w:bCs/>
          <w:sz w:val="24"/>
          <w:szCs w:val="24"/>
        </w:rPr>
        <w:t>6. Strategic Recommendations and Intelligence Outlook</w:t>
      </w:r>
    </w:p>
    <w:p w14:paraId="07AADCDD" w14:textId="6D5372DF" w:rsidR="00C20F6D" w:rsidRPr="00546232" w:rsidRDefault="00000000" w:rsidP="00D35B12">
      <w:pPr>
        <w:jc w:val="both"/>
        <w:rPr>
          <w:rFonts w:ascii="Times New Roman" w:hAnsi="Times New Roman" w:cs="Times New Roman"/>
          <w:sz w:val="24"/>
          <w:szCs w:val="24"/>
        </w:rPr>
      </w:pPr>
      <w:r w:rsidRPr="00546232">
        <w:rPr>
          <w:rFonts w:ascii="Times New Roman" w:hAnsi="Times New Roman" w:cs="Times New Roman"/>
          <w:sz w:val="24"/>
          <w:szCs w:val="24"/>
        </w:rPr>
        <w:t>Nigeria’s strengths are geology, infrastructure and location; its weaknesses are execution, security and emissions. The strategic implication is straightforward: leadership can be defended, but not passively.</w:t>
      </w:r>
    </w:p>
    <w:tbl>
      <w:tblPr>
        <w:tblStyle w:val="TableGrid"/>
        <w:tblW w:w="0" w:type="auto"/>
        <w:tblLook w:val="04A0" w:firstRow="1" w:lastRow="0" w:firstColumn="1" w:lastColumn="0" w:noHBand="0" w:noVBand="1"/>
      </w:tblPr>
      <w:tblGrid>
        <w:gridCol w:w="3528"/>
        <w:gridCol w:w="6768"/>
      </w:tblGrid>
      <w:tr w:rsidR="00C20F6D" w:rsidRPr="00546232" w14:paraId="0B009F09" w14:textId="77777777" w:rsidTr="00D35B12">
        <w:tc>
          <w:tcPr>
            <w:tcW w:w="3528" w:type="dxa"/>
          </w:tcPr>
          <w:p w14:paraId="40E7C960" w14:textId="77777777" w:rsidR="00C20F6D" w:rsidRPr="00D35B12" w:rsidRDefault="00000000" w:rsidP="00546232">
            <w:pPr>
              <w:spacing w:line="276" w:lineRule="auto"/>
              <w:ind w:firstLine="90"/>
              <w:jc w:val="both"/>
              <w:rPr>
                <w:rFonts w:ascii="Times New Roman" w:hAnsi="Times New Roman" w:cs="Times New Roman"/>
                <w:b/>
                <w:bCs/>
                <w:sz w:val="24"/>
                <w:szCs w:val="24"/>
              </w:rPr>
            </w:pPr>
            <w:r w:rsidRPr="00D35B12">
              <w:rPr>
                <w:rFonts w:ascii="Times New Roman" w:hAnsi="Times New Roman" w:cs="Times New Roman"/>
                <w:b/>
                <w:bCs/>
                <w:sz w:val="24"/>
                <w:szCs w:val="24"/>
              </w:rPr>
              <w:t>Actor</w:t>
            </w:r>
          </w:p>
        </w:tc>
        <w:tc>
          <w:tcPr>
            <w:tcW w:w="6768" w:type="dxa"/>
          </w:tcPr>
          <w:p w14:paraId="17253F78" w14:textId="77777777" w:rsidR="00C20F6D" w:rsidRPr="00D35B12" w:rsidRDefault="00000000" w:rsidP="00546232">
            <w:pPr>
              <w:spacing w:line="276" w:lineRule="auto"/>
              <w:ind w:firstLine="90"/>
              <w:jc w:val="both"/>
              <w:rPr>
                <w:rFonts w:ascii="Times New Roman" w:hAnsi="Times New Roman" w:cs="Times New Roman"/>
                <w:b/>
                <w:bCs/>
                <w:sz w:val="24"/>
                <w:szCs w:val="24"/>
              </w:rPr>
            </w:pPr>
            <w:r w:rsidRPr="00D35B12">
              <w:rPr>
                <w:rFonts w:ascii="Times New Roman" w:hAnsi="Times New Roman" w:cs="Times New Roman"/>
                <w:b/>
                <w:bCs/>
                <w:sz w:val="24"/>
                <w:szCs w:val="24"/>
              </w:rPr>
              <w:t>Priority action (2026-2035)</w:t>
            </w:r>
          </w:p>
        </w:tc>
      </w:tr>
      <w:tr w:rsidR="00C20F6D" w:rsidRPr="00546232" w14:paraId="76B65907" w14:textId="77777777" w:rsidTr="00D35B12">
        <w:tc>
          <w:tcPr>
            <w:tcW w:w="3528" w:type="dxa"/>
          </w:tcPr>
          <w:p w14:paraId="31E1D7D7"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Federal Government of Nigeria</w:t>
            </w:r>
          </w:p>
        </w:tc>
        <w:tc>
          <w:tcPr>
            <w:tcW w:w="6768" w:type="dxa"/>
          </w:tcPr>
          <w:p w14:paraId="40221617"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 xml:space="preserve">Treat LNG </w:t>
            </w:r>
            <w:proofErr w:type="spellStart"/>
            <w:r w:rsidRPr="00546232">
              <w:rPr>
                <w:rFonts w:ascii="Times New Roman" w:hAnsi="Times New Roman" w:cs="Times New Roman"/>
                <w:sz w:val="24"/>
                <w:szCs w:val="24"/>
              </w:rPr>
              <w:t>feedgas</w:t>
            </w:r>
            <w:proofErr w:type="spellEnd"/>
            <w:r w:rsidRPr="00546232">
              <w:rPr>
                <w:rFonts w:ascii="Times New Roman" w:hAnsi="Times New Roman" w:cs="Times New Roman"/>
                <w:sz w:val="24"/>
                <w:szCs w:val="24"/>
              </w:rPr>
              <w:t xml:space="preserve"> security as national critical infrastructure; fast-track right-of-way, repair mandates and host-community compacting around gas lines.</w:t>
            </w:r>
          </w:p>
        </w:tc>
      </w:tr>
      <w:tr w:rsidR="00C20F6D" w:rsidRPr="00546232" w14:paraId="1DEFC6BA" w14:textId="77777777" w:rsidTr="00D35B12">
        <w:tc>
          <w:tcPr>
            <w:tcW w:w="3528" w:type="dxa"/>
          </w:tcPr>
          <w:p w14:paraId="4C82583B"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NNPC Ltd.</w:t>
            </w:r>
          </w:p>
        </w:tc>
        <w:tc>
          <w:tcPr>
            <w:tcW w:w="6768" w:type="dxa"/>
          </w:tcPr>
          <w:p w14:paraId="3F7F9E7C" w14:textId="2D8AF976"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Translate recent security gains into verifiable uptime metrics and underpin Train 7 with diversified upstream supply, not only traditional JV sources.</w:t>
            </w:r>
          </w:p>
        </w:tc>
      </w:tr>
      <w:tr w:rsidR="00C20F6D" w:rsidRPr="00546232" w14:paraId="75EF85B5" w14:textId="77777777" w:rsidTr="00D35B12">
        <w:tc>
          <w:tcPr>
            <w:tcW w:w="3528" w:type="dxa"/>
          </w:tcPr>
          <w:p w14:paraId="12A79295"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NLNG</w:t>
            </w:r>
          </w:p>
        </w:tc>
        <w:tc>
          <w:tcPr>
            <w:tcW w:w="6768" w:type="dxa"/>
          </w:tcPr>
          <w:p w14:paraId="41AF1CC5"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 xml:space="preserve">Shift from a throughput mindset to a resilience mindset: multi-source </w:t>
            </w:r>
            <w:proofErr w:type="spellStart"/>
            <w:r w:rsidRPr="00546232">
              <w:rPr>
                <w:rFonts w:ascii="Times New Roman" w:hAnsi="Times New Roman" w:cs="Times New Roman"/>
                <w:sz w:val="24"/>
                <w:szCs w:val="24"/>
              </w:rPr>
              <w:t>feedgas</w:t>
            </w:r>
            <w:proofErr w:type="spellEnd"/>
            <w:r w:rsidRPr="00546232">
              <w:rPr>
                <w:rFonts w:ascii="Times New Roman" w:hAnsi="Times New Roman" w:cs="Times New Roman"/>
                <w:sz w:val="24"/>
                <w:szCs w:val="24"/>
              </w:rPr>
              <w:t>, predictive maintenance, portfolio marketing and lower-emissions certification.</w:t>
            </w:r>
          </w:p>
        </w:tc>
      </w:tr>
      <w:tr w:rsidR="00C20F6D" w:rsidRPr="00546232" w14:paraId="14DA24F7" w14:textId="77777777" w:rsidTr="00D35B12">
        <w:tc>
          <w:tcPr>
            <w:tcW w:w="3528" w:type="dxa"/>
          </w:tcPr>
          <w:p w14:paraId="00E97049"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NUPRC / NMDPRA</w:t>
            </w:r>
          </w:p>
        </w:tc>
        <w:tc>
          <w:tcPr>
            <w:tcW w:w="6768" w:type="dxa"/>
          </w:tcPr>
          <w:p w14:paraId="168559FE" w14:textId="1FBEC8BA"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Tighten methane, flaring and third-party access implementation so stranded and flare gas can reach export or domestic markets faster.</w:t>
            </w:r>
          </w:p>
        </w:tc>
      </w:tr>
      <w:tr w:rsidR="00C20F6D" w:rsidRPr="00546232" w14:paraId="40D5469E" w14:textId="77777777" w:rsidTr="00D35B12">
        <w:tc>
          <w:tcPr>
            <w:tcW w:w="3528" w:type="dxa"/>
          </w:tcPr>
          <w:p w14:paraId="0FC8E5D9"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Investors</w:t>
            </w:r>
          </w:p>
        </w:tc>
        <w:tc>
          <w:tcPr>
            <w:tcW w:w="6768" w:type="dxa"/>
          </w:tcPr>
          <w:p w14:paraId="292663F4" w14:textId="77777777" w:rsidR="00C20F6D" w:rsidRPr="00546232" w:rsidRDefault="00000000" w:rsidP="00546232">
            <w:pPr>
              <w:spacing w:line="276" w:lineRule="auto"/>
              <w:ind w:firstLine="90"/>
              <w:jc w:val="both"/>
              <w:rPr>
                <w:rFonts w:ascii="Times New Roman" w:hAnsi="Times New Roman" w:cs="Times New Roman"/>
                <w:sz w:val="24"/>
                <w:szCs w:val="24"/>
              </w:rPr>
            </w:pPr>
            <w:proofErr w:type="spellStart"/>
            <w:r w:rsidRPr="00546232">
              <w:rPr>
                <w:rFonts w:ascii="Times New Roman" w:hAnsi="Times New Roman" w:cs="Times New Roman"/>
                <w:sz w:val="24"/>
                <w:szCs w:val="24"/>
              </w:rPr>
              <w:t>Prioritise</w:t>
            </w:r>
            <w:proofErr w:type="spellEnd"/>
            <w:r w:rsidRPr="00546232">
              <w:rPr>
                <w:rFonts w:ascii="Times New Roman" w:hAnsi="Times New Roman" w:cs="Times New Roman"/>
                <w:sz w:val="24"/>
                <w:szCs w:val="24"/>
              </w:rPr>
              <w:t xml:space="preserve"> brownfield debottlenecking, gas gathering and security-linked midstream over pure nameplate expansion; returns hinge on </w:t>
            </w:r>
            <w:r w:rsidRPr="00546232">
              <w:rPr>
                <w:rFonts w:ascii="Times New Roman" w:hAnsi="Times New Roman" w:cs="Times New Roman"/>
                <w:sz w:val="24"/>
                <w:szCs w:val="24"/>
              </w:rPr>
              <w:lastRenderedPageBreak/>
              <w:t>reliability.</w:t>
            </w:r>
          </w:p>
        </w:tc>
      </w:tr>
      <w:tr w:rsidR="00C20F6D" w:rsidRPr="00546232" w14:paraId="0C817A61" w14:textId="77777777" w:rsidTr="00D35B12">
        <w:tc>
          <w:tcPr>
            <w:tcW w:w="3528" w:type="dxa"/>
          </w:tcPr>
          <w:p w14:paraId="5102FBB8"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lastRenderedPageBreak/>
              <w:t>DFIs / export credit agencies</w:t>
            </w:r>
          </w:p>
        </w:tc>
        <w:tc>
          <w:tcPr>
            <w:tcW w:w="6768" w:type="dxa"/>
          </w:tcPr>
          <w:p w14:paraId="7A7F9B9B" w14:textId="77777777" w:rsidR="00C20F6D" w:rsidRPr="00546232" w:rsidRDefault="00000000" w:rsidP="00546232">
            <w:pPr>
              <w:spacing w:line="276" w:lineRule="auto"/>
              <w:ind w:firstLine="90"/>
              <w:jc w:val="both"/>
              <w:rPr>
                <w:rFonts w:ascii="Times New Roman" w:hAnsi="Times New Roman" w:cs="Times New Roman"/>
                <w:sz w:val="24"/>
                <w:szCs w:val="24"/>
              </w:rPr>
            </w:pPr>
            <w:r w:rsidRPr="00546232">
              <w:rPr>
                <w:rFonts w:ascii="Times New Roman" w:hAnsi="Times New Roman" w:cs="Times New Roman"/>
                <w:sz w:val="24"/>
                <w:szCs w:val="24"/>
              </w:rPr>
              <w:t xml:space="preserve">Tie financing to measurable flare reduction, methane abatement and local gas </w:t>
            </w:r>
            <w:proofErr w:type="spellStart"/>
            <w:r w:rsidRPr="00546232">
              <w:rPr>
                <w:rFonts w:ascii="Times New Roman" w:hAnsi="Times New Roman" w:cs="Times New Roman"/>
                <w:sz w:val="24"/>
                <w:szCs w:val="24"/>
              </w:rPr>
              <w:t>utilisation</w:t>
            </w:r>
            <w:proofErr w:type="spellEnd"/>
            <w:r w:rsidRPr="00546232">
              <w:rPr>
                <w:rFonts w:ascii="Times New Roman" w:hAnsi="Times New Roman" w:cs="Times New Roman"/>
                <w:sz w:val="24"/>
                <w:szCs w:val="24"/>
              </w:rPr>
              <w:t xml:space="preserve"> co-benefits to improve project bankability.</w:t>
            </w:r>
          </w:p>
        </w:tc>
      </w:tr>
    </w:tbl>
    <w:p w14:paraId="0091E4B0" w14:textId="77777777" w:rsidR="00D35B12" w:rsidRDefault="00D35B12" w:rsidP="00546232">
      <w:pPr>
        <w:ind w:firstLine="90"/>
        <w:jc w:val="both"/>
        <w:rPr>
          <w:rFonts w:ascii="Times New Roman" w:hAnsi="Times New Roman" w:cs="Times New Roman"/>
          <w:sz w:val="24"/>
          <w:szCs w:val="24"/>
        </w:rPr>
      </w:pPr>
    </w:p>
    <w:p w14:paraId="5E409275" w14:textId="4BB0C40E" w:rsidR="00C20F6D" w:rsidRPr="00546232" w:rsidRDefault="00000000" w:rsidP="00D35B12">
      <w:pPr>
        <w:jc w:val="both"/>
        <w:rPr>
          <w:rFonts w:ascii="Times New Roman" w:hAnsi="Times New Roman" w:cs="Times New Roman"/>
          <w:sz w:val="24"/>
          <w:szCs w:val="24"/>
        </w:rPr>
      </w:pPr>
      <w:r w:rsidRPr="00546232">
        <w:rPr>
          <w:rFonts w:ascii="Times New Roman" w:hAnsi="Times New Roman" w:cs="Times New Roman"/>
          <w:sz w:val="24"/>
          <w:szCs w:val="24"/>
        </w:rPr>
        <w:t xml:space="preserve">Nigeria is still the most likely country to remain Africa’s LNG leader through 2035, but the probability is conditional rather than assured. My base case is roughly 60%: Nigeria retains leadership if Train 7 enters service by 2027-28, the 1.29 </w:t>
      </w:r>
      <w:proofErr w:type="spellStart"/>
      <w:r w:rsidRPr="00546232">
        <w:rPr>
          <w:rFonts w:ascii="Times New Roman" w:hAnsi="Times New Roman" w:cs="Times New Roman"/>
          <w:sz w:val="24"/>
          <w:szCs w:val="24"/>
        </w:rPr>
        <w:t>bscf</w:t>
      </w:r>
      <w:proofErr w:type="spellEnd"/>
      <w:r w:rsidRPr="00546232">
        <w:rPr>
          <w:rFonts w:ascii="Times New Roman" w:hAnsi="Times New Roman" w:cs="Times New Roman"/>
          <w:sz w:val="24"/>
          <w:szCs w:val="24"/>
        </w:rPr>
        <w:t xml:space="preserve">/d supply agreements materially improve </w:t>
      </w:r>
      <w:proofErr w:type="spellStart"/>
      <w:r w:rsidRPr="00546232">
        <w:rPr>
          <w:rFonts w:ascii="Times New Roman" w:hAnsi="Times New Roman" w:cs="Times New Roman"/>
          <w:sz w:val="24"/>
          <w:szCs w:val="24"/>
        </w:rPr>
        <w:t>feedgas</w:t>
      </w:r>
      <w:proofErr w:type="spellEnd"/>
      <w:r w:rsidRPr="00546232">
        <w:rPr>
          <w:rFonts w:ascii="Times New Roman" w:hAnsi="Times New Roman" w:cs="Times New Roman"/>
          <w:sz w:val="24"/>
          <w:szCs w:val="24"/>
        </w:rPr>
        <w:t xml:space="preserve"> availability, and security gains hold.</w:t>
      </w:r>
      <w:r w:rsidR="00D35B12">
        <w:rPr>
          <w:rFonts w:ascii="Times New Roman" w:hAnsi="Times New Roman" w:cs="Times New Roman"/>
          <w:sz w:val="24"/>
          <w:szCs w:val="24"/>
        </w:rPr>
        <w:t xml:space="preserve"> </w:t>
      </w:r>
      <w:r w:rsidRPr="00546232">
        <w:rPr>
          <w:rFonts w:ascii="Times New Roman" w:hAnsi="Times New Roman" w:cs="Times New Roman"/>
          <w:sz w:val="24"/>
          <w:szCs w:val="24"/>
        </w:rPr>
        <w:t>A downside case emerges if Train 7 slips, sabotage returns or carbon competitiveness worsens. In that scenario, Mozambique becomes the only realistic African challenger with enough reserve depth and project scale to overtake Nigeria in the 2030s.</w:t>
      </w:r>
    </w:p>
    <w:p w14:paraId="6E3F8DAF" w14:textId="77777777" w:rsidR="00C20F6D" w:rsidRPr="00546232" w:rsidRDefault="00000000" w:rsidP="00546232">
      <w:pPr>
        <w:ind w:firstLine="90"/>
        <w:jc w:val="both"/>
        <w:rPr>
          <w:rFonts w:ascii="Times New Roman" w:hAnsi="Times New Roman" w:cs="Times New Roman"/>
          <w:sz w:val="24"/>
          <w:szCs w:val="24"/>
        </w:rPr>
      </w:pPr>
      <w:r w:rsidRPr="00546232">
        <w:rPr>
          <w:rFonts w:ascii="Times New Roman" w:hAnsi="Times New Roman" w:cs="Times New Roman"/>
          <w:sz w:val="24"/>
          <w:szCs w:val="24"/>
        </w:rPr>
        <w:t>Early warning indicators to monitor</w:t>
      </w:r>
    </w:p>
    <w:p w14:paraId="172B6418" w14:textId="77777777" w:rsidR="00C20F6D" w:rsidRPr="00D35B12" w:rsidRDefault="00000000" w:rsidP="00D35B12">
      <w:pPr>
        <w:pStyle w:val="ListParagraph"/>
        <w:numPr>
          <w:ilvl w:val="0"/>
          <w:numId w:val="10"/>
        </w:numPr>
        <w:jc w:val="both"/>
        <w:rPr>
          <w:rFonts w:ascii="Times New Roman" w:hAnsi="Times New Roman" w:cs="Times New Roman"/>
          <w:sz w:val="24"/>
          <w:szCs w:val="24"/>
        </w:rPr>
      </w:pPr>
      <w:r w:rsidRPr="00D35B12">
        <w:rPr>
          <w:rFonts w:ascii="Times New Roman" w:hAnsi="Times New Roman" w:cs="Times New Roman"/>
          <w:sz w:val="24"/>
          <w:szCs w:val="24"/>
        </w:rPr>
        <w:t>Train 7 completion slippage beyond 2027, or weaker-than-expected ramp-up after commissioning.</w:t>
      </w:r>
    </w:p>
    <w:p w14:paraId="76ABA762" w14:textId="77777777" w:rsidR="00C20F6D" w:rsidRPr="00D35B12" w:rsidRDefault="00000000" w:rsidP="00D35B12">
      <w:pPr>
        <w:pStyle w:val="ListParagraph"/>
        <w:numPr>
          <w:ilvl w:val="0"/>
          <w:numId w:val="10"/>
        </w:numPr>
        <w:jc w:val="both"/>
        <w:rPr>
          <w:rFonts w:ascii="Times New Roman" w:hAnsi="Times New Roman" w:cs="Times New Roman"/>
          <w:sz w:val="24"/>
          <w:szCs w:val="24"/>
        </w:rPr>
      </w:pPr>
      <w:r w:rsidRPr="00D35B12">
        <w:rPr>
          <w:rFonts w:ascii="Times New Roman" w:hAnsi="Times New Roman" w:cs="Times New Roman"/>
          <w:sz w:val="24"/>
          <w:szCs w:val="24"/>
        </w:rPr>
        <w:t xml:space="preserve">Execution quality of the new 1.29 </w:t>
      </w:r>
      <w:proofErr w:type="spellStart"/>
      <w:r w:rsidRPr="00D35B12">
        <w:rPr>
          <w:rFonts w:ascii="Times New Roman" w:hAnsi="Times New Roman" w:cs="Times New Roman"/>
          <w:sz w:val="24"/>
          <w:szCs w:val="24"/>
        </w:rPr>
        <w:t>bscf</w:t>
      </w:r>
      <w:proofErr w:type="spellEnd"/>
      <w:r w:rsidRPr="00D35B12">
        <w:rPr>
          <w:rFonts w:ascii="Times New Roman" w:hAnsi="Times New Roman" w:cs="Times New Roman"/>
          <w:sz w:val="24"/>
          <w:szCs w:val="24"/>
        </w:rPr>
        <w:t>/d supply agreements, especially pipeline uptime and supplier diversification.</w:t>
      </w:r>
    </w:p>
    <w:p w14:paraId="3241636C" w14:textId="77777777" w:rsidR="00C20F6D" w:rsidRPr="00D35B12" w:rsidRDefault="00000000" w:rsidP="00D35B12">
      <w:pPr>
        <w:pStyle w:val="ListParagraph"/>
        <w:numPr>
          <w:ilvl w:val="0"/>
          <w:numId w:val="10"/>
        </w:numPr>
        <w:jc w:val="both"/>
        <w:rPr>
          <w:rFonts w:ascii="Times New Roman" w:hAnsi="Times New Roman" w:cs="Times New Roman"/>
          <w:sz w:val="24"/>
          <w:szCs w:val="24"/>
        </w:rPr>
      </w:pPr>
      <w:r w:rsidRPr="00D35B12">
        <w:rPr>
          <w:rFonts w:ascii="Times New Roman" w:hAnsi="Times New Roman" w:cs="Times New Roman"/>
          <w:sz w:val="24"/>
          <w:szCs w:val="24"/>
        </w:rPr>
        <w:t>Any formal lifting of force majeure / financing closure for Mozambique LNG Area 1 and FID progress at Rovuma LNG.</w:t>
      </w:r>
    </w:p>
    <w:p w14:paraId="118FF3CA" w14:textId="77777777" w:rsidR="00C20F6D" w:rsidRPr="00D35B12" w:rsidRDefault="00000000" w:rsidP="00D35B12">
      <w:pPr>
        <w:pStyle w:val="ListParagraph"/>
        <w:numPr>
          <w:ilvl w:val="0"/>
          <w:numId w:val="10"/>
        </w:numPr>
        <w:jc w:val="both"/>
        <w:rPr>
          <w:rFonts w:ascii="Times New Roman" w:hAnsi="Times New Roman" w:cs="Times New Roman"/>
          <w:sz w:val="24"/>
          <w:szCs w:val="24"/>
        </w:rPr>
      </w:pPr>
      <w:r w:rsidRPr="00D35B12">
        <w:rPr>
          <w:rFonts w:ascii="Times New Roman" w:hAnsi="Times New Roman" w:cs="Times New Roman"/>
          <w:sz w:val="24"/>
          <w:szCs w:val="24"/>
        </w:rPr>
        <w:t xml:space="preserve">Tanzania’s final legal framework signature and financing </w:t>
      </w:r>
      <w:proofErr w:type="spellStart"/>
      <w:r w:rsidRPr="00D35B12">
        <w:rPr>
          <w:rFonts w:ascii="Times New Roman" w:hAnsi="Times New Roman" w:cs="Times New Roman"/>
          <w:sz w:val="24"/>
          <w:szCs w:val="24"/>
        </w:rPr>
        <w:t>mobilisation</w:t>
      </w:r>
      <w:proofErr w:type="spellEnd"/>
      <w:r w:rsidRPr="00D35B12">
        <w:rPr>
          <w:rFonts w:ascii="Times New Roman" w:hAnsi="Times New Roman" w:cs="Times New Roman"/>
          <w:sz w:val="24"/>
          <w:szCs w:val="24"/>
        </w:rPr>
        <w:t xml:space="preserve"> for its proposed 15 </w:t>
      </w:r>
      <w:proofErr w:type="spellStart"/>
      <w:r w:rsidRPr="00D35B12">
        <w:rPr>
          <w:rFonts w:ascii="Times New Roman" w:hAnsi="Times New Roman" w:cs="Times New Roman"/>
          <w:sz w:val="24"/>
          <w:szCs w:val="24"/>
        </w:rPr>
        <w:t>mtpa</w:t>
      </w:r>
      <w:proofErr w:type="spellEnd"/>
      <w:r w:rsidRPr="00D35B12">
        <w:rPr>
          <w:rFonts w:ascii="Times New Roman" w:hAnsi="Times New Roman" w:cs="Times New Roman"/>
          <w:sz w:val="24"/>
          <w:szCs w:val="24"/>
        </w:rPr>
        <w:t xml:space="preserve"> project.</w:t>
      </w:r>
    </w:p>
    <w:p w14:paraId="5A883FC8" w14:textId="77777777" w:rsidR="00C20F6D" w:rsidRPr="00D35B12" w:rsidRDefault="00000000" w:rsidP="00D35B12">
      <w:pPr>
        <w:pStyle w:val="ListParagraph"/>
        <w:numPr>
          <w:ilvl w:val="0"/>
          <w:numId w:val="10"/>
        </w:numPr>
        <w:jc w:val="both"/>
        <w:rPr>
          <w:rFonts w:ascii="Times New Roman" w:hAnsi="Times New Roman" w:cs="Times New Roman"/>
          <w:sz w:val="24"/>
          <w:szCs w:val="24"/>
        </w:rPr>
      </w:pPr>
      <w:r w:rsidRPr="00D35B12">
        <w:rPr>
          <w:rFonts w:ascii="Times New Roman" w:hAnsi="Times New Roman" w:cs="Times New Roman"/>
          <w:sz w:val="24"/>
          <w:szCs w:val="24"/>
        </w:rPr>
        <w:t>EU methane and carbon-intensity rules that differentiate contract access for higher-emissions LNG.</w:t>
      </w:r>
    </w:p>
    <w:p w14:paraId="3803CCB9" w14:textId="77777777" w:rsidR="00C20F6D" w:rsidRPr="00D35B12" w:rsidRDefault="00000000" w:rsidP="00D35B12">
      <w:pPr>
        <w:pStyle w:val="ListParagraph"/>
        <w:numPr>
          <w:ilvl w:val="0"/>
          <w:numId w:val="10"/>
        </w:numPr>
        <w:jc w:val="both"/>
        <w:rPr>
          <w:rFonts w:ascii="Times New Roman" w:hAnsi="Times New Roman" w:cs="Times New Roman"/>
          <w:sz w:val="24"/>
          <w:szCs w:val="24"/>
        </w:rPr>
      </w:pPr>
      <w:r w:rsidRPr="00D35B12">
        <w:rPr>
          <w:rFonts w:ascii="Times New Roman" w:hAnsi="Times New Roman" w:cs="Times New Roman"/>
          <w:sz w:val="24"/>
          <w:szCs w:val="24"/>
        </w:rPr>
        <w:t xml:space="preserve">Nigeria’s flaring and flare-intensity trend: persistent deterioration would signal lost </w:t>
      </w:r>
      <w:proofErr w:type="spellStart"/>
      <w:r w:rsidRPr="00D35B12">
        <w:rPr>
          <w:rFonts w:ascii="Times New Roman" w:hAnsi="Times New Roman" w:cs="Times New Roman"/>
          <w:sz w:val="24"/>
          <w:szCs w:val="24"/>
        </w:rPr>
        <w:t>monetisation</w:t>
      </w:r>
      <w:proofErr w:type="spellEnd"/>
      <w:r w:rsidRPr="00D35B12">
        <w:rPr>
          <w:rFonts w:ascii="Times New Roman" w:hAnsi="Times New Roman" w:cs="Times New Roman"/>
          <w:sz w:val="24"/>
          <w:szCs w:val="24"/>
        </w:rPr>
        <w:t xml:space="preserve"> and ESG competitiveness.</w:t>
      </w:r>
    </w:p>
    <w:p w14:paraId="04D1B2B9" w14:textId="7B241353" w:rsidR="00C20F6D" w:rsidRPr="00546232" w:rsidRDefault="00000000" w:rsidP="00D35B12">
      <w:pPr>
        <w:jc w:val="both"/>
        <w:rPr>
          <w:rFonts w:ascii="Times New Roman" w:hAnsi="Times New Roman" w:cs="Times New Roman"/>
          <w:sz w:val="24"/>
          <w:szCs w:val="24"/>
        </w:rPr>
      </w:pPr>
      <w:r w:rsidRPr="00546232">
        <w:rPr>
          <w:rFonts w:ascii="Times New Roman" w:hAnsi="Times New Roman" w:cs="Times New Roman"/>
          <w:sz w:val="24"/>
          <w:szCs w:val="24"/>
        </w:rPr>
        <w:t>Nigeria can sustain LNG dominance, but only by turning reserve scale into reliable, lower-emissions deliverability. In the next decade, execution quality—not geology—will determine whether Nigeria stays first or becomes merely one large supplier among several credible African rivals.</w:t>
      </w:r>
    </w:p>
    <w:p w14:paraId="38E4A949" w14:textId="77777777" w:rsidR="00D35B12" w:rsidRDefault="00D35B12" w:rsidP="00546232">
      <w:pPr>
        <w:ind w:firstLine="90"/>
        <w:jc w:val="both"/>
        <w:rPr>
          <w:rFonts w:ascii="Times New Roman" w:hAnsi="Times New Roman" w:cs="Times New Roman"/>
          <w:sz w:val="24"/>
          <w:szCs w:val="24"/>
        </w:rPr>
      </w:pPr>
    </w:p>
    <w:p w14:paraId="0D4DD681" w14:textId="77777777" w:rsidR="00D35B12" w:rsidRDefault="00D35B12" w:rsidP="00546232">
      <w:pPr>
        <w:ind w:firstLine="90"/>
        <w:jc w:val="both"/>
        <w:rPr>
          <w:rFonts w:ascii="Times New Roman" w:hAnsi="Times New Roman" w:cs="Times New Roman"/>
          <w:sz w:val="24"/>
          <w:szCs w:val="24"/>
        </w:rPr>
      </w:pPr>
    </w:p>
    <w:p w14:paraId="49DCAB38" w14:textId="77777777" w:rsidR="00D35B12" w:rsidRDefault="00D35B12" w:rsidP="00546232">
      <w:pPr>
        <w:ind w:firstLine="90"/>
        <w:jc w:val="both"/>
        <w:rPr>
          <w:rFonts w:ascii="Times New Roman" w:hAnsi="Times New Roman" w:cs="Times New Roman"/>
          <w:sz w:val="24"/>
          <w:szCs w:val="24"/>
        </w:rPr>
      </w:pPr>
    </w:p>
    <w:p w14:paraId="14364022" w14:textId="77777777" w:rsidR="00D35B12" w:rsidRDefault="00D35B12" w:rsidP="00546232">
      <w:pPr>
        <w:ind w:firstLine="90"/>
        <w:jc w:val="both"/>
        <w:rPr>
          <w:rFonts w:ascii="Times New Roman" w:hAnsi="Times New Roman" w:cs="Times New Roman"/>
          <w:sz w:val="24"/>
          <w:szCs w:val="24"/>
        </w:rPr>
      </w:pPr>
    </w:p>
    <w:p w14:paraId="400DDC27" w14:textId="77777777" w:rsidR="00D35B12" w:rsidRDefault="00D35B12" w:rsidP="00546232">
      <w:pPr>
        <w:ind w:firstLine="90"/>
        <w:jc w:val="both"/>
        <w:rPr>
          <w:rFonts w:ascii="Times New Roman" w:hAnsi="Times New Roman" w:cs="Times New Roman"/>
          <w:sz w:val="24"/>
          <w:szCs w:val="24"/>
        </w:rPr>
      </w:pPr>
    </w:p>
    <w:p w14:paraId="63A27AFD" w14:textId="77777777" w:rsidR="00D35B12" w:rsidRDefault="00D35B12" w:rsidP="00546232">
      <w:pPr>
        <w:ind w:firstLine="90"/>
        <w:jc w:val="both"/>
        <w:rPr>
          <w:rFonts w:ascii="Times New Roman" w:hAnsi="Times New Roman" w:cs="Times New Roman"/>
          <w:sz w:val="24"/>
          <w:szCs w:val="24"/>
        </w:rPr>
      </w:pPr>
    </w:p>
    <w:p w14:paraId="3AC5B1B3" w14:textId="77777777" w:rsidR="00D35B12" w:rsidRDefault="00D35B12" w:rsidP="00546232">
      <w:pPr>
        <w:ind w:firstLine="90"/>
        <w:jc w:val="both"/>
        <w:rPr>
          <w:rFonts w:ascii="Times New Roman" w:hAnsi="Times New Roman" w:cs="Times New Roman"/>
          <w:sz w:val="24"/>
          <w:szCs w:val="24"/>
        </w:rPr>
      </w:pPr>
    </w:p>
    <w:p w14:paraId="009AB2A4" w14:textId="77777777" w:rsidR="00D35B12" w:rsidRDefault="00D35B12" w:rsidP="00546232">
      <w:pPr>
        <w:ind w:firstLine="90"/>
        <w:jc w:val="both"/>
        <w:rPr>
          <w:rFonts w:ascii="Times New Roman" w:hAnsi="Times New Roman" w:cs="Times New Roman"/>
          <w:sz w:val="24"/>
          <w:szCs w:val="24"/>
        </w:rPr>
      </w:pPr>
    </w:p>
    <w:p w14:paraId="7AF84F4B" w14:textId="77777777" w:rsidR="00D35B12" w:rsidRDefault="00D35B12" w:rsidP="00546232">
      <w:pPr>
        <w:ind w:firstLine="90"/>
        <w:jc w:val="both"/>
        <w:rPr>
          <w:rFonts w:ascii="Times New Roman" w:hAnsi="Times New Roman" w:cs="Times New Roman"/>
          <w:sz w:val="24"/>
          <w:szCs w:val="24"/>
        </w:rPr>
      </w:pPr>
    </w:p>
    <w:p w14:paraId="0B5F523D" w14:textId="77777777" w:rsidR="00D35B12" w:rsidRPr="00CA75E1" w:rsidRDefault="00000000" w:rsidP="00D35B12">
      <w:pPr>
        <w:ind w:firstLine="90"/>
        <w:jc w:val="both"/>
        <w:rPr>
          <w:rFonts w:ascii="Times New Roman" w:hAnsi="Times New Roman" w:cs="Times New Roman"/>
          <w:b/>
          <w:bCs/>
          <w:sz w:val="24"/>
          <w:szCs w:val="24"/>
        </w:rPr>
      </w:pPr>
      <w:r w:rsidRPr="00CA75E1">
        <w:rPr>
          <w:rFonts w:ascii="Times New Roman" w:hAnsi="Times New Roman" w:cs="Times New Roman"/>
          <w:b/>
          <w:bCs/>
          <w:sz w:val="24"/>
          <w:szCs w:val="24"/>
        </w:rPr>
        <w:lastRenderedPageBreak/>
        <w:t>References</w:t>
      </w:r>
    </w:p>
    <w:p w14:paraId="5E211DF0" w14:textId="62E2A6BB"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OPEC Annual Statistical Bulletin 2025. https://www.opec.org/assets/assetdb/asb-2025.pdf</w:t>
      </w:r>
    </w:p>
    <w:p w14:paraId="2958C0F6" w14:textId="06223C1D" w:rsidR="00CA75E1"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 xml:space="preserve">IGU World LNG Report 2025. </w:t>
      </w:r>
      <w:hyperlink r:id="rId9" w:history="1">
        <w:r w:rsidR="00CA75E1" w:rsidRPr="00EE1880">
          <w:rPr>
            <w:rStyle w:val="Hyperlink"/>
            <w:rFonts w:ascii="Times New Roman" w:hAnsi="Times New Roman" w:cs="Times New Roman"/>
            <w:sz w:val="24"/>
            <w:szCs w:val="24"/>
          </w:rPr>
          <w:t>https://www.datocms-assets.com/146580/1751026179-igu-world-lng-report-2025-hr_dp_c.pdf</w:t>
        </w:r>
      </w:hyperlink>
    </w:p>
    <w:p w14:paraId="39BA8C2A" w14:textId="2B0B410C" w:rsidR="00CA75E1"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 xml:space="preserve">IGU World LNG Report 2026. </w:t>
      </w:r>
      <w:hyperlink r:id="rId10" w:history="1">
        <w:r w:rsidR="00CA75E1" w:rsidRPr="00EE1880">
          <w:rPr>
            <w:rStyle w:val="Hyperlink"/>
            <w:rFonts w:ascii="Times New Roman" w:hAnsi="Times New Roman" w:cs="Times New Roman"/>
            <w:sz w:val="24"/>
            <w:szCs w:val="24"/>
          </w:rPr>
          <w:t>https://www.datocms-assets.com/146580/1783403747-igu-world-lng-report-2026.pdf</w:t>
        </w:r>
      </w:hyperlink>
    </w:p>
    <w:p w14:paraId="3266ECAD" w14:textId="1778B1AD" w:rsidR="00CA75E1"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 xml:space="preserve">NLNG Facts and Figures 2024. </w:t>
      </w:r>
      <w:hyperlink r:id="rId11" w:history="1">
        <w:r w:rsidR="00CA75E1" w:rsidRPr="00EE1880">
          <w:rPr>
            <w:rStyle w:val="Hyperlink"/>
            <w:rFonts w:ascii="Times New Roman" w:hAnsi="Times New Roman" w:cs="Times New Roman"/>
            <w:sz w:val="24"/>
            <w:szCs w:val="24"/>
          </w:rPr>
          <w:t>https://www.nlng.com/documents/2024_NLNG_FACTS_FIGURESB_compressed.pdf</w:t>
        </w:r>
      </w:hyperlink>
    </w:p>
    <w:p w14:paraId="19544865" w14:textId="05DAB539"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U.S. EIA Country Analysis Brief: Nigeria (2025). https://www.eia.gov/international/content/analysis/countries_long/Nigeria/Nigeria-2025.pdf</w:t>
      </w:r>
    </w:p>
    <w:p w14:paraId="516A055C" w14:textId="2C83D590"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IEA Gas 2025. https://iea.blob.core.windows.net/assets/db3d568d-b985-4cc2-bb1a-119517f118ac/Gas2025.pdf</w:t>
      </w:r>
    </w:p>
    <w:p w14:paraId="6B5C7CE0" w14:textId="48A4C0CA"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 xml:space="preserve">Shell LNG Outlook 2025. </w:t>
      </w:r>
      <w:hyperlink r:id="rId12" w:history="1">
        <w:r w:rsidR="00CA75E1" w:rsidRPr="00EE1880">
          <w:rPr>
            <w:rStyle w:val="Hyperlink"/>
            <w:rFonts w:ascii="Times New Roman" w:hAnsi="Times New Roman" w:cs="Times New Roman"/>
            <w:sz w:val="24"/>
            <w:szCs w:val="24"/>
          </w:rPr>
          <w:t>https://www.shell.com/what-we-do/oil-and-natural-gas/liquefied-natural-gas-lng/lng-outlook</w:t>
        </w:r>
      </w:hyperlink>
      <w:r w:rsidR="00CA75E1">
        <w:rPr>
          <w:rFonts w:ascii="Times New Roman" w:hAnsi="Times New Roman" w:cs="Times New Roman"/>
          <w:sz w:val="24"/>
          <w:szCs w:val="24"/>
        </w:rPr>
        <w:t xml:space="preserve"> </w:t>
      </w:r>
    </w:p>
    <w:p w14:paraId="562F9123" w14:textId="2B64B209"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Reuters: Nigeria sees more interest from LNG buyers (2026-03-25). https://www.reuters.com/business/energy/ceraweek-nigeria-has-seen-spike-interest-buyers-its-lng-cargoes-nnpc-says-2026-03-25/</w:t>
      </w:r>
    </w:p>
    <w:p w14:paraId="79DFDDFA" w14:textId="754E4B1E"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Reuters: Nigeria licenses first floating LNG plant (2024-09-06). https://www.reuters.com/business/energy/nigeria-licenses-first-floating-lng-plant-export-domestic-use-2024-09-06/</w:t>
      </w:r>
    </w:p>
    <w:p w14:paraId="1C53C01A" w14:textId="455AC942"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Reuters: ExxonMobil pushing forward with Mozambique LNG (2024-05-02). https://www.reuters.com/business/energy/exxon-mobil-pushing-forward-with-mozambique-lng-project-official-says-2024-05-02/</w:t>
      </w:r>
    </w:p>
    <w:p w14:paraId="53FD57B9" w14:textId="33EFC7D3"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Reuters: Tanzania expects to sign LNG project deal (2026-01-26). https://www.reuters.com/business/energy/tanzania-expects-sign-42-billion-mega-lng-project-before-june-minister-says-2026-01-26/</w:t>
      </w:r>
    </w:p>
    <w:p w14:paraId="391B297A" w14:textId="4FBF18B1"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Reuters: BP/Mauritania-Senegal GTA project update (2025-03-05). https://www.reuters.com/business/energy/bp-says-gas-bubbles-discovered-senegal-mauritania-gta-project-2025-03-05/</w:t>
      </w:r>
    </w:p>
    <w:p w14:paraId="6212FBEB" w14:textId="1E4B0C58"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World Bank Global Gas Flaring Tracker Report 2025. https://thedocs.worldbank.org/en/doc/bd2432bbb0e514986f382f61b14b2608-0400072025/original/Global-Gas-Flaring-Tracker-Report-July-2025.pdf</w:t>
      </w:r>
    </w:p>
    <w:p w14:paraId="0D5754F8" w14:textId="3FA9DE5B"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Reuters: Portugal to import more U.S., Nigerian LNG (2025-01-21). https://www.reuters.com/business/energy/portugal-import-more-us-nigerian-lng-aims-end-russian-supply-2025-01-21/</w:t>
      </w:r>
    </w:p>
    <w:p w14:paraId="6A636577" w14:textId="66C7D01E" w:rsidR="00C20F6D" w:rsidRPr="00546232" w:rsidRDefault="00000000" w:rsidP="00CA75E1">
      <w:pPr>
        <w:spacing w:line="240" w:lineRule="auto"/>
        <w:rPr>
          <w:rFonts w:ascii="Times New Roman" w:hAnsi="Times New Roman" w:cs="Times New Roman"/>
          <w:sz w:val="24"/>
          <w:szCs w:val="24"/>
        </w:rPr>
      </w:pPr>
      <w:proofErr w:type="spellStart"/>
      <w:r w:rsidRPr="00546232">
        <w:rPr>
          <w:rFonts w:ascii="Times New Roman" w:hAnsi="Times New Roman" w:cs="Times New Roman"/>
          <w:sz w:val="24"/>
          <w:szCs w:val="24"/>
        </w:rPr>
        <w:t>Businessfront</w:t>
      </w:r>
      <w:proofErr w:type="spellEnd"/>
      <w:r w:rsidRPr="00546232">
        <w:rPr>
          <w:rFonts w:ascii="Times New Roman" w:hAnsi="Times New Roman" w:cs="Times New Roman"/>
          <w:sz w:val="24"/>
          <w:szCs w:val="24"/>
        </w:rPr>
        <w:t>: NNPC CEO on Nigeria LNG destination mix (2025). https://businessfront.com/energy/insights/about-60-of-nigerias-lng-goes-to-portugal-and-spain-nnpc-boss-reveals/</w:t>
      </w:r>
    </w:p>
    <w:p w14:paraId="023868FD" w14:textId="48F2067F"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lastRenderedPageBreak/>
        <w:t>Reuters: NLNG inks long-term contracts to secure gas supply (2025-08-23). https://www.reuters.com/business/energy/nigeria-lng-inks-long-term-contracts-secure-gas-supply-2025-08-23/</w:t>
      </w:r>
    </w:p>
    <w:p w14:paraId="492074D2" w14:textId="4FC73993"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Reuters: NNPC says pipeline theft nearly eliminated (2025-08-25). https://www.reuters.com/business/energy/nigerias-nnpc-says-pipeline-theft-has-been-nearly-eliminated-2025-08-25/</w:t>
      </w:r>
    </w:p>
    <w:p w14:paraId="7D2E7DFF" w14:textId="1E27F6C4" w:rsidR="00C20F6D" w:rsidRPr="00546232" w:rsidRDefault="00000000" w:rsidP="00CA75E1">
      <w:pPr>
        <w:spacing w:line="240" w:lineRule="auto"/>
        <w:rPr>
          <w:rFonts w:ascii="Times New Roman" w:hAnsi="Times New Roman" w:cs="Times New Roman"/>
          <w:sz w:val="24"/>
          <w:szCs w:val="24"/>
        </w:rPr>
      </w:pPr>
      <w:r w:rsidRPr="00546232">
        <w:rPr>
          <w:rFonts w:ascii="Times New Roman" w:hAnsi="Times New Roman" w:cs="Times New Roman"/>
          <w:sz w:val="24"/>
          <w:szCs w:val="24"/>
        </w:rPr>
        <w:t>Reuters: Nigeria LNG signs EPC contract for Train 7 (2020-05-13). https://www.reuters.com/article/business/finance/nigeria-lng-signs-epc-contract-for-train-7-oil-minister-idUSKBN22P2P8/</w:t>
      </w:r>
    </w:p>
    <w:sectPr w:rsidR="00C20F6D" w:rsidRPr="00546232" w:rsidSect="00546232">
      <w:pgSz w:w="12240" w:h="15840"/>
      <w:pgMar w:top="1170" w:right="990" w:bottom="81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BC58DB"/>
    <w:multiLevelType w:val="hybridMultilevel"/>
    <w:tmpl w:val="33221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902418">
    <w:abstractNumId w:val="8"/>
  </w:num>
  <w:num w:numId="2" w16cid:durableId="497692262">
    <w:abstractNumId w:val="6"/>
  </w:num>
  <w:num w:numId="3" w16cid:durableId="554199115">
    <w:abstractNumId w:val="5"/>
  </w:num>
  <w:num w:numId="4" w16cid:durableId="1149712682">
    <w:abstractNumId w:val="4"/>
  </w:num>
  <w:num w:numId="5" w16cid:durableId="573398377">
    <w:abstractNumId w:val="7"/>
  </w:num>
  <w:num w:numId="6" w16cid:durableId="534930172">
    <w:abstractNumId w:val="3"/>
  </w:num>
  <w:num w:numId="7" w16cid:durableId="538051401">
    <w:abstractNumId w:val="2"/>
  </w:num>
  <w:num w:numId="8" w16cid:durableId="1598440590">
    <w:abstractNumId w:val="1"/>
  </w:num>
  <w:num w:numId="9" w16cid:durableId="935671596">
    <w:abstractNumId w:val="0"/>
  </w:num>
  <w:num w:numId="10" w16cid:durableId="1938578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17C96"/>
    <w:rsid w:val="00326F90"/>
    <w:rsid w:val="00546232"/>
    <w:rsid w:val="00AA1D8D"/>
    <w:rsid w:val="00B47730"/>
    <w:rsid w:val="00C20F6D"/>
    <w:rsid w:val="00CA75E1"/>
    <w:rsid w:val="00CB0664"/>
    <w:rsid w:val="00D35B12"/>
    <w:rsid w:val="00EE2D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18278C"/>
  <w14:defaultImageDpi w14:val="300"/>
  <w15:docId w15:val="{532A0C08-8F3A-4C86-BAFE-37567A46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2">
    <w:name w:val="Plain Table 2"/>
    <w:basedOn w:val="TableNormal"/>
    <w:uiPriority w:val="99"/>
    <w:rsid w:val="005462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CA75E1"/>
    <w:rPr>
      <w:color w:val="0000FF" w:themeColor="hyperlink"/>
      <w:u w:val="single"/>
    </w:rPr>
  </w:style>
  <w:style w:type="character" w:styleId="UnresolvedMention">
    <w:name w:val="Unresolved Mention"/>
    <w:basedOn w:val="DefaultParagraphFont"/>
    <w:uiPriority w:val="99"/>
    <w:semiHidden/>
    <w:unhideWhenUsed/>
    <w:rsid w:val="00CA7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shell.com/what-we-do/oil-and-natural-gas/liquefied-natural-gas-lng/lng-outloo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nlng.com/documents/2024_NLNG_FACTS_FIGURESB_compressed.pdf" TargetMode="External"/><Relationship Id="rId5" Type="http://schemas.openxmlformats.org/officeDocument/2006/relationships/webSettings" Target="webSettings.xml"/><Relationship Id="rId10" Type="http://schemas.openxmlformats.org/officeDocument/2006/relationships/hyperlink" Target="https://www.datocms-assets.com/146580/1783403747-igu-world-lng-report-2026.pdf" TargetMode="External"/><Relationship Id="rId4" Type="http://schemas.openxmlformats.org/officeDocument/2006/relationships/settings" Target="settings.xml"/><Relationship Id="rId9" Type="http://schemas.openxmlformats.org/officeDocument/2006/relationships/hyperlink" Target="https://www.datocms-assets.com/146580/1751026179-igu-world-lng-report-2025-hr_dp_c.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2344</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3</cp:revision>
  <dcterms:created xsi:type="dcterms:W3CDTF">2013-12-23T23:15:00Z</dcterms:created>
  <dcterms:modified xsi:type="dcterms:W3CDTF">2026-07-09T13:42:00Z</dcterms:modified>
  <cp:category/>
</cp:coreProperties>
</file>