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C6AAE" w14:textId="32D194DA" w:rsidR="0070009B" w:rsidRPr="0070009B" w:rsidRDefault="0070009B" w:rsidP="0070009B">
      <w:pPr>
        <w:spacing w:line="276" w:lineRule="auto"/>
        <w:jc w:val="both"/>
        <w:rPr>
          <w:rFonts w:ascii="Times New Roman" w:hAnsi="Times New Roman" w:cs="Times New Roman"/>
          <w:b/>
          <w:bCs/>
        </w:rPr>
      </w:pPr>
      <w:r w:rsidRPr="00802EB3">
        <w:rPr>
          <w:rFonts w:ascii="Times New Roman" w:hAnsi="Times New Roman" w:cs="Times New Roman"/>
          <w:b/>
          <w:bCs/>
        </w:rPr>
        <w:t>MONETIZING NIGERIA'S VAST NATURAL GAS RESERVES: ASSESSING THE GAP BETWEEN RESOURCE POTENTIAL AND EXPORT PERFORMANCE</w:t>
      </w:r>
    </w:p>
    <w:p w14:paraId="2B95780B" w14:textId="2AFCEF83" w:rsidR="0070009B" w:rsidRPr="0070009B" w:rsidRDefault="0070009B" w:rsidP="0070009B">
      <w:pPr>
        <w:spacing w:line="276" w:lineRule="auto"/>
        <w:jc w:val="both"/>
        <w:rPr>
          <w:rFonts w:ascii="Times New Roman" w:hAnsi="Times New Roman" w:cs="Times New Roman"/>
          <w:b/>
          <w:bCs/>
          <w:u w:val="single"/>
        </w:rPr>
      </w:pPr>
      <w:r w:rsidRPr="00802EB3">
        <w:rPr>
          <w:rFonts w:ascii="Times New Roman" w:hAnsi="Times New Roman" w:cs="Times New Roman"/>
          <w:b/>
          <w:bCs/>
          <w:u w:val="single"/>
        </w:rPr>
        <w:t>Executive Summary</w:t>
      </w:r>
    </w:p>
    <w:p w14:paraId="202B07E1" w14:textId="2324BDC1"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Nigeria holds 210.54 trillion cubic feet (</w:t>
      </w:r>
      <w:proofErr w:type="spellStart"/>
      <w:r w:rsidRPr="0070009B">
        <w:rPr>
          <w:rFonts w:ascii="Times New Roman" w:hAnsi="Times New Roman" w:cs="Times New Roman"/>
        </w:rPr>
        <w:t>Tcf</w:t>
      </w:r>
      <w:proofErr w:type="spellEnd"/>
      <w:r w:rsidRPr="0070009B">
        <w:rPr>
          <w:rFonts w:ascii="Times New Roman" w:hAnsi="Times New Roman" w:cs="Times New Roman"/>
        </w:rPr>
        <w:t>) of proven natural gas reserves</w:t>
      </w:r>
      <w:r w:rsidR="00802EB3">
        <w:rPr>
          <w:rFonts w:ascii="Times New Roman" w:hAnsi="Times New Roman" w:cs="Times New Roman"/>
        </w:rPr>
        <w:t xml:space="preserve"> </w:t>
      </w:r>
      <w:r w:rsidRPr="0070009B">
        <w:rPr>
          <w:rFonts w:ascii="Times New Roman" w:hAnsi="Times New Roman" w:cs="Times New Roman"/>
        </w:rPr>
        <w:t>the largest in Africa and among the top ten globally</w:t>
      </w:r>
      <w:r w:rsidR="00802EB3">
        <w:rPr>
          <w:rFonts w:ascii="Times New Roman" w:hAnsi="Times New Roman" w:cs="Times New Roman"/>
        </w:rPr>
        <w:t xml:space="preserve"> </w:t>
      </w:r>
      <w:r w:rsidRPr="0070009B">
        <w:rPr>
          <w:rFonts w:ascii="Times New Roman" w:hAnsi="Times New Roman" w:cs="Times New Roman"/>
        </w:rPr>
        <w:t>yet converts only a fraction of this endowment into economic value. Current national gas production stands at approximately 7.59 billion standard cubic feet per day (</w:t>
      </w:r>
      <w:proofErr w:type="spellStart"/>
      <w:r w:rsidRPr="0070009B">
        <w:rPr>
          <w:rFonts w:ascii="Times New Roman" w:hAnsi="Times New Roman" w:cs="Times New Roman"/>
        </w:rPr>
        <w:t>Bscf</w:t>
      </w:r>
      <w:proofErr w:type="spellEnd"/>
      <w:r w:rsidRPr="0070009B">
        <w:rPr>
          <w:rFonts w:ascii="Times New Roman" w:hAnsi="Times New Roman" w:cs="Times New Roman"/>
        </w:rPr>
        <w:t xml:space="preserve">/d), with 3 </w:t>
      </w:r>
      <w:proofErr w:type="spellStart"/>
      <w:r w:rsidRPr="0070009B">
        <w:rPr>
          <w:rFonts w:ascii="Times New Roman" w:hAnsi="Times New Roman" w:cs="Times New Roman"/>
        </w:rPr>
        <w:t>Bscf</w:t>
      </w:r>
      <w:proofErr w:type="spellEnd"/>
      <w:r w:rsidRPr="0070009B">
        <w:rPr>
          <w:rFonts w:ascii="Times New Roman" w:hAnsi="Times New Roman" w:cs="Times New Roman"/>
        </w:rPr>
        <w:t xml:space="preserve">/d exported as LNG and merely 1.5 </w:t>
      </w:r>
      <w:proofErr w:type="spellStart"/>
      <w:r w:rsidRPr="0070009B">
        <w:rPr>
          <w:rFonts w:ascii="Times New Roman" w:hAnsi="Times New Roman" w:cs="Times New Roman"/>
        </w:rPr>
        <w:t>Bscf</w:t>
      </w:r>
      <w:proofErr w:type="spellEnd"/>
      <w:r w:rsidRPr="0070009B">
        <w:rPr>
          <w:rFonts w:ascii="Times New Roman" w:hAnsi="Times New Roman" w:cs="Times New Roman"/>
        </w:rPr>
        <w:t>/d utilized domestically (Policy Center for the New South, 2024; NUPRC, 2025). The monetization gap is stark: with a production-to-reserves ratio of approximately 1%, Nigeria ranks 17th in global gas production despite being a top-10 reserve holder (PwC, 2024).</w:t>
      </w:r>
    </w:p>
    <w:p w14:paraId="2DD9F9F6"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b/>
          <w:bCs/>
        </w:rPr>
        <w:t>Key Constraints:</w:t>
      </w:r>
      <w:r w:rsidRPr="0070009B">
        <w:rPr>
          <w:rFonts w:ascii="Times New Roman" w:hAnsi="Times New Roman" w:cs="Times New Roman"/>
        </w:rPr>
        <w:t xml:space="preserve"> Infrastructure deficits, persistent pipeline vandalism and crude theft, gas flaring (7.16% of production as of July 2025, down from historical peaks), regulatory fragmentation, pricing distortions, financing gaps estimated at $60 billion through 2030, and security challenges in the Niger Delta continue to suppress output and investment (World Bank, 2025; NNPC Ltd., 2025).</w:t>
      </w:r>
    </w:p>
    <w:p w14:paraId="1E572730"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b/>
          <w:bCs/>
        </w:rPr>
        <w:t>Emerging Opportunities:</w:t>
      </w:r>
      <w:r w:rsidRPr="0070009B">
        <w:rPr>
          <w:rFonts w:ascii="Times New Roman" w:hAnsi="Times New Roman" w:cs="Times New Roman"/>
        </w:rPr>
        <w:t xml:space="preserve"> The Petroleum Industry Act (PIA) 2021 has improved governance architecture and fiscal terms for gas. The Decade of Gas Initiative (2021–2030) is driving policy focus. NLNG Train 7 (92% complete as of May 2026) will expand LNG capacity from 22 to 30 million </w:t>
      </w:r>
      <w:proofErr w:type="spellStart"/>
      <w:r w:rsidRPr="0070009B">
        <w:rPr>
          <w:rFonts w:ascii="Times New Roman" w:hAnsi="Times New Roman" w:cs="Times New Roman"/>
        </w:rPr>
        <w:t>tonnes</w:t>
      </w:r>
      <w:proofErr w:type="spellEnd"/>
      <w:r w:rsidRPr="0070009B">
        <w:rPr>
          <w:rFonts w:ascii="Times New Roman" w:hAnsi="Times New Roman" w:cs="Times New Roman"/>
        </w:rPr>
        <w:t xml:space="preserve"> per annum (MTPA). The Ajaokuta–Kaduna–Kano (AKK) and OB3 pipelines are nearing completion, promising to unlock northern and western gas markets. In 2024, Nigeria's gas sector attracted over $5 billion in new investments, with the country accounting for three of four Final Investment Decisions by global majors in Africa, totaling $13.5 billion (Forbes Africa, 2025).</w:t>
      </w:r>
    </w:p>
    <w:p w14:paraId="10872798"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b/>
          <w:bCs/>
        </w:rPr>
        <w:t>Intelligence Assessment:</w:t>
      </w:r>
      <w:r w:rsidRPr="0070009B">
        <w:rPr>
          <w:rFonts w:ascii="Times New Roman" w:hAnsi="Times New Roman" w:cs="Times New Roman"/>
        </w:rPr>
        <w:t xml:space="preserve"> Nigeria is at an inflection point. The policy framework has improved materially, but execution risks remain elevated. Without accelerated infrastructure deployment, security stabilization, and pricing reform, Nigeria risks ceding market share to Qatar, the United States, and Mozambique in the global LNG surge of 2026–2028.</w:t>
      </w:r>
    </w:p>
    <w:p w14:paraId="2C06ACD0"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b/>
          <w:bCs/>
        </w:rPr>
        <w:t>Strategic Outlook (2026–2035):</w:t>
      </w:r>
      <w:r w:rsidRPr="0070009B">
        <w:rPr>
          <w:rFonts w:ascii="Times New Roman" w:hAnsi="Times New Roman" w:cs="Times New Roman"/>
        </w:rPr>
        <w:t xml:space="preserve"> Under an optimistic scenario, Nigeria could double gas production to 12 </w:t>
      </w:r>
      <w:proofErr w:type="spellStart"/>
      <w:r w:rsidRPr="0070009B">
        <w:rPr>
          <w:rFonts w:ascii="Times New Roman" w:hAnsi="Times New Roman" w:cs="Times New Roman"/>
        </w:rPr>
        <w:t>Bscf</w:t>
      </w:r>
      <w:proofErr w:type="spellEnd"/>
      <w:r w:rsidRPr="0070009B">
        <w:rPr>
          <w:rFonts w:ascii="Times New Roman" w:hAnsi="Times New Roman" w:cs="Times New Roman"/>
        </w:rPr>
        <w:t>/d, expand LNG exports to 35+ MTPA, and anchor West African regional gas trade. Under a pessimistic scenario, persistent bottlenecks could relegate Nigeria to marginal supplier status as global LNG markets tip into oversupply.</w:t>
      </w:r>
    </w:p>
    <w:p w14:paraId="3971BE93" w14:textId="539065A9" w:rsidR="0070009B" w:rsidRDefault="0070009B" w:rsidP="0070009B">
      <w:pPr>
        <w:spacing w:line="276" w:lineRule="auto"/>
        <w:jc w:val="both"/>
        <w:rPr>
          <w:rFonts w:ascii="Times New Roman" w:hAnsi="Times New Roman" w:cs="Times New Roman"/>
        </w:rPr>
      </w:pPr>
    </w:p>
    <w:p w14:paraId="36168403" w14:textId="77777777" w:rsidR="00802EB3" w:rsidRDefault="00802EB3" w:rsidP="0070009B">
      <w:pPr>
        <w:spacing w:line="276" w:lineRule="auto"/>
        <w:jc w:val="both"/>
        <w:rPr>
          <w:rFonts w:ascii="Times New Roman" w:hAnsi="Times New Roman" w:cs="Times New Roman"/>
        </w:rPr>
      </w:pPr>
    </w:p>
    <w:p w14:paraId="787ABE24" w14:textId="77777777" w:rsidR="00802EB3" w:rsidRDefault="00802EB3" w:rsidP="0070009B">
      <w:pPr>
        <w:spacing w:line="276" w:lineRule="auto"/>
        <w:jc w:val="both"/>
        <w:rPr>
          <w:rFonts w:ascii="Times New Roman" w:hAnsi="Times New Roman" w:cs="Times New Roman"/>
        </w:rPr>
      </w:pPr>
    </w:p>
    <w:p w14:paraId="25CB0B13" w14:textId="77777777" w:rsidR="00802EB3" w:rsidRDefault="00802EB3" w:rsidP="0070009B">
      <w:pPr>
        <w:spacing w:line="276" w:lineRule="auto"/>
        <w:jc w:val="both"/>
        <w:rPr>
          <w:rFonts w:ascii="Times New Roman" w:hAnsi="Times New Roman" w:cs="Times New Roman"/>
        </w:rPr>
      </w:pPr>
    </w:p>
    <w:p w14:paraId="07DFF0BB" w14:textId="77777777" w:rsidR="00802EB3" w:rsidRPr="0070009B" w:rsidRDefault="00802EB3" w:rsidP="0070009B">
      <w:pPr>
        <w:spacing w:line="276" w:lineRule="auto"/>
        <w:jc w:val="both"/>
        <w:rPr>
          <w:rFonts w:ascii="Times New Roman" w:hAnsi="Times New Roman" w:cs="Times New Roman"/>
        </w:rPr>
      </w:pPr>
    </w:p>
    <w:p w14:paraId="5BA8DA0D" w14:textId="77777777" w:rsidR="0070009B" w:rsidRPr="0070009B" w:rsidRDefault="0070009B" w:rsidP="0070009B">
      <w:pPr>
        <w:spacing w:line="276" w:lineRule="auto"/>
        <w:jc w:val="both"/>
        <w:rPr>
          <w:rFonts w:ascii="Times New Roman" w:hAnsi="Times New Roman" w:cs="Times New Roman"/>
          <w:b/>
          <w:bCs/>
        </w:rPr>
      </w:pPr>
      <w:r w:rsidRPr="0070009B">
        <w:rPr>
          <w:rFonts w:ascii="Times New Roman" w:hAnsi="Times New Roman" w:cs="Times New Roman"/>
          <w:b/>
          <w:bCs/>
        </w:rPr>
        <w:lastRenderedPageBreak/>
        <w:t>1. NIGERIA'S NATURAL GAS RESOURCE BASE</w:t>
      </w:r>
    </w:p>
    <w:p w14:paraId="77C21DF4"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 xml:space="preserve">Nigeria's proven natural gas reserves reached 210.54 </w:t>
      </w:r>
      <w:proofErr w:type="spellStart"/>
      <w:r w:rsidRPr="0070009B">
        <w:rPr>
          <w:rFonts w:ascii="Times New Roman" w:hAnsi="Times New Roman" w:cs="Times New Roman"/>
        </w:rPr>
        <w:t>Tcf</w:t>
      </w:r>
      <w:proofErr w:type="spellEnd"/>
      <w:r w:rsidRPr="0070009B">
        <w:rPr>
          <w:rFonts w:ascii="Times New Roman" w:hAnsi="Times New Roman" w:cs="Times New Roman"/>
        </w:rPr>
        <w:t xml:space="preserve"> as of January 2025, representing 33% of Africa's total gas reserves and positioning the country as the continent's undisputed gas giant (NUPRC, 2025; </w:t>
      </w:r>
      <w:proofErr w:type="spellStart"/>
      <w:r w:rsidRPr="0070009B">
        <w:rPr>
          <w:rFonts w:ascii="Times New Roman" w:hAnsi="Times New Roman" w:cs="Times New Roman"/>
        </w:rPr>
        <w:t>Afripoli</w:t>
      </w:r>
      <w:proofErr w:type="spellEnd"/>
      <w:r w:rsidRPr="0070009B">
        <w:rPr>
          <w:rFonts w:ascii="Times New Roman" w:hAnsi="Times New Roman" w:cs="Times New Roman"/>
        </w:rPr>
        <w:t xml:space="preserve">, 2026). Estimated unproven reserves exceed 600 </w:t>
      </w:r>
      <w:proofErr w:type="spellStart"/>
      <w:r w:rsidRPr="0070009B">
        <w:rPr>
          <w:rFonts w:ascii="Times New Roman" w:hAnsi="Times New Roman" w:cs="Times New Roman"/>
        </w:rPr>
        <w:t>Tcf</w:t>
      </w:r>
      <w:proofErr w:type="spellEnd"/>
      <w:r w:rsidRPr="0070009B">
        <w:rPr>
          <w:rFonts w:ascii="Times New Roman" w:hAnsi="Times New Roman" w:cs="Times New Roman"/>
        </w:rPr>
        <w:t>, suggesting substantial upside from exploration.</w:t>
      </w:r>
    </w:p>
    <w:p w14:paraId="6D0415CB"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Reserve Characteristics:</w:t>
      </w:r>
    </w:p>
    <w:p w14:paraId="50C50C33" w14:textId="77777777" w:rsidR="0070009B" w:rsidRPr="0070009B" w:rsidRDefault="0070009B" w:rsidP="0070009B">
      <w:pPr>
        <w:numPr>
          <w:ilvl w:val="0"/>
          <w:numId w:val="2"/>
        </w:numPr>
        <w:spacing w:line="276" w:lineRule="auto"/>
        <w:jc w:val="both"/>
        <w:rPr>
          <w:rFonts w:ascii="Times New Roman" w:hAnsi="Times New Roman" w:cs="Times New Roman"/>
        </w:rPr>
      </w:pPr>
      <w:r w:rsidRPr="0070009B">
        <w:rPr>
          <w:rFonts w:ascii="Times New Roman" w:hAnsi="Times New Roman" w:cs="Times New Roman"/>
        </w:rPr>
        <w:t>Associated vs. Non-Associated: A significant portion of Nigeria's gas is associated with oil production, making output vulnerable to oil investment cycles and OPEC quotas. The shift toward non-associated gas development is critical for sustainable production growth.</w:t>
      </w:r>
    </w:p>
    <w:p w14:paraId="3271D952" w14:textId="77777777" w:rsidR="0070009B" w:rsidRPr="0070009B" w:rsidRDefault="0070009B" w:rsidP="0070009B">
      <w:pPr>
        <w:numPr>
          <w:ilvl w:val="0"/>
          <w:numId w:val="2"/>
        </w:numPr>
        <w:spacing w:line="276" w:lineRule="auto"/>
        <w:jc w:val="both"/>
        <w:rPr>
          <w:rFonts w:ascii="Times New Roman" w:hAnsi="Times New Roman" w:cs="Times New Roman"/>
        </w:rPr>
      </w:pPr>
      <w:r w:rsidRPr="0070009B">
        <w:rPr>
          <w:rFonts w:ascii="Times New Roman" w:hAnsi="Times New Roman" w:cs="Times New Roman"/>
        </w:rPr>
        <w:t xml:space="preserve">Geographic Distribution: Reserves are concentrated in the Niger Delta basin (onshore and offshore), with emerging deepwater prospects in the Bonga, Egina, and </w:t>
      </w:r>
      <w:proofErr w:type="spellStart"/>
      <w:r w:rsidRPr="0070009B">
        <w:rPr>
          <w:rFonts w:ascii="Times New Roman" w:hAnsi="Times New Roman" w:cs="Times New Roman"/>
        </w:rPr>
        <w:t>Zabazaba</w:t>
      </w:r>
      <w:proofErr w:type="spellEnd"/>
      <w:r w:rsidRPr="0070009B">
        <w:rPr>
          <w:rFonts w:ascii="Times New Roman" w:hAnsi="Times New Roman" w:cs="Times New Roman"/>
        </w:rPr>
        <w:t xml:space="preserve"> fields.</w:t>
      </w:r>
    </w:p>
    <w:p w14:paraId="54AADBA1" w14:textId="77777777" w:rsidR="0070009B" w:rsidRDefault="0070009B" w:rsidP="0070009B">
      <w:pPr>
        <w:numPr>
          <w:ilvl w:val="0"/>
          <w:numId w:val="2"/>
        </w:numPr>
        <w:spacing w:line="276" w:lineRule="auto"/>
        <w:jc w:val="both"/>
        <w:rPr>
          <w:rFonts w:ascii="Times New Roman" w:hAnsi="Times New Roman" w:cs="Times New Roman"/>
        </w:rPr>
      </w:pPr>
      <w:r w:rsidRPr="0070009B">
        <w:rPr>
          <w:rFonts w:ascii="Times New Roman" w:hAnsi="Times New Roman" w:cs="Times New Roman"/>
        </w:rPr>
        <w:t>Global Ranking: Nigeria holds the 9th largest proven reserves globally, behind Russia, Iran, Qatar, Turkmenistan, the United States, China, Saudi Arabia, and the UAE (EIA, 2025).</w:t>
      </w:r>
    </w:p>
    <w:p w14:paraId="1977DAC4" w14:textId="585806F0" w:rsidR="00802EB3" w:rsidRPr="0070009B" w:rsidRDefault="00802EB3" w:rsidP="00802EB3">
      <w:pPr>
        <w:spacing w:line="276" w:lineRule="auto"/>
        <w:jc w:val="both"/>
        <w:rPr>
          <w:rFonts w:ascii="Times New Roman" w:hAnsi="Times New Roman" w:cs="Times New Roman"/>
        </w:rPr>
      </w:pPr>
      <w:r>
        <w:rPr>
          <w:noProof/>
        </w:rPr>
        <w:drawing>
          <wp:inline distT="0" distB="0" distL="0" distR="0" wp14:anchorId="5DF01DDB" wp14:editId="1608CFEF">
            <wp:extent cx="5943600" cy="2640330"/>
            <wp:effectExtent l="0" t="0" r="0" b="7620"/>
            <wp:docPr id="253565916" name="Picture 1" descr="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previe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2640330"/>
                    </a:xfrm>
                    <a:prstGeom prst="rect">
                      <a:avLst/>
                    </a:prstGeom>
                    <a:noFill/>
                    <a:ln>
                      <a:noFill/>
                    </a:ln>
                  </pic:spPr>
                </pic:pic>
              </a:graphicData>
            </a:graphic>
          </wp:inline>
        </w:drawing>
      </w:r>
    </w:p>
    <w:p w14:paraId="7A4D8C98" w14:textId="430D8519"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 xml:space="preserve">Nigeria's 210.5 </w:t>
      </w:r>
      <w:proofErr w:type="spellStart"/>
      <w:r w:rsidRPr="0070009B">
        <w:rPr>
          <w:rFonts w:ascii="Times New Roman" w:hAnsi="Times New Roman" w:cs="Times New Roman"/>
        </w:rPr>
        <w:t>Tcf</w:t>
      </w:r>
      <w:proofErr w:type="spellEnd"/>
      <w:r w:rsidRPr="0070009B">
        <w:rPr>
          <w:rFonts w:ascii="Times New Roman" w:hAnsi="Times New Roman" w:cs="Times New Roman"/>
        </w:rPr>
        <w:t xml:space="preserve"> of proven reserves significantly outpace Algeria (159 </w:t>
      </w:r>
      <w:proofErr w:type="spellStart"/>
      <w:r w:rsidRPr="0070009B">
        <w:rPr>
          <w:rFonts w:ascii="Times New Roman" w:hAnsi="Times New Roman" w:cs="Times New Roman"/>
        </w:rPr>
        <w:t>Tcf</w:t>
      </w:r>
      <w:proofErr w:type="spellEnd"/>
      <w:r w:rsidRPr="0070009B">
        <w:rPr>
          <w:rFonts w:ascii="Times New Roman" w:hAnsi="Times New Roman" w:cs="Times New Roman"/>
        </w:rPr>
        <w:t xml:space="preserve">) and Egypt (62.8 </w:t>
      </w:r>
      <w:proofErr w:type="spellStart"/>
      <w:r w:rsidRPr="0070009B">
        <w:rPr>
          <w:rFonts w:ascii="Times New Roman" w:hAnsi="Times New Roman" w:cs="Times New Roman"/>
        </w:rPr>
        <w:t>Tcf</w:t>
      </w:r>
      <w:proofErr w:type="spellEnd"/>
      <w:r w:rsidRPr="0070009B">
        <w:rPr>
          <w:rFonts w:ascii="Times New Roman" w:hAnsi="Times New Roman" w:cs="Times New Roman"/>
        </w:rPr>
        <w:t>), giving it a commanding lead in Africa. However, this reserve advantage has not translated into proportional production or export dominance. Algeria, with smaller reserves, has historically exported more gas to Europe via pipeline, while Nigeria's export model remains heavily LNG-dependent and constrained by single-terminal capacity.</w:t>
      </w:r>
    </w:p>
    <w:p w14:paraId="016C7D6B" w14:textId="46473A42" w:rsid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Nigeria's reserve base is more than adequate to support a 50-year production horizon at significantly expanded rates. The constraint is not geology but above-ground factors—infrastructure, policy, and investment.</w:t>
      </w:r>
    </w:p>
    <w:p w14:paraId="5A9A8959" w14:textId="77777777" w:rsidR="00802EB3" w:rsidRPr="0070009B" w:rsidRDefault="00802EB3" w:rsidP="0070009B">
      <w:pPr>
        <w:spacing w:line="276" w:lineRule="auto"/>
        <w:jc w:val="both"/>
        <w:rPr>
          <w:rFonts w:ascii="Times New Roman" w:hAnsi="Times New Roman" w:cs="Times New Roman"/>
        </w:rPr>
      </w:pPr>
    </w:p>
    <w:p w14:paraId="3A141922" w14:textId="77777777" w:rsidR="0070009B" w:rsidRPr="0070009B" w:rsidRDefault="0070009B" w:rsidP="0070009B">
      <w:pPr>
        <w:spacing w:line="276" w:lineRule="auto"/>
        <w:jc w:val="both"/>
        <w:rPr>
          <w:rFonts w:ascii="Times New Roman" w:hAnsi="Times New Roman" w:cs="Times New Roman"/>
          <w:b/>
          <w:bCs/>
        </w:rPr>
      </w:pPr>
      <w:r w:rsidRPr="0070009B">
        <w:rPr>
          <w:rFonts w:ascii="Times New Roman" w:hAnsi="Times New Roman" w:cs="Times New Roman"/>
          <w:b/>
          <w:bCs/>
        </w:rPr>
        <w:lastRenderedPageBreak/>
        <w:t>2. PRODUCTION VERSUS MONETIZATION PERFORMANCE</w:t>
      </w:r>
    </w:p>
    <w:p w14:paraId="30150E16"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 xml:space="preserve">Nigeria produces approximately 1.5 </w:t>
      </w:r>
      <w:proofErr w:type="spellStart"/>
      <w:r w:rsidRPr="0070009B">
        <w:rPr>
          <w:rFonts w:ascii="Times New Roman" w:hAnsi="Times New Roman" w:cs="Times New Roman"/>
        </w:rPr>
        <w:t>Tcf</w:t>
      </w:r>
      <w:proofErr w:type="spellEnd"/>
      <w:r w:rsidRPr="0070009B">
        <w:rPr>
          <w:rFonts w:ascii="Times New Roman" w:hAnsi="Times New Roman" w:cs="Times New Roman"/>
        </w:rPr>
        <w:t xml:space="preserve"> of dry natural gas annually (averaging 7.59 </w:t>
      </w:r>
      <w:proofErr w:type="spellStart"/>
      <w:r w:rsidRPr="0070009B">
        <w:rPr>
          <w:rFonts w:ascii="Times New Roman" w:hAnsi="Times New Roman" w:cs="Times New Roman"/>
        </w:rPr>
        <w:t>Bscf</w:t>
      </w:r>
      <w:proofErr w:type="spellEnd"/>
      <w:r w:rsidRPr="0070009B">
        <w:rPr>
          <w:rFonts w:ascii="Times New Roman" w:hAnsi="Times New Roman" w:cs="Times New Roman"/>
        </w:rPr>
        <w:t>/d in 2025), of which:</w:t>
      </w:r>
    </w:p>
    <w:p w14:paraId="32CA340A" w14:textId="77777777" w:rsidR="0070009B" w:rsidRPr="0070009B" w:rsidRDefault="0070009B" w:rsidP="0070009B">
      <w:pPr>
        <w:numPr>
          <w:ilvl w:val="0"/>
          <w:numId w:val="3"/>
        </w:numPr>
        <w:spacing w:line="276" w:lineRule="auto"/>
        <w:jc w:val="both"/>
        <w:rPr>
          <w:rFonts w:ascii="Times New Roman" w:hAnsi="Times New Roman" w:cs="Times New Roman"/>
        </w:rPr>
      </w:pPr>
      <w:r w:rsidRPr="0070009B">
        <w:rPr>
          <w:rFonts w:ascii="Times New Roman" w:hAnsi="Times New Roman" w:cs="Times New Roman"/>
        </w:rPr>
        <w:t xml:space="preserve">35.88% is exported as LNG (≈2.72 </w:t>
      </w:r>
      <w:proofErr w:type="spellStart"/>
      <w:r w:rsidRPr="0070009B">
        <w:rPr>
          <w:rFonts w:ascii="Times New Roman" w:hAnsi="Times New Roman" w:cs="Times New Roman"/>
        </w:rPr>
        <w:t>Bscf</w:t>
      </w:r>
      <w:proofErr w:type="spellEnd"/>
      <w:r w:rsidRPr="0070009B">
        <w:rPr>
          <w:rFonts w:ascii="Times New Roman" w:hAnsi="Times New Roman" w:cs="Times New Roman"/>
        </w:rPr>
        <w:t>/d equivalent)</w:t>
      </w:r>
    </w:p>
    <w:p w14:paraId="123B3981" w14:textId="77777777" w:rsidR="0070009B" w:rsidRPr="0070009B" w:rsidRDefault="0070009B" w:rsidP="0070009B">
      <w:pPr>
        <w:numPr>
          <w:ilvl w:val="0"/>
          <w:numId w:val="3"/>
        </w:numPr>
        <w:spacing w:line="276" w:lineRule="auto"/>
        <w:jc w:val="both"/>
        <w:rPr>
          <w:rFonts w:ascii="Times New Roman" w:hAnsi="Times New Roman" w:cs="Times New Roman"/>
        </w:rPr>
      </w:pPr>
      <w:r w:rsidRPr="0070009B">
        <w:rPr>
          <w:rFonts w:ascii="Times New Roman" w:hAnsi="Times New Roman" w:cs="Times New Roman"/>
        </w:rPr>
        <w:t xml:space="preserve">27.82% supplies the domestic market (≈2.11 </w:t>
      </w:r>
      <w:proofErr w:type="spellStart"/>
      <w:r w:rsidRPr="0070009B">
        <w:rPr>
          <w:rFonts w:ascii="Times New Roman" w:hAnsi="Times New Roman" w:cs="Times New Roman"/>
        </w:rPr>
        <w:t>Bscf</w:t>
      </w:r>
      <w:proofErr w:type="spellEnd"/>
      <w:r w:rsidRPr="0070009B">
        <w:rPr>
          <w:rFonts w:ascii="Times New Roman" w:hAnsi="Times New Roman" w:cs="Times New Roman"/>
        </w:rPr>
        <w:t>/d)</w:t>
      </w:r>
    </w:p>
    <w:p w14:paraId="0519C37D" w14:textId="77777777" w:rsidR="0070009B" w:rsidRPr="0070009B" w:rsidRDefault="0070009B" w:rsidP="0070009B">
      <w:pPr>
        <w:numPr>
          <w:ilvl w:val="0"/>
          <w:numId w:val="3"/>
        </w:numPr>
        <w:spacing w:line="276" w:lineRule="auto"/>
        <w:jc w:val="both"/>
        <w:rPr>
          <w:rFonts w:ascii="Times New Roman" w:hAnsi="Times New Roman" w:cs="Times New Roman"/>
        </w:rPr>
      </w:pPr>
      <w:r w:rsidRPr="0070009B">
        <w:rPr>
          <w:rFonts w:ascii="Times New Roman" w:hAnsi="Times New Roman" w:cs="Times New Roman"/>
        </w:rPr>
        <w:t>29.13% is used for field and plant operations (reinjection, fuel, gas lifting)</w:t>
      </w:r>
    </w:p>
    <w:p w14:paraId="486D39AC" w14:textId="77777777" w:rsidR="0070009B" w:rsidRPr="0070009B" w:rsidRDefault="0070009B" w:rsidP="0070009B">
      <w:pPr>
        <w:numPr>
          <w:ilvl w:val="0"/>
          <w:numId w:val="3"/>
        </w:numPr>
        <w:spacing w:line="276" w:lineRule="auto"/>
        <w:jc w:val="both"/>
        <w:rPr>
          <w:rFonts w:ascii="Times New Roman" w:hAnsi="Times New Roman" w:cs="Times New Roman"/>
        </w:rPr>
      </w:pPr>
      <w:r w:rsidRPr="0070009B">
        <w:rPr>
          <w:rFonts w:ascii="Times New Roman" w:hAnsi="Times New Roman" w:cs="Times New Roman"/>
        </w:rPr>
        <w:t>7.16% is flared (down from over 20% in the early 2000s but still above global averages)</w:t>
      </w:r>
    </w:p>
    <w:p w14:paraId="214A5C38" w14:textId="77777777" w:rsid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(NUPRC, 2025; World Bank Global Gas Flaring Tracker, 2025)</w:t>
      </w:r>
    </w:p>
    <w:p w14:paraId="44D5BA9C" w14:textId="4F74E707" w:rsidR="005E0841" w:rsidRPr="0070009B" w:rsidRDefault="005E0841" w:rsidP="0070009B">
      <w:pPr>
        <w:spacing w:line="276" w:lineRule="auto"/>
        <w:jc w:val="both"/>
        <w:rPr>
          <w:rFonts w:ascii="Times New Roman" w:hAnsi="Times New Roman" w:cs="Times New Roman"/>
        </w:rPr>
      </w:pPr>
      <w:r>
        <w:rPr>
          <w:noProof/>
        </w:rPr>
        <w:drawing>
          <wp:inline distT="0" distB="0" distL="0" distR="0" wp14:anchorId="4B08C1E4" wp14:editId="0179A3E8">
            <wp:extent cx="5943600" cy="3169285"/>
            <wp:effectExtent l="0" t="0" r="0" b="0"/>
            <wp:docPr id="459035440" name="Picture 2" descr="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previe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169285"/>
                    </a:xfrm>
                    <a:prstGeom prst="rect">
                      <a:avLst/>
                    </a:prstGeom>
                    <a:noFill/>
                    <a:ln>
                      <a:noFill/>
                    </a:ln>
                  </pic:spPr>
                </pic:pic>
              </a:graphicData>
            </a:graphic>
          </wp:inline>
        </w:drawing>
      </w:r>
    </w:p>
    <w:p w14:paraId="436ADFFC" w14:textId="285312E6"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 xml:space="preserve">The divergence between total production and LNG exports reveals the scale of Nigeria's monetization gap. While production has recovered from COVID-19 lows, LNG exports have grown only modestly, constrained by </w:t>
      </w:r>
      <w:proofErr w:type="spellStart"/>
      <w:r w:rsidRPr="0070009B">
        <w:rPr>
          <w:rFonts w:ascii="Times New Roman" w:hAnsi="Times New Roman" w:cs="Times New Roman"/>
        </w:rPr>
        <w:t>feedgas</w:t>
      </w:r>
      <w:proofErr w:type="spellEnd"/>
      <w:r w:rsidRPr="0070009B">
        <w:rPr>
          <w:rFonts w:ascii="Times New Roman" w:hAnsi="Times New Roman" w:cs="Times New Roman"/>
        </w:rPr>
        <w:t xml:space="preserve"> availability, pipeline disruptions, and the lack of new liquefaction capacity since Train 6 (2007). The gap between production and exports represents gas that is either flared, reinjected, or underutilized domestically</w:t>
      </w:r>
      <w:r w:rsidR="00802EB3">
        <w:rPr>
          <w:rFonts w:ascii="Times New Roman" w:hAnsi="Times New Roman" w:cs="Times New Roman"/>
        </w:rPr>
        <w:t xml:space="preserve"> </w:t>
      </w:r>
      <w:r w:rsidRPr="0070009B">
        <w:rPr>
          <w:rFonts w:ascii="Times New Roman" w:hAnsi="Times New Roman" w:cs="Times New Roman"/>
        </w:rPr>
        <w:t>each representing foregone revenue.</w:t>
      </w:r>
    </w:p>
    <w:p w14:paraId="2C6A0411" w14:textId="77777777" w:rsidR="005E0841" w:rsidRDefault="005E0841" w:rsidP="0070009B">
      <w:pPr>
        <w:spacing w:line="276" w:lineRule="auto"/>
        <w:jc w:val="both"/>
        <w:rPr>
          <w:rFonts w:ascii="Times New Roman" w:hAnsi="Times New Roman" w:cs="Times New Roman"/>
        </w:rPr>
      </w:pPr>
    </w:p>
    <w:p w14:paraId="761F90DF" w14:textId="619F0404" w:rsidR="0070009B" w:rsidRPr="0070009B" w:rsidRDefault="0070009B" w:rsidP="0070009B">
      <w:pPr>
        <w:spacing w:line="276" w:lineRule="auto"/>
        <w:jc w:val="both"/>
        <w:rPr>
          <w:rFonts w:ascii="Times New Roman" w:hAnsi="Times New Roman" w:cs="Times New Roman"/>
        </w:rPr>
      </w:pPr>
      <w:hyperlink r:id="rId7" w:tgtFrame="_blank" w:history="1">
        <w:r w:rsidRPr="0070009B">
          <w:rPr>
            <w:rStyle w:val="Hyperlink"/>
            <w:rFonts w:ascii="Times New Roman" w:hAnsi="Times New Roman" w:cs="Times New Roman"/>
          </w:rPr>
          <w:t>/</w:t>
        </w:r>
        <w:proofErr w:type="spellStart"/>
        <w:r w:rsidRPr="0070009B">
          <w:rPr>
            <w:rStyle w:val="Hyperlink"/>
            <w:rFonts w:ascii="Times New Roman" w:hAnsi="Times New Roman" w:cs="Times New Roman"/>
          </w:rPr>
          <w:t>mnt</w:t>
        </w:r>
        <w:proofErr w:type="spellEnd"/>
        <w:r w:rsidRPr="0070009B">
          <w:rPr>
            <w:rStyle w:val="Hyperlink"/>
            <w:rFonts w:ascii="Times New Roman" w:hAnsi="Times New Roman" w:cs="Times New Roman"/>
          </w:rPr>
          <w:t>/agents/output/chart3_gas_allocation.png</w:t>
        </w:r>
      </w:hyperlink>
    </w:p>
    <w:p w14:paraId="3405C268" w14:textId="08E6EF68"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The stacked allocation chart reveals a structural imbalance. Nearly 30% of produced gas is consumed in field operations, and flaring</w:t>
      </w:r>
      <w:r w:rsidR="005E0841">
        <w:rPr>
          <w:rFonts w:ascii="Times New Roman" w:hAnsi="Times New Roman" w:cs="Times New Roman"/>
        </w:rPr>
        <w:t xml:space="preserve"> </w:t>
      </w:r>
      <w:r w:rsidRPr="0070009B">
        <w:rPr>
          <w:rFonts w:ascii="Times New Roman" w:hAnsi="Times New Roman" w:cs="Times New Roman"/>
        </w:rPr>
        <w:t>though declining</w:t>
      </w:r>
      <w:r w:rsidR="005E0841">
        <w:rPr>
          <w:rFonts w:ascii="Times New Roman" w:hAnsi="Times New Roman" w:cs="Times New Roman"/>
        </w:rPr>
        <w:t xml:space="preserve"> </w:t>
      </w:r>
      <w:r w:rsidRPr="0070009B">
        <w:rPr>
          <w:rFonts w:ascii="Times New Roman" w:hAnsi="Times New Roman" w:cs="Times New Roman"/>
        </w:rPr>
        <w:t xml:space="preserve">still wastes valuable resources. The domestic market absorbs only 28% of output, insufficient to drive industrialization in a country of </w:t>
      </w:r>
      <w:r w:rsidRPr="0070009B">
        <w:rPr>
          <w:rFonts w:ascii="Times New Roman" w:hAnsi="Times New Roman" w:cs="Times New Roman"/>
        </w:rPr>
        <w:lastRenderedPageBreak/>
        <w:t>220+ million people. LNG exports at 36% represent the primary revenue stream but are capped by infrastructure limits.</w:t>
      </w:r>
    </w:p>
    <w:p w14:paraId="5BFFF250" w14:textId="1E7B1A16"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Nigeria's gas utilization efficiency remains poor by global standards. The country flares gas equivalent to the annual consumption of several West African nations combined, while its power sector suffers chronic fuel shortages.</w:t>
      </w:r>
    </w:p>
    <w:p w14:paraId="04FFBB70" w14:textId="73A48565" w:rsidR="0070009B" w:rsidRPr="0070009B" w:rsidRDefault="0070009B" w:rsidP="0070009B">
      <w:pPr>
        <w:spacing w:line="276" w:lineRule="auto"/>
        <w:jc w:val="both"/>
        <w:rPr>
          <w:rFonts w:ascii="Times New Roman" w:hAnsi="Times New Roman" w:cs="Times New Roman"/>
        </w:rPr>
      </w:pPr>
    </w:p>
    <w:p w14:paraId="61C65907" w14:textId="77777777" w:rsidR="0070009B" w:rsidRPr="0070009B" w:rsidRDefault="0070009B" w:rsidP="0070009B">
      <w:pPr>
        <w:spacing w:line="276" w:lineRule="auto"/>
        <w:jc w:val="both"/>
        <w:rPr>
          <w:rFonts w:ascii="Times New Roman" w:hAnsi="Times New Roman" w:cs="Times New Roman"/>
          <w:b/>
          <w:bCs/>
        </w:rPr>
      </w:pPr>
      <w:r w:rsidRPr="0070009B">
        <w:rPr>
          <w:rFonts w:ascii="Times New Roman" w:hAnsi="Times New Roman" w:cs="Times New Roman"/>
          <w:b/>
          <w:bCs/>
        </w:rPr>
        <w:t>3. NIGERIA LNG (NLNG) AND EMERGING LNG PROJECTS</w:t>
      </w:r>
    </w:p>
    <w:p w14:paraId="11525B3B"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 xml:space="preserve">NLNG Trains 1–6: The Bonny Island facility, operational since 1999, currently comprises six trains with a combined capacity of 22.2 MTPA. Utilization averaged only 65% in 2024, among the lowest of major LNG exporters, due to </w:t>
      </w:r>
      <w:proofErr w:type="spellStart"/>
      <w:r w:rsidRPr="0070009B">
        <w:rPr>
          <w:rFonts w:ascii="Times New Roman" w:hAnsi="Times New Roman" w:cs="Times New Roman"/>
        </w:rPr>
        <w:t>feedgas</w:t>
      </w:r>
      <w:proofErr w:type="spellEnd"/>
      <w:r w:rsidRPr="0070009B">
        <w:rPr>
          <w:rFonts w:ascii="Times New Roman" w:hAnsi="Times New Roman" w:cs="Times New Roman"/>
        </w:rPr>
        <w:t xml:space="preserve"> supply disruptions, pipeline sabotage, and force majeure declarations (IGU World LNG Report, 2025).</w:t>
      </w:r>
    </w:p>
    <w:p w14:paraId="1F829950" w14:textId="01BEA63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 xml:space="preserve">NLNG Train 7: The $5–6.5 billion expansion </w:t>
      </w:r>
      <w:r w:rsidR="005E0841" w:rsidRPr="0070009B">
        <w:rPr>
          <w:rFonts w:ascii="Times New Roman" w:hAnsi="Times New Roman" w:cs="Times New Roman"/>
        </w:rPr>
        <w:t>projects</w:t>
      </w:r>
      <w:r w:rsidRPr="0070009B">
        <w:rPr>
          <w:rFonts w:ascii="Times New Roman" w:hAnsi="Times New Roman" w:cs="Times New Roman"/>
        </w:rPr>
        <w:t xml:space="preserve"> reached 92% completion as of May 2026 and is transitioning into pre-commissioning. Train 7 will add 4.2 MTPA of capacity (via a complete train and common liquefaction unit), raising total capacity to 30 MTPA</w:t>
      </w:r>
      <w:r w:rsidR="005E0841">
        <w:rPr>
          <w:rFonts w:ascii="Times New Roman" w:hAnsi="Times New Roman" w:cs="Times New Roman"/>
        </w:rPr>
        <w:t xml:space="preserve"> </w:t>
      </w:r>
      <w:r w:rsidRPr="0070009B">
        <w:rPr>
          <w:rFonts w:ascii="Times New Roman" w:hAnsi="Times New Roman" w:cs="Times New Roman"/>
        </w:rPr>
        <w:t>a 36% increase. Start-up is anticipated in 2026–2027 (NLNG, 2026; IGU, 2025).</w:t>
      </w:r>
    </w:p>
    <w:p w14:paraId="70405259"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Other Proposed Projects:</w:t>
      </w:r>
    </w:p>
    <w:p w14:paraId="6EA41AB0" w14:textId="77777777" w:rsidR="0070009B" w:rsidRPr="0070009B" w:rsidRDefault="0070009B" w:rsidP="005E0841">
      <w:pPr>
        <w:numPr>
          <w:ilvl w:val="0"/>
          <w:numId w:val="4"/>
        </w:numPr>
        <w:spacing w:line="240" w:lineRule="auto"/>
        <w:jc w:val="both"/>
        <w:rPr>
          <w:rFonts w:ascii="Times New Roman" w:hAnsi="Times New Roman" w:cs="Times New Roman"/>
        </w:rPr>
      </w:pPr>
      <w:r w:rsidRPr="0070009B">
        <w:rPr>
          <w:rFonts w:ascii="Times New Roman" w:hAnsi="Times New Roman" w:cs="Times New Roman"/>
        </w:rPr>
        <w:t>Brass LNG: Shelved since 2014; requires significant investment and security guarantees to revive.</w:t>
      </w:r>
    </w:p>
    <w:p w14:paraId="28A0C39B" w14:textId="77777777" w:rsidR="0070009B" w:rsidRPr="0070009B" w:rsidRDefault="0070009B" w:rsidP="005E0841">
      <w:pPr>
        <w:numPr>
          <w:ilvl w:val="0"/>
          <w:numId w:val="4"/>
        </w:numPr>
        <w:spacing w:line="240" w:lineRule="auto"/>
        <w:jc w:val="both"/>
        <w:rPr>
          <w:rFonts w:ascii="Times New Roman" w:hAnsi="Times New Roman" w:cs="Times New Roman"/>
        </w:rPr>
      </w:pPr>
      <w:proofErr w:type="spellStart"/>
      <w:r w:rsidRPr="0070009B">
        <w:rPr>
          <w:rFonts w:ascii="Times New Roman" w:hAnsi="Times New Roman" w:cs="Times New Roman"/>
        </w:rPr>
        <w:t>Olokola</w:t>
      </w:r>
      <w:proofErr w:type="spellEnd"/>
      <w:r w:rsidRPr="0070009B">
        <w:rPr>
          <w:rFonts w:ascii="Times New Roman" w:hAnsi="Times New Roman" w:cs="Times New Roman"/>
        </w:rPr>
        <w:t xml:space="preserve"> LNG: Also stalled; strategic location on the western coast could serve Atlantic markets.</w:t>
      </w:r>
    </w:p>
    <w:p w14:paraId="3A7CD9EA" w14:textId="77777777" w:rsidR="0070009B" w:rsidRPr="0070009B" w:rsidRDefault="0070009B" w:rsidP="005E0841">
      <w:pPr>
        <w:numPr>
          <w:ilvl w:val="0"/>
          <w:numId w:val="4"/>
        </w:numPr>
        <w:spacing w:line="240" w:lineRule="auto"/>
        <w:jc w:val="both"/>
        <w:rPr>
          <w:rFonts w:ascii="Times New Roman" w:hAnsi="Times New Roman" w:cs="Times New Roman"/>
        </w:rPr>
      </w:pPr>
      <w:r w:rsidRPr="0070009B">
        <w:rPr>
          <w:rFonts w:ascii="Times New Roman" w:hAnsi="Times New Roman" w:cs="Times New Roman"/>
        </w:rPr>
        <w:t>Floating LNG (FLNG): Several FLNG concepts have been discussed for stranded gas fields, but none have reached FID.</w:t>
      </w:r>
    </w:p>
    <w:p w14:paraId="62C0C038" w14:textId="77777777" w:rsid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LNG Export Destinations (2024): Nigeria exported approximately 650 Bcf of natural gas, mostly as LNG. Top destinations included France (34 Bcf), Spain (77 Bcf), China (67 Bcf), and India (69 Bcf) (EIA, 2025; Energy Institute, 2025). Nigeria ranked as the 6th largest global LNG exporter in 2024.</w:t>
      </w:r>
    </w:p>
    <w:p w14:paraId="731BAA94" w14:textId="77777777" w:rsidR="005E0841" w:rsidRPr="0070009B" w:rsidRDefault="005E0841" w:rsidP="0070009B">
      <w:pPr>
        <w:spacing w:line="276" w:lineRule="auto"/>
        <w:jc w:val="both"/>
        <w:rPr>
          <w:rFonts w:ascii="Times New Roman" w:hAnsi="Times New Roman" w:cs="Times New Roman"/>
        </w:rPr>
      </w:pPr>
    </w:p>
    <w:p w14:paraId="362B13DA" w14:textId="77777777" w:rsidR="0070009B" w:rsidRPr="0070009B" w:rsidRDefault="0070009B" w:rsidP="0070009B">
      <w:pPr>
        <w:spacing w:line="276" w:lineRule="auto"/>
        <w:jc w:val="both"/>
        <w:rPr>
          <w:rFonts w:ascii="Times New Roman" w:hAnsi="Times New Roman" w:cs="Times New Roman"/>
          <w:b/>
          <w:bCs/>
        </w:rPr>
      </w:pPr>
      <w:r w:rsidRPr="0070009B">
        <w:rPr>
          <w:rFonts w:ascii="Times New Roman" w:hAnsi="Times New Roman" w:cs="Times New Roman"/>
          <w:b/>
          <w:bCs/>
        </w:rPr>
        <w:t>4. DOMESTIC GAS UTILISATION</w:t>
      </w:r>
    </w:p>
    <w:p w14:paraId="2DA572B4"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Nigeria's domestic gas consumption remains underdeveloped relative to its industrial potential:</w:t>
      </w:r>
    </w:p>
    <w:p w14:paraId="3F2E3B6F" w14:textId="77777777" w:rsidR="0070009B" w:rsidRPr="0070009B" w:rsidRDefault="0070009B" w:rsidP="0070009B">
      <w:pPr>
        <w:numPr>
          <w:ilvl w:val="0"/>
          <w:numId w:val="5"/>
        </w:numPr>
        <w:spacing w:line="276" w:lineRule="auto"/>
        <w:jc w:val="both"/>
        <w:rPr>
          <w:rFonts w:ascii="Times New Roman" w:hAnsi="Times New Roman" w:cs="Times New Roman"/>
        </w:rPr>
      </w:pPr>
      <w:r w:rsidRPr="0070009B">
        <w:rPr>
          <w:rFonts w:ascii="Times New Roman" w:hAnsi="Times New Roman" w:cs="Times New Roman"/>
        </w:rPr>
        <w:t xml:space="preserve">Power Generation: Absorbs ~55% of domestic gas supply, yet the country generates only ~4,250–5,370 MW on average against an installed capacity of ~12,500 MW. Gas-to-power deliveries averaged 862.86 million </w:t>
      </w:r>
      <w:proofErr w:type="spellStart"/>
      <w:r w:rsidRPr="0070009B">
        <w:rPr>
          <w:rFonts w:ascii="Times New Roman" w:hAnsi="Times New Roman" w:cs="Times New Roman"/>
        </w:rPr>
        <w:t>scf</w:t>
      </w:r>
      <w:proofErr w:type="spellEnd"/>
      <w:r w:rsidRPr="0070009B">
        <w:rPr>
          <w:rFonts w:ascii="Times New Roman" w:hAnsi="Times New Roman" w:cs="Times New Roman"/>
        </w:rPr>
        <w:t>/d in July 2025—the highest in three months but still inadequate (NERC, 2025; NUPRC, 2025).</w:t>
      </w:r>
    </w:p>
    <w:p w14:paraId="6BAAD535" w14:textId="77777777" w:rsidR="0070009B" w:rsidRPr="0070009B" w:rsidRDefault="0070009B" w:rsidP="0070009B">
      <w:pPr>
        <w:numPr>
          <w:ilvl w:val="0"/>
          <w:numId w:val="5"/>
        </w:numPr>
        <w:spacing w:line="276" w:lineRule="auto"/>
        <w:jc w:val="both"/>
        <w:rPr>
          <w:rFonts w:ascii="Times New Roman" w:hAnsi="Times New Roman" w:cs="Times New Roman"/>
        </w:rPr>
      </w:pPr>
      <w:r w:rsidRPr="0070009B">
        <w:rPr>
          <w:rFonts w:ascii="Times New Roman" w:hAnsi="Times New Roman" w:cs="Times New Roman"/>
        </w:rPr>
        <w:lastRenderedPageBreak/>
        <w:t>Gas-Based Industries: Fertilizer (Indorama, Dangote), petrochemicals, and methanol plants represent ~18% of domestic use.</w:t>
      </w:r>
    </w:p>
    <w:p w14:paraId="13C241D3" w14:textId="77777777" w:rsidR="0070009B" w:rsidRPr="0070009B" w:rsidRDefault="0070009B" w:rsidP="0070009B">
      <w:pPr>
        <w:numPr>
          <w:ilvl w:val="0"/>
          <w:numId w:val="5"/>
        </w:numPr>
        <w:spacing w:line="276" w:lineRule="auto"/>
        <w:jc w:val="both"/>
        <w:rPr>
          <w:rFonts w:ascii="Times New Roman" w:hAnsi="Times New Roman" w:cs="Times New Roman"/>
        </w:rPr>
      </w:pPr>
      <w:r w:rsidRPr="0070009B">
        <w:rPr>
          <w:rFonts w:ascii="Times New Roman" w:hAnsi="Times New Roman" w:cs="Times New Roman"/>
        </w:rPr>
        <w:t>Manufacturing &amp; Cement: ~12%—constrained by pipeline access and pricing.</w:t>
      </w:r>
    </w:p>
    <w:p w14:paraId="1E6400F7" w14:textId="77777777" w:rsidR="0070009B" w:rsidRPr="0070009B" w:rsidRDefault="0070009B" w:rsidP="0070009B">
      <w:pPr>
        <w:numPr>
          <w:ilvl w:val="0"/>
          <w:numId w:val="5"/>
        </w:numPr>
        <w:spacing w:line="276" w:lineRule="auto"/>
        <w:jc w:val="both"/>
        <w:rPr>
          <w:rFonts w:ascii="Times New Roman" w:hAnsi="Times New Roman" w:cs="Times New Roman"/>
        </w:rPr>
      </w:pPr>
      <w:r w:rsidRPr="0070009B">
        <w:rPr>
          <w:rFonts w:ascii="Times New Roman" w:hAnsi="Times New Roman" w:cs="Times New Roman"/>
        </w:rPr>
        <w:t>CNG for Transport: Emerging sector; government is promoting CNG conversion to reduce petrol import dependency.</w:t>
      </w:r>
    </w:p>
    <w:p w14:paraId="7D85B7E1" w14:textId="77777777" w:rsidR="0070009B" w:rsidRDefault="0070009B" w:rsidP="0070009B">
      <w:pPr>
        <w:numPr>
          <w:ilvl w:val="0"/>
          <w:numId w:val="5"/>
        </w:numPr>
        <w:spacing w:line="276" w:lineRule="auto"/>
        <w:jc w:val="both"/>
        <w:rPr>
          <w:rFonts w:ascii="Times New Roman" w:hAnsi="Times New Roman" w:cs="Times New Roman"/>
        </w:rPr>
      </w:pPr>
      <w:r w:rsidRPr="0070009B">
        <w:rPr>
          <w:rFonts w:ascii="Times New Roman" w:hAnsi="Times New Roman" w:cs="Times New Roman"/>
        </w:rPr>
        <w:t>LPG: ~4%—growing household demand for cooking gas.</w:t>
      </w:r>
    </w:p>
    <w:p w14:paraId="4FBFD2D9" w14:textId="16747FBB" w:rsidR="005E0841" w:rsidRPr="0070009B" w:rsidRDefault="005E0841" w:rsidP="005E0841">
      <w:pPr>
        <w:spacing w:line="276" w:lineRule="auto"/>
        <w:jc w:val="both"/>
        <w:rPr>
          <w:rFonts w:ascii="Times New Roman" w:hAnsi="Times New Roman" w:cs="Times New Roman"/>
        </w:rPr>
      </w:pPr>
      <w:r>
        <w:rPr>
          <w:noProof/>
        </w:rPr>
        <w:drawing>
          <wp:inline distT="0" distB="0" distL="0" distR="0" wp14:anchorId="4B257605" wp14:editId="007AC8E5">
            <wp:extent cx="5943600" cy="2919095"/>
            <wp:effectExtent l="0" t="0" r="0" b="0"/>
            <wp:docPr id="1084676377" name="Picture 3" descr="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previ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919095"/>
                    </a:xfrm>
                    <a:prstGeom prst="rect">
                      <a:avLst/>
                    </a:prstGeom>
                    <a:noFill/>
                    <a:ln>
                      <a:noFill/>
                    </a:ln>
                  </pic:spPr>
                </pic:pic>
              </a:graphicData>
            </a:graphic>
          </wp:inline>
        </w:drawing>
      </w:r>
    </w:p>
    <w:p w14:paraId="5B4BE954" w14:textId="2AC2EF35"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The dominance of power generation in domestic gas use (55%) highlights both the opportunity and the risk. The power sector is the largest off-taker but is plagued by payment defaults, grid instability, and tariff shortfalls. Gas suppliers frequently prioritize export markets where prices exceed $8–12/MMBtu over domestic power plants paying $2.18/MMBtu (NMDPRA, 2026). Until power sector liquidity improves, domestic gas demand will remain constrained.</w:t>
      </w:r>
      <w:r w:rsidR="005E0841">
        <w:rPr>
          <w:rFonts w:ascii="Times New Roman" w:hAnsi="Times New Roman" w:cs="Times New Roman"/>
        </w:rPr>
        <w:t xml:space="preserve"> </w:t>
      </w:r>
      <w:r w:rsidRPr="0070009B">
        <w:rPr>
          <w:rFonts w:ascii="Times New Roman" w:hAnsi="Times New Roman" w:cs="Times New Roman"/>
        </w:rPr>
        <w:t>Domestic gas demand is artificially suppressed by structural issues in the power sector, not by lack of industrial appetite. Resolving the power sector's liquidity crisis is prerequisite to unlocking domestic gas monetization.</w:t>
      </w:r>
    </w:p>
    <w:p w14:paraId="0A43302F" w14:textId="460FA392" w:rsidR="0070009B" w:rsidRPr="0070009B" w:rsidRDefault="0070009B" w:rsidP="0070009B">
      <w:pPr>
        <w:spacing w:line="276" w:lineRule="auto"/>
        <w:jc w:val="both"/>
        <w:rPr>
          <w:rFonts w:ascii="Times New Roman" w:hAnsi="Times New Roman" w:cs="Times New Roman"/>
          <w:b/>
          <w:bCs/>
        </w:rPr>
      </w:pPr>
    </w:p>
    <w:p w14:paraId="4E9C276E" w14:textId="77777777" w:rsidR="0070009B" w:rsidRPr="0070009B" w:rsidRDefault="0070009B" w:rsidP="0070009B">
      <w:pPr>
        <w:spacing w:line="276" w:lineRule="auto"/>
        <w:jc w:val="both"/>
        <w:rPr>
          <w:rFonts w:ascii="Times New Roman" w:hAnsi="Times New Roman" w:cs="Times New Roman"/>
          <w:b/>
          <w:bCs/>
        </w:rPr>
      </w:pPr>
      <w:r w:rsidRPr="0070009B">
        <w:rPr>
          <w:rFonts w:ascii="Times New Roman" w:hAnsi="Times New Roman" w:cs="Times New Roman"/>
          <w:b/>
          <w:bCs/>
        </w:rPr>
        <w:t>5. INFRASTRUCTURE ASSESSMENT</w:t>
      </w:r>
    </w:p>
    <w:p w14:paraId="57A1952E"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Nigeria's gas infrastructure is insufficient for its reserve base:</w:t>
      </w:r>
    </w:p>
    <w:p w14:paraId="6CE4E6F7"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Major Pipeline Projects:</w:t>
      </w:r>
    </w:p>
    <w:p w14:paraId="247D8918" w14:textId="77777777" w:rsidR="0070009B" w:rsidRPr="0070009B" w:rsidRDefault="0070009B" w:rsidP="0070009B">
      <w:pPr>
        <w:numPr>
          <w:ilvl w:val="0"/>
          <w:numId w:val="6"/>
        </w:numPr>
        <w:spacing w:line="276" w:lineRule="auto"/>
        <w:jc w:val="both"/>
        <w:rPr>
          <w:rFonts w:ascii="Times New Roman" w:hAnsi="Times New Roman" w:cs="Times New Roman"/>
        </w:rPr>
      </w:pPr>
      <w:r w:rsidRPr="0070009B">
        <w:rPr>
          <w:rFonts w:ascii="Times New Roman" w:hAnsi="Times New Roman" w:cs="Times New Roman"/>
        </w:rPr>
        <w:t>Ajaokuta–Kaduna–Kano (AKK) Pipeline: $3 billion, 614 km. River Niger crossing completed June 2025. Will deliver gas to northern Nigeria for power and industry. Commissioning expected 2025–2026.</w:t>
      </w:r>
    </w:p>
    <w:p w14:paraId="7F011ED4" w14:textId="77777777" w:rsidR="0070009B" w:rsidRPr="0070009B" w:rsidRDefault="0070009B" w:rsidP="0070009B">
      <w:pPr>
        <w:numPr>
          <w:ilvl w:val="0"/>
          <w:numId w:val="6"/>
        </w:numPr>
        <w:spacing w:line="276" w:lineRule="auto"/>
        <w:jc w:val="both"/>
        <w:rPr>
          <w:rFonts w:ascii="Times New Roman" w:hAnsi="Times New Roman" w:cs="Times New Roman"/>
        </w:rPr>
      </w:pPr>
      <w:r w:rsidRPr="0070009B">
        <w:rPr>
          <w:rFonts w:ascii="Times New Roman" w:hAnsi="Times New Roman" w:cs="Times New Roman"/>
        </w:rPr>
        <w:lastRenderedPageBreak/>
        <w:t xml:space="preserve">OB3 (Obiafu-Obrikom-Oben) Pipeline: 130 km, designed for 2 </w:t>
      </w:r>
      <w:proofErr w:type="spellStart"/>
      <w:r w:rsidRPr="0070009B">
        <w:rPr>
          <w:rFonts w:ascii="Times New Roman" w:hAnsi="Times New Roman" w:cs="Times New Roman"/>
        </w:rPr>
        <w:t>Bscf</w:t>
      </w:r>
      <w:proofErr w:type="spellEnd"/>
      <w:r w:rsidRPr="0070009B">
        <w:rPr>
          <w:rFonts w:ascii="Times New Roman" w:hAnsi="Times New Roman" w:cs="Times New Roman"/>
        </w:rPr>
        <w:t>/d. River Niger crossing completed April 2026. Links eastern gas fields to western networks.</w:t>
      </w:r>
    </w:p>
    <w:p w14:paraId="6908A54C" w14:textId="77777777" w:rsidR="0070009B" w:rsidRPr="0070009B" w:rsidRDefault="0070009B" w:rsidP="0070009B">
      <w:pPr>
        <w:numPr>
          <w:ilvl w:val="0"/>
          <w:numId w:val="6"/>
        </w:numPr>
        <w:spacing w:line="276" w:lineRule="auto"/>
        <w:jc w:val="both"/>
        <w:rPr>
          <w:rFonts w:ascii="Times New Roman" w:hAnsi="Times New Roman" w:cs="Times New Roman"/>
        </w:rPr>
      </w:pPr>
      <w:proofErr w:type="spellStart"/>
      <w:r w:rsidRPr="0070009B">
        <w:rPr>
          <w:rFonts w:ascii="Times New Roman" w:hAnsi="Times New Roman" w:cs="Times New Roman"/>
        </w:rPr>
        <w:t>Escravos</w:t>
      </w:r>
      <w:proofErr w:type="spellEnd"/>
      <w:r w:rsidRPr="0070009B">
        <w:rPr>
          <w:rFonts w:ascii="Times New Roman" w:hAnsi="Times New Roman" w:cs="Times New Roman"/>
        </w:rPr>
        <w:t>–Lagos Pipeline System (ELPS): Supplies western Nigeria; expansion planned to support Lekki industrial zone and Dangote Refinery.</w:t>
      </w:r>
    </w:p>
    <w:p w14:paraId="0BBA3F3C" w14:textId="77777777" w:rsidR="0070009B" w:rsidRPr="0070009B" w:rsidRDefault="0070009B" w:rsidP="0070009B">
      <w:pPr>
        <w:numPr>
          <w:ilvl w:val="0"/>
          <w:numId w:val="6"/>
        </w:numPr>
        <w:spacing w:line="276" w:lineRule="auto"/>
        <w:jc w:val="both"/>
        <w:rPr>
          <w:rFonts w:ascii="Times New Roman" w:hAnsi="Times New Roman" w:cs="Times New Roman"/>
        </w:rPr>
      </w:pPr>
      <w:r w:rsidRPr="0070009B">
        <w:rPr>
          <w:rFonts w:ascii="Times New Roman" w:hAnsi="Times New Roman" w:cs="Times New Roman"/>
        </w:rPr>
        <w:t>West African Gas Pipeline (WAGP): Currently supplies Ghana, Togo, Benin. Proposed extension to Morocco ($25 billion, 7,000 km) remains in feasibility stage.</w:t>
      </w:r>
    </w:p>
    <w:p w14:paraId="0318A67C"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Processing &amp; Storage: Nigeria has limited gas processing capacity relative to production. Most associated gas requires treatment before commercial use, and processing plant deficits force operators to flare.</w:t>
      </w:r>
    </w:p>
    <w:p w14:paraId="63B793AC" w14:textId="77777777" w:rsid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 xml:space="preserve">Investment Gap: NNPC Ltd. estimates $60 billion is required by 2030 to achieve production targets of 20 </w:t>
      </w:r>
      <w:proofErr w:type="spellStart"/>
      <w:r w:rsidRPr="0070009B">
        <w:rPr>
          <w:rFonts w:ascii="Times New Roman" w:hAnsi="Times New Roman" w:cs="Times New Roman"/>
        </w:rPr>
        <w:t>Bscf</w:t>
      </w:r>
      <w:proofErr w:type="spellEnd"/>
      <w:r w:rsidRPr="0070009B">
        <w:rPr>
          <w:rFonts w:ascii="Times New Roman" w:hAnsi="Times New Roman" w:cs="Times New Roman"/>
        </w:rPr>
        <w:t>/d and add 500,000 b/d refining capacity (NNPC Ltd., 2025; BusinessDay, 2025). Current annual investment (~$5–7 billion) falls well short of this trajectory.</w:t>
      </w:r>
    </w:p>
    <w:p w14:paraId="31B178F9" w14:textId="0E99E5F4" w:rsidR="005E0841" w:rsidRPr="0070009B" w:rsidRDefault="0099561C" w:rsidP="0070009B">
      <w:pPr>
        <w:spacing w:line="276" w:lineRule="auto"/>
        <w:jc w:val="both"/>
        <w:rPr>
          <w:rFonts w:ascii="Times New Roman" w:hAnsi="Times New Roman" w:cs="Times New Roman"/>
        </w:rPr>
      </w:pPr>
      <w:r>
        <w:rPr>
          <w:noProof/>
        </w:rPr>
        <w:drawing>
          <wp:inline distT="0" distB="0" distL="0" distR="0" wp14:anchorId="3EB1055A" wp14:editId="0700D499">
            <wp:extent cx="5943600" cy="2867025"/>
            <wp:effectExtent l="0" t="0" r="0" b="9525"/>
            <wp:docPr id="1592025343" name="Picture 4" descr="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previ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867025"/>
                    </a:xfrm>
                    <a:prstGeom prst="rect">
                      <a:avLst/>
                    </a:prstGeom>
                    <a:noFill/>
                    <a:ln>
                      <a:noFill/>
                    </a:ln>
                  </pic:spPr>
                </pic:pic>
              </a:graphicData>
            </a:graphic>
          </wp:inline>
        </w:drawing>
      </w:r>
    </w:p>
    <w:p w14:paraId="14EC6CD0" w14:textId="251BEB0D" w:rsid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Investment surged post-PIA (2021) and accelerated in 2024–2025, but the $60 billion target requires sustained annual flows of $8–10 billion. The 2020 COVID-19 dip illustrates vulnerability to external shocks. Without diversified financing mechanisms (DFIs, green bonds, resource-backed loans), the investment gap will persist.</w:t>
      </w:r>
      <w:r w:rsidR="005E0841">
        <w:rPr>
          <w:rFonts w:ascii="Times New Roman" w:hAnsi="Times New Roman" w:cs="Times New Roman"/>
        </w:rPr>
        <w:t xml:space="preserve"> </w:t>
      </w:r>
      <w:r w:rsidRPr="0070009B">
        <w:rPr>
          <w:rFonts w:ascii="Times New Roman" w:hAnsi="Times New Roman" w:cs="Times New Roman"/>
        </w:rPr>
        <w:t>Infrastructure is the binding constraint. The AKK and OB3 pipelines are game-changers for domestic market development, but transmission and distribution networks remain inadequate. Nigeria needs a national gas grid, not just corridor pipelines.</w:t>
      </w:r>
    </w:p>
    <w:p w14:paraId="3C91C727" w14:textId="77777777" w:rsidR="0099561C" w:rsidRDefault="0099561C" w:rsidP="0070009B">
      <w:pPr>
        <w:spacing w:line="276" w:lineRule="auto"/>
        <w:jc w:val="both"/>
        <w:rPr>
          <w:rFonts w:ascii="Times New Roman" w:hAnsi="Times New Roman" w:cs="Times New Roman"/>
        </w:rPr>
      </w:pPr>
    </w:p>
    <w:p w14:paraId="5BCFA7FD" w14:textId="77777777" w:rsidR="0099561C" w:rsidRPr="0070009B" w:rsidRDefault="0099561C" w:rsidP="0070009B">
      <w:pPr>
        <w:spacing w:line="276" w:lineRule="auto"/>
        <w:jc w:val="both"/>
        <w:rPr>
          <w:rFonts w:ascii="Times New Roman" w:hAnsi="Times New Roman" w:cs="Times New Roman"/>
        </w:rPr>
      </w:pPr>
    </w:p>
    <w:p w14:paraId="4D172082" w14:textId="6102E450" w:rsidR="0070009B" w:rsidRPr="0070009B" w:rsidRDefault="0070009B" w:rsidP="0070009B">
      <w:pPr>
        <w:spacing w:line="276" w:lineRule="auto"/>
        <w:jc w:val="both"/>
        <w:rPr>
          <w:rFonts w:ascii="Times New Roman" w:hAnsi="Times New Roman" w:cs="Times New Roman"/>
        </w:rPr>
      </w:pPr>
    </w:p>
    <w:p w14:paraId="0B46F6DE" w14:textId="77777777" w:rsidR="0070009B" w:rsidRPr="0070009B" w:rsidRDefault="0070009B" w:rsidP="0070009B">
      <w:pPr>
        <w:spacing w:line="276" w:lineRule="auto"/>
        <w:jc w:val="both"/>
        <w:rPr>
          <w:rFonts w:ascii="Times New Roman" w:hAnsi="Times New Roman" w:cs="Times New Roman"/>
          <w:b/>
          <w:bCs/>
        </w:rPr>
      </w:pPr>
      <w:r w:rsidRPr="0070009B">
        <w:rPr>
          <w:rFonts w:ascii="Times New Roman" w:hAnsi="Times New Roman" w:cs="Times New Roman"/>
          <w:b/>
          <w:bCs/>
        </w:rPr>
        <w:lastRenderedPageBreak/>
        <w:t>6. POLICY AND REGULATORY ASSESSMENT</w:t>
      </w:r>
    </w:p>
    <w:p w14:paraId="3C795BBF"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Petroleum Industry Act (PIA) 2021: The PIA represents Nigeria's most significant energy reform in two decades:</w:t>
      </w:r>
    </w:p>
    <w:p w14:paraId="16C1719A" w14:textId="77777777" w:rsidR="0070009B" w:rsidRPr="0070009B" w:rsidRDefault="0070009B" w:rsidP="0070009B">
      <w:pPr>
        <w:numPr>
          <w:ilvl w:val="0"/>
          <w:numId w:val="7"/>
        </w:numPr>
        <w:spacing w:line="276" w:lineRule="auto"/>
        <w:jc w:val="both"/>
        <w:rPr>
          <w:rFonts w:ascii="Times New Roman" w:hAnsi="Times New Roman" w:cs="Times New Roman"/>
        </w:rPr>
      </w:pPr>
      <w:r w:rsidRPr="0070009B">
        <w:rPr>
          <w:rFonts w:ascii="Times New Roman" w:hAnsi="Times New Roman" w:cs="Times New Roman"/>
        </w:rPr>
        <w:t>Governance: Split NNPC into NNPC Ltd. (commercial entity) and created NUPRC (upstream regulator) and NMDPRA (midstream/downstream regulator).</w:t>
      </w:r>
    </w:p>
    <w:p w14:paraId="162FD1CD" w14:textId="77777777" w:rsidR="0070009B" w:rsidRPr="0070009B" w:rsidRDefault="0070009B" w:rsidP="0070009B">
      <w:pPr>
        <w:numPr>
          <w:ilvl w:val="0"/>
          <w:numId w:val="7"/>
        </w:numPr>
        <w:spacing w:line="276" w:lineRule="auto"/>
        <w:jc w:val="both"/>
        <w:rPr>
          <w:rFonts w:ascii="Times New Roman" w:hAnsi="Times New Roman" w:cs="Times New Roman"/>
        </w:rPr>
      </w:pPr>
      <w:r w:rsidRPr="0070009B">
        <w:rPr>
          <w:rFonts w:ascii="Times New Roman" w:hAnsi="Times New Roman" w:cs="Times New Roman"/>
        </w:rPr>
        <w:t>Fiscal Terms: Improved gas economics through lower royalties and production-based taxes. The 2025 TotalEnergies PSC is cited as a new template aligned with PIA gas incentives (African Energy Research, 2026).</w:t>
      </w:r>
    </w:p>
    <w:p w14:paraId="4390696F" w14:textId="77777777" w:rsidR="0070009B" w:rsidRPr="0070009B" w:rsidRDefault="0070009B" w:rsidP="0070009B">
      <w:pPr>
        <w:numPr>
          <w:ilvl w:val="0"/>
          <w:numId w:val="7"/>
        </w:numPr>
        <w:spacing w:line="276" w:lineRule="auto"/>
        <w:jc w:val="both"/>
        <w:rPr>
          <w:rFonts w:ascii="Times New Roman" w:hAnsi="Times New Roman" w:cs="Times New Roman"/>
        </w:rPr>
      </w:pPr>
      <w:r w:rsidRPr="0070009B">
        <w:rPr>
          <w:rFonts w:ascii="Times New Roman" w:hAnsi="Times New Roman" w:cs="Times New Roman"/>
        </w:rPr>
        <w:t>Domestic Gas Delivery Obligation (DGDO): Mandates upstream producers to allocate gas to strategic sectors (power, commercial, gas-based industries). DGDO compliance reached 72.5% in July 2025 (NUPRC, 2025).</w:t>
      </w:r>
    </w:p>
    <w:p w14:paraId="16299780" w14:textId="77777777" w:rsidR="0070009B" w:rsidRPr="0070009B" w:rsidRDefault="0070009B" w:rsidP="0070009B">
      <w:pPr>
        <w:numPr>
          <w:ilvl w:val="0"/>
          <w:numId w:val="7"/>
        </w:numPr>
        <w:spacing w:line="276" w:lineRule="auto"/>
        <w:jc w:val="both"/>
        <w:rPr>
          <w:rFonts w:ascii="Times New Roman" w:hAnsi="Times New Roman" w:cs="Times New Roman"/>
        </w:rPr>
      </w:pPr>
      <w:r w:rsidRPr="0070009B">
        <w:rPr>
          <w:rFonts w:ascii="Times New Roman" w:hAnsi="Times New Roman" w:cs="Times New Roman"/>
        </w:rPr>
        <w:t>Host Community Trusts: 103 trusts incorporated by February 2024; fund reached ₦373 billion by October 2025 (African Energy Research, 2026).</w:t>
      </w:r>
    </w:p>
    <w:p w14:paraId="54A5CA9D"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Gas Pricing Framework: The NMDPRA sets annual Domestic Base Prices:</w:t>
      </w:r>
    </w:p>
    <w:p w14:paraId="775ABCF4" w14:textId="77777777" w:rsidR="0070009B" w:rsidRPr="0070009B" w:rsidRDefault="0070009B" w:rsidP="0070009B">
      <w:pPr>
        <w:numPr>
          <w:ilvl w:val="0"/>
          <w:numId w:val="8"/>
        </w:numPr>
        <w:spacing w:line="276" w:lineRule="auto"/>
        <w:jc w:val="both"/>
        <w:rPr>
          <w:rFonts w:ascii="Times New Roman" w:hAnsi="Times New Roman" w:cs="Times New Roman"/>
        </w:rPr>
      </w:pPr>
      <w:r w:rsidRPr="0070009B">
        <w:rPr>
          <w:rFonts w:ascii="Times New Roman" w:hAnsi="Times New Roman" w:cs="Times New Roman"/>
        </w:rPr>
        <w:t>Power Sector: $2.18/MMBtu (effective April 2026)</w:t>
      </w:r>
    </w:p>
    <w:p w14:paraId="6F0FC743" w14:textId="77777777" w:rsidR="0070009B" w:rsidRPr="0070009B" w:rsidRDefault="0070009B" w:rsidP="0070009B">
      <w:pPr>
        <w:numPr>
          <w:ilvl w:val="0"/>
          <w:numId w:val="8"/>
        </w:numPr>
        <w:spacing w:line="276" w:lineRule="auto"/>
        <w:jc w:val="both"/>
        <w:rPr>
          <w:rFonts w:ascii="Times New Roman" w:hAnsi="Times New Roman" w:cs="Times New Roman"/>
        </w:rPr>
      </w:pPr>
      <w:r w:rsidRPr="0070009B">
        <w:rPr>
          <w:rFonts w:ascii="Times New Roman" w:hAnsi="Times New Roman" w:cs="Times New Roman"/>
        </w:rPr>
        <w:t>Commercial Sector: $2.68/MMBtu</w:t>
      </w:r>
    </w:p>
    <w:p w14:paraId="4B5C4176" w14:textId="77777777" w:rsidR="0070009B" w:rsidRPr="0070009B" w:rsidRDefault="0070009B" w:rsidP="0070009B">
      <w:pPr>
        <w:numPr>
          <w:ilvl w:val="0"/>
          <w:numId w:val="8"/>
        </w:numPr>
        <w:spacing w:line="276" w:lineRule="auto"/>
        <w:jc w:val="both"/>
        <w:rPr>
          <w:rFonts w:ascii="Times New Roman" w:hAnsi="Times New Roman" w:cs="Times New Roman"/>
        </w:rPr>
      </w:pPr>
      <w:r w:rsidRPr="0070009B">
        <w:rPr>
          <w:rFonts w:ascii="Times New Roman" w:hAnsi="Times New Roman" w:cs="Times New Roman"/>
        </w:rPr>
        <w:t>Gas-Based Industries: Floor $0.90/MMBtu, ceiling $2.42/MMBtu (NMDPRA, 2026)</w:t>
      </w:r>
    </w:p>
    <w:p w14:paraId="2D4829E7"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Challenges: Pricing remains contentious. Power sector tariffs are not cost-reflective, creating a subsidy burden. Gas suppliers argue domestic prices are too low to justify investment in production and infrastructure. The Minister of Power has acknowledged that gas companies prioritize exports at 2× domestic prices (NMDPRA, 2026).</w:t>
      </w:r>
    </w:p>
    <w:p w14:paraId="447C5B2F"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Decade of Gas Initiative: Launched 2021, focusing on supply, infrastructure, pricing, and utilization. 70 priority gas projects identified, targeting $20 billion in investments (Decade of Gas, 2024).</w:t>
      </w:r>
    </w:p>
    <w:p w14:paraId="71C2F2DD"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Key Intelligence Insight: The PIA improved the rulebook, but implementation gaps persist. Regulatory overlap, administrative friction, and pricing distortions continue to deter capital. The DGDO is a useful tool but requires enforcement credibility.</w:t>
      </w:r>
    </w:p>
    <w:p w14:paraId="5EEBEB7D" w14:textId="486C70FF" w:rsidR="0070009B" w:rsidRDefault="0070009B" w:rsidP="0070009B">
      <w:pPr>
        <w:spacing w:line="276" w:lineRule="auto"/>
        <w:jc w:val="both"/>
        <w:rPr>
          <w:rFonts w:ascii="Times New Roman" w:hAnsi="Times New Roman" w:cs="Times New Roman"/>
        </w:rPr>
      </w:pPr>
    </w:p>
    <w:p w14:paraId="0E3BAA59" w14:textId="77777777" w:rsidR="0099561C" w:rsidRDefault="0099561C" w:rsidP="0070009B">
      <w:pPr>
        <w:spacing w:line="276" w:lineRule="auto"/>
        <w:jc w:val="both"/>
        <w:rPr>
          <w:rFonts w:ascii="Times New Roman" w:hAnsi="Times New Roman" w:cs="Times New Roman"/>
        </w:rPr>
      </w:pPr>
    </w:p>
    <w:p w14:paraId="60434D85" w14:textId="77777777" w:rsidR="0099561C" w:rsidRDefault="0099561C" w:rsidP="0070009B">
      <w:pPr>
        <w:spacing w:line="276" w:lineRule="auto"/>
        <w:jc w:val="both"/>
        <w:rPr>
          <w:rFonts w:ascii="Times New Roman" w:hAnsi="Times New Roman" w:cs="Times New Roman"/>
        </w:rPr>
      </w:pPr>
    </w:p>
    <w:p w14:paraId="0D055A11" w14:textId="77777777" w:rsidR="0099561C" w:rsidRDefault="0099561C" w:rsidP="0070009B">
      <w:pPr>
        <w:spacing w:line="276" w:lineRule="auto"/>
        <w:jc w:val="both"/>
        <w:rPr>
          <w:rFonts w:ascii="Times New Roman" w:hAnsi="Times New Roman" w:cs="Times New Roman"/>
        </w:rPr>
      </w:pPr>
    </w:p>
    <w:p w14:paraId="06339F65" w14:textId="77777777" w:rsidR="0099561C" w:rsidRPr="0070009B" w:rsidRDefault="0099561C" w:rsidP="0070009B">
      <w:pPr>
        <w:spacing w:line="276" w:lineRule="auto"/>
        <w:jc w:val="both"/>
        <w:rPr>
          <w:rFonts w:ascii="Times New Roman" w:hAnsi="Times New Roman" w:cs="Times New Roman"/>
        </w:rPr>
      </w:pPr>
    </w:p>
    <w:p w14:paraId="1BB60722"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b/>
          <w:bCs/>
        </w:rPr>
        <w:lastRenderedPageBreak/>
        <w:t>7. FINANCING AND INVESTMENT LANDSCAPE</w:t>
      </w:r>
    </w:p>
    <w:p w14:paraId="313C6C55" w14:textId="77777777" w:rsidR="0070009B" w:rsidRPr="0070009B" w:rsidRDefault="0070009B" w:rsidP="0070009B">
      <w:pPr>
        <w:numPr>
          <w:ilvl w:val="0"/>
          <w:numId w:val="9"/>
        </w:numPr>
        <w:spacing w:line="276" w:lineRule="auto"/>
        <w:jc w:val="both"/>
        <w:rPr>
          <w:rFonts w:ascii="Times New Roman" w:hAnsi="Times New Roman" w:cs="Times New Roman"/>
        </w:rPr>
      </w:pPr>
      <w:r w:rsidRPr="0070009B">
        <w:rPr>
          <w:rFonts w:ascii="Times New Roman" w:hAnsi="Times New Roman" w:cs="Times New Roman"/>
        </w:rPr>
        <w:t>Foreign Direct Investment (FDI): $5 billion+ in gas sector in 2024; $17 billion across the energy value chain (NNPC, 2025).</w:t>
      </w:r>
    </w:p>
    <w:p w14:paraId="7614CF91" w14:textId="77777777" w:rsidR="0070009B" w:rsidRPr="0070009B" w:rsidRDefault="0070009B" w:rsidP="0070009B">
      <w:pPr>
        <w:numPr>
          <w:ilvl w:val="0"/>
          <w:numId w:val="9"/>
        </w:numPr>
        <w:spacing w:line="276" w:lineRule="auto"/>
        <w:jc w:val="both"/>
        <w:rPr>
          <w:rFonts w:ascii="Times New Roman" w:hAnsi="Times New Roman" w:cs="Times New Roman"/>
        </w:rPr>
      </w:pPr>
      <w:r w:rsidRPr="0070009B">
        <w:rPr>
          <w:rFonts w:ascii="Times New Roman" w:hAnsi="Times New Roman" w:cs="Times New Roman"/>
        </w:rPr>
        <w:t>Development Finance: AfDB, IFC, and AFC have supported pipeline and power projects, but volumes remain modest relative to needs.</w:t>
      </w:r>
    </w:p>
    <w:p w14:paraId="176BF3F3" w14:textId="77777777" w:rsidR="0070009B" w:rsidRPr="0070009B" w:rsidRDefault="0070009B" w:rsidP="0070009B">
      <w:pPr>
        <w:numPr>
          <w:ilvl w:val="0"/>
          <w:numId w:val="9"/>
        </w:numPr>
        <w:spacing w:line="276" w:lineRule="auto"/>
        <w:jc w:val="both"/>
        <w:rPr>
          <w:rFonts w:ascii="Times New Roman" w:hAnsi="Times New Roman" w:cs="Times New Roman"/>
        </w:rPr>
      </w:pPr>
      <w:r w:rsidRPr="0070009B">
        <w:rPr>
          <w:rFonts w:ascii="Times New Roman" w:hAnsi="Times New Roman" w:cs="Times New Roman"/>
        </w:rPr>
        <w:t>Private Equity &amp; Infrastructure Funds: Increasing interest in midstream gas processing and distribution.</w:t>
      </w:r>
    </w:p>
    <w:p w14:paraId="237A77F0" w14:textId="77777777" w:rsidR="0070009B" w:rsidRPr="0070009B" w:rsidRDefault="0070009B" w:rsidP="0070009B">
      <w:pPr>
        <w:numPr>
          <w:ilvl w:val="0"/>
          <w:numId w:val="9"/>
        </w:numPr>
        <w:spacing w:line="276" w:lineRule="auto"/>
        <w:jc w:val="both"/>
        <w:rPr>
          <w:rFonts w:ascii="Times New Roman" w:hAnsi="Times New Roman" w:cs="Times New Roman"/>
        </w:rPr>
      </w:pPr>
      <w:r w:rsidRPr="0070009B">
        <w:rPr>
          <w:rFonts w:ascii="Times New Roman" w:hAnsi="Times New Roman" w:cs="Times New Roman"/>
        </w:rPr>
        <w:t>Green Finance: Potential for methane reduction and flare gas commercialization projects to attract climate finance.</w:t>
      </w:r>
    </w:p>
    <w:p w14:paraId="2C57F0AE" w14:textId="77777777" w:rsidR="0070009B" w:rsidRPr="0070009B" w:rsidRDefault="0070009B" w:rsidP="0070009B">
      <w:pPr>
        <w:numPr>
          <w:ilvl w:val="0"/>
          <w:numId w:val="9"/>
        </w:numPr>
        <w:spacing w:line="276" w:lineRule="auto"/>
        <w:jc w:val="both"/>
        <w:rPr>
          <w:rFonts w:ascii="Times New Roman" w:hAnsi="Times New Roman" w:cs="Times New Roman"/>
        </w:rPr>
      </w:pPr>
      <w:r w:rsidRPr="0070009B">
        <w:rPr>
          <w:rFonts w:ascii="Times New Roman" w:hAnsi="Times New Roman" w:cs="Times New Roman"/>
        </w:rPr>
        <w:t>Challenges: Foreign exchange volatility, repatriation risks, security premiums, and bureaucratic delays elevate Nigeria's cost of capital above peer markets.</w:t>
      </w:r>
    </w:p>
    <w:p w14:paraId="44B9096B"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Key Intelligence Insight: Nigeria's gas sector is investable but requires risk mitigation instruments—political risk insurance, FX hedging facilities, and blended finance structures—to attract the $60 billion needed.</w:t>
      </w:r>
    </w:p>
    <w:p w14:paraId="09AB2F48" w14:textId="05769AF8" w:rsidR="0070009B" w:rsidRPr="0070009B" w:rsidRDefault="0070009B" w:rsidP="0070009B">
      <w:pPr>
        <w:spacing w:line="276" w:lineRule="auto"/>
        <w:jc w:val="both"/>
        <w:rPr>
          <w:rFonts w:ascii="Times New Roman" w:hAnsi="Times New Roman" w:cs="Times New Roman"/>
          <w:b/>
          <w:bCs/>
        </w:rPr>
      </w:pPr>
    </w:p>
    <w:p w14:paraId="7A19DFBA" w14:textId="23B67C03" w:rsidR="0070009B" w:rsidRPr="0070009B" w:rsidRDefault="0070009B" w:rsidP="0070009B">
      <w:pPr>
        <w:spacing w:line="276" w:lineRule="auto"/>
        <w:jc w:val="both"/>
        <w:rPr>
          <w:rFonts w:ascii="Times New Roman" w:hAnsi="Times New Roman" w:cs="Times New Roman"/>
          <w:b/>
          <w:bCs/>
        </w:rPr>
      </w:pPr>
      <w:r w:rsidRPr="0070009B">
        <w:rPr>
          <w:rFonts w:ascii="Times New Roman" w:hAnsi="Times New Roman" w:cs="Times New Roman"/>
          <w:b/>
          <w:bCs/>
        </w:rPr>
        <w:t>8. BENCHMARKING NIGERIA AGAINST PEER COUNTRIES</w:t>
      </w:r>
    </w:p>
    <w:tbl>
      <w:tblPr>
        <w:tblStyle w:val="TableGrid"/>
        <w:tblW w:w="0" w:type="auto"/>
        <w:tblLook w:val="04A0" w:firstRow="1" w:lastRow="0" w:firstColumn="1" w:lastColumn="0" w:noHBand="0" w:noVBand="1"/>
      </w:tblPr>
      <w:tblGrid>
        <w:gridCol w:w="1918"/>
        <w:gridCol w:w="1404"/>
        <w:gridCol w:w="1069"/>
        <w:gridCol w:w="1136"/>
        <w:gridCol w:w="1096"/>
        <w:gridCol w:w="1483"/>
        <w:gridCol w:w="1244"/>
      </w:tblGrid>
      <w:tr w:rsidR="0070009B" w:rsidRPr="0070009B" w14:paraId="6AEF3442" w14:textId="77777777" w:rsidTr="0099561C">
        <w:tc>
          <w:tcPr>
            <w:tcW w:w="0" w:type="auto"/>
            <w:hideMark/>
          </w:tcPr>
          <w:p w14:paraId="4DA8D6A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Indicator</w:t>
            </w:r>
          </w:p>
        </w:tc>
        <w:tc>
          <w:tcPr>
            <w:tcW w:w="0" w:type="auto"/>
            <w:hideMark/>
          </w:tcPr>
          <w:p w14:paraId="613EECA0"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Nigeria</w:t>
            </w:r>
          </w:p>
        </w:tc>
        <w:tc>
          <w:tcPr>
            <w:tcW w:w="0" w:type="auto"/>
            <w:hideMark/>
          </w:tcPr>
          <w:p w14:paraId="4608A5EB"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Algeria</w:t>
            </w:r>
          </w:p>
        </w:tc>
        <w:tc>
          <w:tcPr>
            <w:tcW w:w="0" w:type="auto"/>
            <w:hideMark/>
          </w:tcPr>
          <w:p w14:paraId="54D2028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Qatar</w:t>
            </w:r>
          </w:p>
        </w:tc>
        <w:tc>
          <w:tcPr>
            <w:tcW w:w="0" w:type="auto"/>
            <w:hideMark/>
          </w:tcPr>
          <w:p w14:paraId="17B722C6"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Australia</w:t>
            </w:r>
          </w:p>
        </w:tc>
        <w:tc>
          <w:tcPr>
            <w:tcW w:w="0" w:type="auto"/>
            <w:hideMark/>
          </w:tcPr>
          <w:p w14:paraId="67BDCED5"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Mozambique</w:t>
            </w:r>
          </w:p>
        </w:tc>
        <w:tc>
          <w:tcPr>
            <w:tcW w:w="0" w:type="auto"/>
            <w:hideMark/>
          </w:tcPr>
          <w:p w14:paraId="77B4B776"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Egypt</w:t>
            </w:r>
          </w:p>
        </w:tc>
      </w:tr>
      <w:tr w:rsidR="0070009B" w:rsidRPr="0070009B" w14:paraId="4EB2CEA3" w14:textId="77777777" w:rsidTr="0099561C">
        <w:tc>
          <w:tcPr>
            <w:tcW w:w="0" w:type="auto"/>
            <w:hideMark/>
          </w:tcPr>
          <w:p w14:paraId="75B4B4B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Proven Reserves (</w:t>
            </w:r>
            <w:proofErr w:type="spellStart"/>
            <w:r w:rsidRPr="0070009B">
              <w:rPr>
                <w:rFonts w:ascii="Times New Roman" w:hAnsi="Times New Roman" w:cs="Times New Roman"/>
              </w:rPr>
              <w:t>Tcf</w:t>
            </w:r>
            <w:proofErr w:type="spellEnd"/>
            <w:r w:rsidRPr="0070009B">
              <w:rPr>
                <w:rFonts w:ascii="Times New Roman" w:hAnsi="Times New Roman" w:cs="Times New Roman"/>
              </w:rPr>
              <w:t>)</w:t>
            </w:r>
          </w:p>
        </w:tc>
        <w:tc>
          <w:tcPr>
            <w:tcW w:w="0" w:type="auto"/>
            <w:hideMark/>
          </w:tcPr>
          <w:p w14:paraId="30850015"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210.5</w:t>
            </w:r>
          </w:p>
        </w:tc>
        <w:tc>
          <w:tcPr>
            <w:tcW w:w="0" w:type="auto"/>
            <w:hideMark/>
          </w:tcPr>
          <w:p w14:paraId="7961035C"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159.0</w:t>
            </w:r>
          </w:p>
        </w:tc>
        <w:tc>
          <w:tcPr>
            <w:tcW w:w="0" w:type="auto"/>
            <w:hideMark/>
          </w:tcPr>
          <w:p w14:paraId="19CAE98B"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~900</w:t>
            </w:r>
          </w:p>
        </w:tc>
        <w:tc>
          <w:tcPr>
            <w:tcW w:w="0" w:type="auto"/>
            <w:hideMark/>
          </w:tcPr>
          <w:p w14:paraId="186E3C8F"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~140</w:t>
            </w:r>
          </w:p>
        </w:tc>
        <w:tc>
          <w:tcPr>
            <w:tcW w:w="0" w:type="auto"/>
            <w:hideMark/>
          </w:tcPr>
          <w:p w14:paraId="5816033A"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100</w:t>
            </w:r>
          </w:p>
        </w:tc>
        <w:tc>
          <w:tcPr>
            <w:tcW w:w="0" w:type="auto"/>
            <w:hideMark/>
          </w:tcPr>
          <w:p w14:paraId="5F86BAA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62.8</w:t>
            </w:r>
          </w:p>
        </w:tc>
      </w:tr>
      <w:tr w:rsidR="0070009B" w:rsidRPr="0070009B" w14:paraId="359A7E95" w14:textId="77777777" w:rsidTr="0099561C">
        <w:tc>
          <w:tcPr>
            <w:tcW w:w="0" w:type="auto"/>
            <w:hideMark/>
          </w:tcPr>
          <w:p w14:paraId="3CAE31BC"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LNG Capacity (MTPA)</w:t>
            </w:r>
          </w:p>
        </w:tc>
        <w:tc>
          <w:tcPr>
            <w:tcW w:w="0" w:type="auto"/>
            <w:hideMark/>
          </w:tcPr>
          <w:p w14:paraId="01B6D011"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22.2 (30 post-T7)</w:t>
            </w:r>
          </w:p>
        </w:tc>
        <w:tc>
          <w:tcPr>
            <w:tcW w:w="0" w:type="auto"/>
            <w:hideMark/>
          </w:tcPr>
          <w:p w14:paraId="5D58DCB0"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25.5</w:t>
            </w:r>
          </w:p>
        </w:tc>
        <w:tc>
          <w:tcPr>
            <w:tcW w:w="0" w:type="auto"/>
            <w:hideMark/>
          </w:tcPr>
          <w:p w14:paraId="351734D7"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77.1</w:t>
            </w:r>
          </w:p>
        </w:tc>
        <w:tc>
          <w:tcPr>
            <w:tcW w:w="0" w:type="auto"/>
            <w:hideMark/>
          </w:tcPr>
          <w:p w14:paraId="5652F1F9"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87.6</w:t>
            </w:r>
          </w:p>
        </w:tc>
        <w:tc>
          <w:tcPr>
            <w:tcW w:w="0" w:type="auto"/>
            <w:hideMark/>
          </w:tcPr>
          <w:p w14:paraId="4719BD71"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3.4</w:t>
            </w:r>
          </w:p>
        </w:tc>
        <w:tc>
          <w:tcPr>
            <w:tcW w:w="0" w:type="auto"/>
            <w:hideMark/>
          </w:tcPr>
          <w:p w14:paraId="418565AD"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12.2 (offline)</w:t>
            </w:r>
          </w:p>
        </w:tc>
      </w:tr>
      <w:tr w:rsidR="0070009B" w:rsidRPr="0070009B" w14:paraId="19A165CC" w14:textId="77777777" w:rsidTr="0099561C">
        <w:tc>
          <w:tcPr>
            <w:tcW w:w="0" w:type="auto"/>
            <w:hideMark/>
          </w:tcPr>
          <w:p w14:paraId="02F6E0B7"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2024 LNG Exports (MT)</w:t>
            </w:r>
          </w:p>
        </w:tc>
        <w:tc>
          <w:tcPr>
            <w:tcW w:w="0" w:type="auto"/>
            <w:hideMark/>
          </w:tcPr>
          <w:p w14:paraId="54178400"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13.8</w:t>
            </w:r>
          </w:p>
        </w:tc>
        <w:tc>
          <w:tcPr>
            <w:tcW w:w="0" w:type="auto"/>
            <w:hideMark/>
          </w:tcPr>
          <w:p w14:paraId="252FE4B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11.6</w:t>
            </w:r>
          </w:p>
        </w:tc>
        <w:tc>
          <w:tcPr>
            <w:tcW w:w="0" w:type="auto"/>
            <w:hideMark/>
          </w:tcPr>
          <w:p w14:paraId="39655256"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77.2</w:t>
            </w:r>
          </w:p>
        </w:tc>
        <w:tc>
          <w:tcPr>
            <w:tcW w:w="0" w:type="auto"/>
            <w:hideMark/>
          </w:tcPr>
          <w:p w14:paraId="7F1486A1"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81.0</w:t>
            </w:r>
          </w:p>
        </w:tc>
        <w:tc>
          <w:tcPr>
            <w:tcW w:w="0" w:type="auto"/>
            <w:hideMark/>
          </w:tcPr>
          <w:p w14:paraId="517DC313"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3.1</w:t>
            </w:r>
          </w:p>
        </w:tc>
        <w:tc>
          <w:tcPr>
            <w:tcW w:w="0" w:type="auto"/>
            <w:hideMark/>
          </w:tcPr>
          <w:p w14:paraId="60B1A204"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0.8</w:t>
            </w:r>
          </w:p>
        </w:tc>
      </w:tr>
      <w:tr w:rsidR="0070009B" w:rsidRPr="0070009B" w14:paraId="3870307C" w14:textId="77777777" w:rsidTr="0099561C">
        <w:tc>
          <w:tcPr>
            <w:tcW w:w="0" w:type="auto"/>
            <w:hideMark/>
          </w:tcPr>
          <w:p w14:paraId="5FCAFDA0"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Utilization Rate</w:t>
            </w:r>
          </w:p>
        </w:tc>
        <w:tc>
          <w:tcPr>
            <w:tcW w:w="0" w:type="auto"/>
            <w:hideMark/>
          </w:tcPr>
          <w:p w14:paraId="0970DE03"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65%</w:t>
            </w:r>
          </w:p>
        </w:tc>
        <w:tc>
          <w:tcPr>
            <w:tcW w:w="0" w:type="auto"/>
            <w:hideMark/>
          </w:tcPr>
          <w:p w14:paraId="4A01C85F"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25%</w:t>
            </w:r>
          </w:p>
        </w:tc>
        <w:tc>
          <w:tcPr>
            <w:tcW w:w="0" w:type="auto"/>
            <w:hideMark/>
          </w:tcPr>
          <w:p w14:paraId="4170AF97"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102%</w:t>
            </w:r>
          </w:p>
        </w:tc>
        <w:tc>
          <w:tcPr>
            <w:tcW w:w="0" w:type="auto"/>
            <w:hideMark/>
          </w:tcPr>
          <w:p w14:paraId="1B0D0DD9"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~90%</w:t>
            </w:r>
          </w:p>
        </w:tc>
        <w:tc>
          <w:tcPr>
            <w:tcW w:w="0" w:type="auto"/>
            <w:hideMark/>
          </w:tcPr>
          <w:p w14:paraId="5ED8F713"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~90%</w:t>
            </w:r>
          </w:p>
        </w:tc>
        <w:tc>
          <w:tcPr>
            <w:tcW w:w="0" w:type="auto"/>
            <w:hideMark/>
          </w:tcPr>
          <w:p w14:paraId="448B8B6A"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0%</w:t>
            </w:r>
          </w:p>
        </w:tc>
      </w:tr>
      <w:tr w:rsidR="0070009B" w:rsidRPr="0070009B" w14:paraId="3B0606B6" w14:textId="77777777" w:rsidTr="0099561C">
        <w:tc>
          <w:tcPr>
            <w:tcW w:w="0" w:type="auto"/>
            <w:hideMark/>
          </w:tcPr>
          <w:p w14:paraId="4300C9C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Domestic Gas Use</w:t>
            </w:r>
          </w:p>
        </w:tc>
        <w:tc>
          <w:tcPr>
            <w:tcW w:w="0" w:type="auto"/>
            <w:hideMark/>
          </w:tcPr>
          <w:p w14:paraId="1048E09C"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Low</w:t>
            </w:r>
          </w:p>
        </w:tc>
        <w:tc>
          <w:tcPr>
            <w:tcW w:w="0" w:type="auto"/>
            <w:hideMark/>
          </w:tcPr>
          <w:p w14:paraId="56DD7EF0"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Very High</w:t>
            </w:r>
          </w:p>
        </w:tc>
        <w:tc>
          <w:tcPr>
            <w:tcW w:w="0" w:type="auto"/>
            <w:hideMark/>
          </w:tcPr>
          <w:p w14:paraId="0A5B94DB"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Moderate</w:t>
            </w:r>
          </w:p>
        </w:tc>
        <w:tc>
          <w:tcPr>
            <w:tcW w:w="0" w:type="auto"/>
            <w:hideMark/>
          </w:tcPr>
          <w:p w14:paraId="766A5CF6"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High</w:t>
            </w:r>
          </w:p>
        </w:tc>
        <w:tc>
          <w:tcPr>
            <w:tcW w:w="0" w:type="auto"/>
            <w:hideMark/>
          </w:tcPr>
          <w:p w14:paraId="697D4D8A"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Negligible</w:t>
            </w:r>
          </w:p>
        </w:tc>
        <w:tc>
          <w:tcPr>
            <w:tcW w:w="0" w:type="auto"/>
            <w:hideMark/>
          </w:tcPr>
          <w:p w14:paraId="071490DC"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Very High</w:t>
            </w:r>
          </w:p>
        </w:tc>
      </w:tr>
    </w:tbl>
    <w:p w14:paraId="713C5632"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(Sources: IGU World LNG Report, 2025; Rystad Energy, 2025; EIA, 2025)</w:t>
      </w:r>
    </w:p>
    <w:p w14:paraId="18C82336" w14:textId="7DDD3EE5"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Nigeria scores highly on reserve size but poorly on infrastructure, investment attractiveness, and domestic market development. Qatar and Australia demonstrate what consistent policy execution and infrastructure investment can achieve. Algeria's low LNG utilization (25% in Q3 2025) reflects domestic demand absorption and facility aging</w:t>
      </w:r>
      <w:r w:rsidR="0099561C">
        <w:rPr>
          <w:rFonts w:ascii="Times New Roman" w:hAnsi="Times New Roman" w:cs="Times New Roman"/>
        </w:rPr>
        <w:t xml:space="preserve"> </w:t>
      </w:r>
      <w:r w:rsidRPr="0070009B">
        <w:rPr>
          <w:rFonts w:ascii="Times New Roman" w:hAnsi="Times New Roman" w:cs="Times New Roman"/>
        </w:rPr>
        <w:t xml:space="preserve">an instructive warning for Nigeria. Mozambique, </w:t>
      </w:r>
      <w:r w:rsidRPr="0070009B">
        <w:rPr>
          <w:rFonts w:ascii="Times New Roman" w:hAnsi="Times New Roman" w:cs="Times New Roman"/>
        </w:rPr>
        <w:lastRenderedPageBreak/>
        <w:t>with smaller reserves, is attracting major LNG investment due to fiscal stability and security partnerships.</w:t>
      </w:r>
    </w:p>
    <w:p w14:paraId="602A114E" w14:textId="2BC2E389" w:rsidR="0070009B" w:rsidRPr="0070009B" w:rsidRDefault="0070009B" w:rsidP="0070009B">
      <w:pPr>
        <w:spacing w:line="276" w:lineRule="auto"/>
        <w:jc w:val="both"/>
        <w:rPr>
          <w:rFonts w:ascii="Times New Roman" w:hAnsi="Times New Roman" w:cs="Times New Roman"/>
        </w:rPr>
      </w:pPr>
    </w:p>
    <w:p w14:paraId="48E6CC88" w14:textId="77777777" w:rsidR="0070009B" w:rsidRPr="0070009B" w:rsidRDefault="0070009B" w:rsidP="0070009B">
      <w:pPr>
        <w:spacing w:line="276" w:lineRule="auto"/>
        <w:jc w:val="both"/>
        <w:rPr>
          <w:rFonts w:ascii="Times New Roman" w:hAnsi="Times New Roman" w:cs="Times New Roman"/>
          <w:b/>
          <w:bCs/>
        </w:rPr>
      </w:pPr>
      <w:r w:rsidRPr="0070009B">
        <w:rPr>
          <w:rFonts w:ascii="Times New Roman" w:hAnsi="Times New Roman" w:cs="Times New Roman"/>
          <w:b/>
          <w:bCs/>
        </w:rPr>
        <w:t>9. KEY CONSTRAINTS TO GAS MONETIZATION</w:t>
      </w:r>
    </w:p>
    <w:p w14:paraId="382D7B0C" w14:textId="6E9FBA7C"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Infrastructure deficit and pipeline vandalism sit in the critical risk quadrant (high likelihood, high impact). These are existential threats to monetization. Financing gaps and security challenges follow closely. Pricing distortions and regulatory delays are medium-high risks that compound investment uncertainty. Technology limitations and low domestic demand are comparatively lower priorities but still constrain growth.</w:t>
      </w:r>
    </w:p>
    <w:p w14:paraId="43D64144"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Detailed Constraints:</w:t>
      </w:r>
    </w:p>
    <w:p w14:paraId="0D92B99A" w14:textId="77777777" w:rsidR="0070009B" w:rsidRPr="0070009B" w:rsidRDefault="0070009B" w:rsidP="0070009B">
      <w:pPr>
        <w:numPr>
          <w:ilvl w:val="0"/>
          <w:numId w:val="10"/>
        </w:numPr>
        <w:spacing w:line="276" w:lineRule="auto"/>
        <w:jc w:val="both"/>
        <w:rPr>
          <w:rFonts w:ascii="Times New Roman" w:hAnsi="Times New Roman" w:cs="Times New Roman"/>
        </w:rPr>
      </w:pPr>
      <w:r w:rsidRPr="0070009B">
        <w:rPr>
          <w:rFonts w:ascii="Times New Roman" w:hAnsi="Times New Roman" w:cs="Times New Roman"/>
        </w:rPr>
        <w:t>Infrastructure Deficit: Inadequate gathering, processing, transmission, and distribution networks.</w:t>
      </w:r>
    </w:p>
    <w:p w14:paraId="50E71200" w14:textId="77777777" w:rsidR="0070009B" w:rsidRPr="0070009B" w:rsidRDefault="0070009B" w:rsidP="0070009B">
      <w:pPr>
        <w:numPr>
          <w:ilvl w:val="0"/>
          <w:numId w:val="10"/>
        </w:numPr>
        <w:spacing w:line="276" w:lineRule="auto"/>
        <w:jc w:val="both"/>
        <w:rPr>
          <w:rFonts w:ascii="Times New Roman" w:hAnsi="Times New Roman" w:cs="Times New Roman"/>
        </w:rPr>
      </w:pPr>
      <w:r w:rsidRPr="0070009B">
        <w:rPr>
          <w:rFonts w:ascii="Times New Roman" w:hAnsi="Times New Roman" w:cs="Times New Roman"/>
        </w:rPr>
        <w:t>Pipeline Vandalism &amp; Theft: Crude oil theft and pipeline sabotage in the Niger Delta disrupt gas supply to NLNG and domestic users.</w:t>
      </w:r>
    </w:p>
    <w:p w14:paraId="4BAA67A9" w14:textId="77777777" w:rsidR="0070009B" w:rsidRPr="0070009B" w:rsidRDefault="0070009B" w:rsidP="0070009B">
      <w:pPr>
        <w:numPr>
          <w:ilvl w:val="0"/>
          <w:numId w:val="10"/>
        </w:numPr>
        <w:spacing w:line="276" w:lineRule="auto"/>
        <w:jc w:val="both"/>
        <w:rPr>
          <w:rFonts w:ascii="Times New Roman" w:hAnsi="Times New Roman" w:cs="Times New Roman"/>
        </w:rPr>
      </w:pPr>
      <w:r w:rsidRPr="0070009B">
        <w:rPr>
          <w:rFonts w:ascii="Times New Roman" w:hAnsi="Times New Roman" w:cs="Times New Roman"/>
        </w:rPr>
        <w:t>Gas Flaring: 7.16% of production flared in 2025; smaller indigenous operators lack capital for gas capture.</w:t>
      </w:r>
    </w:p>
    <w:p w14:paraId="63579A2E" w14:textId="77777777" w:rsidR="0070009B" w:rsidRPr="0070009B" w:rsidRDefault="0070009B" w:rsidP="0070009B">
      <w:pPr>
        <w:numPr>
          <w:ilvl w:val="0"/>
          <w:numId w:val="10"/>
        </w:numPr>
        <w:spacing w:line="276" w:lineRule="auto"/>
        <w:jc w:val="both"/>
        <w:rPr>
          <w:rFonts w:ascii="Times New Roman" w:hAnsi="Times New Roman" w:cs="Times New Roman"/>
        </w:rPr>
      </w:pPr>
      <w:r w:rsidRPr="0070009B">
        <w:rPr>
          <w:rFonts w:ascii="Times New Roman" w:hAnsi="Times New Roman" w:cs="Times New Roman"/>
        </w:rPr>
        <w:t>Financing Gaps: $60 billion needed; current flows insufficient.</w:t>
      </w:r>
    </w:p>
    <w:p w14:paraId="32C2C41B" w14:textId="77777777" w:rsidR="0070009B" w:rsidRPr="0070009B" w:rsidRDefault="0070009B" w:rsidP="0070009B">
      <w:pPr>
        <w:numPr>
          <w:ilvl w:val="0"/>
          <w:numId w:val="10"/>
        </w:numPr>
        <w:spacing w:line="276" w:lineRule="auto"/>
        <w:jc w:val="both"/>
        <w:rPr>
          <w:rFonts w:ascii="Times New Roman" w:hAnsi="Times New Roman" w:cs="Times New Roman"/>
        </w:rPr>
      </w:pPr>
      <w:r w:rsidRPr="0070009B">
        <w:rPr>
          <w:rFonts w:ascii="Times New Roman" w:hAnsi="Times New Roman" w:cs="Times New Roman"/>
        </w:rPr>
        <w:t>Security: Militancy, kidnapping, and community conflicts elevate operational risk.</w:t>
      </w:r>
    </w:p>
    <w:p w14:paraId="74EA2123" w14:textId="77777777" w:rsidR="0070009B" w:rsidRPr="0070009B" w:rsidRDefault="0070009B" w:rsidP="0070009B">
      <w:pPr>
        <w:numPr>
          <w:ilvl w:val="0"/>
          <w:numId w:val="10"/>
        </w:numPr>
        <w:spacing w:line="276" w:lineRule="auto"/>
        <w:jc w:val="both"/>
        <w:rPr>
          <w:rFonts w:ascii="Times New Roman" w:hAnsi="Times New Roman" w:cs="Times New Roman"/>
        </w:rPr>
      </w:pPr>
      <w:r w:rsidRPr="0070009B">
        <w:rPr>
          <w:rFonts w:ascii="Times New Roman" w:hAnsi="Times New Roman" w:cs="Times New Roman"/>
        </w:rPr>
        <w:t>Regulatory Delays: Licensing, approvals, and permitting remain slow despite PIA reforms.</w:t>
      </w:r>
    </w:p>
    <w:p w14:paraId="55063A0B" w14:textId="77777777" w:rsidR="0070009B" w:rsidRPr="0070009B" w:rsidRDefault="0070009B" w:rsidP="0070009B">
      <w:pPr>
        <w:numPr>
          <w:ilvl w:val="0"/>
          <w:numId w:val="10"/>
        </w:numPr>
        <w:spacing w:line="276" w:lineRule="auto"/>
        <w:jc w:val="both"/>
        <w:rPr>
          <w:rFonts w:ascii="Times New Roman" w:hAnsi="Times New Roman" w:cs="Times New Roman"/>
        </w:rPr>
      </w:pPr>
      <w:r w:rsidRPr="0070009B">
        <w:rPr>
          <w:rFonts w:ascii="Times New Roman" w:hAnsi="Times New Roman" w:cs="Times New Roman"/>
        </w:rPr>
        <w:t>Pricing Issues: Domestic gas prices below export parity discourage supply to strategic sectors.</w:t>
      </w:r>
    </w:p>
    <w:p w14:paraId="6AED9B6C" w14:textId="77777777" w:rsidR="0070009B" w:rsidRPr="0070009B" w:rsidRDefault="0070009B" w:rsidP="0070009B">
      <w:pPr>
        <w:numPr>
          <w:ilvl w:val="0"/>
          <w:numId w:val="10"/>
        </w:numPr>
        <w:spacing w:line="276" w:lineRule="auto"/>
        <w:jc w:val="both"/>
        <w:rPr>
          <w:rFonts w:ascii="Times New Roman" w:hAnsi="Times New Roman" w:cs="Times New Roman"/>
        </w:rPr>
      </w:pPr>
      <w:r w:rsidRPr="0070009B">
        <w:rPr>
          <w:rFonts w:ascii="Times New Roman" w:hAnsi="Times New Roman" w:cs="Times New Roman"/>
        </w:rPr>
        <w:t>Contract Enforcement: Weak judicial frameworks and payment defaults undermine investor confidence.</w:t>
      </w:r>
    </w:p>
    <w:p w14:paraId="38707FDC" w14:textId="77777777" w:rsidR="0070009B" w:rsidRPr="0070009B" w:rsidRDefault="0070009B" w:rsidP="0070009B">
      <w:pPr>
        <w:numPr>
          <w:ilvl w:val="0"/>
          <w:numId w:val="10"/>
        </w:numPr>
        <w:spacing w:line="276" w:lineRule="auto"/>
        <w:jc w:val="both"/>
        <w:rPr>
          <w:rFonts w:ascii="Times New Roman" w:hAnsi="Times New Roman" w:cs="Times New Roman"/>
        </w:rPr>
      </w:pPr>
      <w:r w:rsidRPr="0070009B">
        <w:rPr>
          <w:rFonts w:ascii="Times New Roman" w:hAnsi="Times New Roman" w:cs="Times New Roman"/>
        </w:rPr>
        <w:t>Low Domestic Demand: Power sector dysfunction suppresses the largest potential market.</w:t>
      </w:r>
    </w:p>
    <w:p w14:paraId="4EE5FE0D" w14:textId="77777777" w:rsidR="0070009B" w:rsidRPr="0070009B" w:rsidRDefault="0070009B" w:rsidP="0070009B">
      <w:pPr>
        <w:numPr>
          <w:ilvl w:val="0"/>
          <w:numId w:val="10"/>
        </w:numPr>
        <w:spacing w:line="276" w:lineRule="auto"/>
        <w:jc w:val="both"/>
        <w:rPr>
          <w:rFonts w:ascii="Times New Roman" w:hAnsi="Times New Roman" w:cs="Times New Roman"/>
        </w:rPr>
      </w:pPr>
      <w:r w:rsidRPr="0070009B">
        <w:rPr>
          <w:rFonts w:ascii="Times New Roman" w:hAnsi="Times New Roman" w:cs="Times New Roman"/>
        </w:rPr>
        <w:t>Political Risks: Policy reversals, election cycles, and fiscal instability.</w:t>
      </w:r>
    </w:p>
    <w:p w14:paraId="64ADFB6B" w14:textId="00C21E56" w:rsidR="0070009B" w:rsidRPr="0070009B" w:rsidRDefault="0070009B" w:rsidP="0070009B">
      <w:pPr>
        <w:spacing w:line="276" w:lineRule="auto"/>
        <w:jc w:val="both"/>
        <w:rPr>
          <w:rFonts w:ascii="Times New Roman" w:hAnsi="Times New Roman" w:cs="Times New Roman"/>
        </w:rPr>
      </w:pPr>
    </w:p>
    <w:p w14:paraId="0193348E"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10. STRATEGIC OPPORTUNITIES</w:t>
      </w:r>
    </w:p>
    <w:p w14:paraId="391129EF" w14:textId="32128350"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European gas demand diversification and Asian LNG growth (China, India) sit in the strategic priority quadrant—high impact and feasible. Gas-to-power expansion and petrochemicals also offer high impact but face implementation hurdles (power sector reform, industrial policy). Blue hydrogen and carbon capture are longer-term opportunities with current low feasibility. CNG for transport and digital technologies represent quick wins with moderate impact.</w:t>
      </w:r>
    </w:p>
    <w:p w14:paraId="62827DF1"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lastRenderedPageBreak/>
        <w:t>Opportunity Assessment:</w:t>
      </w:r>
    </w:p>
    <w:p w14:paraId="43266D0E" w14:textId="77777777" w:rsidR="0070009B" w:rsidRPr="0070009B" w:rsidRDefault="0070009B" w:rsidP="0070009B">
      <w:pPr>
        <w:numPr>
          <w:ilvl w:val="0"/>
          <w:numId w:val="11"/>
        </w:numPr>
        <w:spacing w:line="276" w:lineRule="auto"/>
        <w:jc w:val="both"/>
        <w:rPr>
          <w:rFonts w:ascii="Times New Roman" w:hAnsi="Times New Roman" w:cs="Times New Roman"/>
        </w:rPr>
      </w:pPr>
      <w:r w:rsidRPr="0070009B">
        <w:rPr>
          <w:rFonts w:ascii="Times New Roman" w:hAnsi="Times New Roman" w:cs="Times New Roman"/>
        </w:rPr>
        <w:t>European Demand: Post-Russia diversification creates a premium market for Nigerian LNG, but competition from U.S. and Qatar is intensifying.</w:t>
      </w:r>
    </w:p>
    <w:p w14:paraId="34327825" w14:textId="77777777" w:rsidR="0070009B" w:rsidRPr="0070009B" w:rsidRDefault="0070009B" w:rsidP="0070009B">
      <w:pPr>
        <w:numPr>
          <w:ilvl w:val="0"/>
          <w:numId w:val="11"/>
        </w:numPr>
        <w:spacing w:line="276" w:lineRule="auto"/>
        <w:jc w:val="both"/>
        <w:rPr>
          <w:rFonts w:ascii="Times New Roman" w:hAnsi="Times New Roman" w:cs="Times New Roman"/>
        </w:rPr>
      </w:pPr>
      <w:r w:rsidRPr="0070009B">
        <w:rPr>
          <w:rFonts w:ascii="Times New Roman" w:hAnsi="Times New Roman" w:cs="Times New Roman"/>
        </w:rPr>
        <w:t>Asian Growth: China's LNG demand is recovering; India is adding 5 MTPA of import capacity. Nigeria is well-positioned but needs shipping and marketing partnerships.</w:t>
      </w:r>
    </w:p>
    <w:p w14:paraId="0F37F6EA" w14:textId="77777777" w:rsidR="0070009B" w:rsidRPr="0070009B" w:rsidRDefault="0070009B" w:rsidP="0070009B">
      <w:pPr>
        <w:numPr>
          <w:ilvl w:val="0"/>
          <w:numId w:val="11"/>
        </w:numPr>
        <w:spacing w:line="276" w:lineRule="auto"/>
        <w:jc w:val="both"/>
        <w:rPr>
          <w:rFonts w:ascii="Times New Roman" w:hAnsi="Times New Roman" w:cs="Times New Roman"/>
        </w:rPr>
      </w:pPr>
      <w:r w:rsidRPr="0070009B">
        <w:rPr>
          <w:rFonts w:ascii="Times New Roman" w:hAnsi="Times New Roman" w:cs="Times New Roman"/>
        </w:rPr>
        <w:t xml:space="preserve">Regional Trade: </w:t>
      </w:r>
      <w:proofErr w:type="spellStart"/>
      <w:r w:rsidRPr="0070009B">
        <w:rPr>
          <w:rFonts w:ascii="Times New Roman" w:hAnsi="Times New Roman" w:cs="Times New Roman"/>
        </w:rPr>
        <w:t>AfCFTA</w:t>
      </w:r>
      <w:proofErr w:type="spellEnd"/>
      <w:r w:rsidRPr="0070009B">
        <w:rPr>
          <w:rFonts w:ascii="Times New Roman" w:hAnsi="Times New Roman" w:cs="Times New Roman"/>
        </w:rPr>
        <w:t xml:space="preserve"> and WAGP expansion could create a West African gas market of 400+ million people.</w:t>
      </w:r>
    </w:p>
    <w:p w14:paraId="71082FD1" w14:textId="77777777" w:rsidR="0070009B" w:rsidRPr="0070009B" w:rsidRDefault="0070009B" w:rsidP="0070009B">
      <w:pPr>
        <w:numPr>
          <w:ilvl w:val="0"/>
          <w:numId w:val="11"/>
        </w:numPr>
        <w:spacing w:line="276" w:lineRule="auto"/>
        <w:jc w:val="both"/>
        <w:rPr>
          <w:rFonts w:ascii="Times New Roman" w:hAnsi="Times New Roman" w:cs="Times New Roman"/>
        </w:rPr>
      </w:pPr>
      <w:r w:rsidRPr="0070009B">
        <w:rPr>
          <w:rFonts w:ascii="Times New Roman" w:hAnsi="Times New Roman" w:cs="Times New Roman"/>
        </w:rPr>
        <w:t>Gas-Based Industrialization: Fertilizer, methanol, and petrochemical clusters near gas sources (e.g., Dangote Refinery, Indorama) can absorb domestic supply and create jobs.</w:t>
      </w:r>
    </w:p>
    <w:p w14:paraId="621F69B2" w14:textId="77777777" w:rsidR="0070009B" w:rsidRPr="0070009B" w:rsidRDefault="0070009B" w:rsidP="0070009B">
      <w:pPr>
        <w:numPr>
          <w:ilvl w:val="0"/>
          <w:numId w:val="11"/>
        </w:numPr>
        <w:spacing w:line="276" w:lineRule="auto"/>
        <w:jc w:val="both"/>
        <w:rPr>
          <w:rFonts w:ascii="Times New Roman" w:hAnsi="Times New Roman" w:cs="Times New Roman"/>
        </w:rPr>
      </w:pPr>
      <w:r w:rsidRPr="0070009B">
        <w:rPr>
          <w:rFonts w:ascii="Times New Roman" w:hAnsi="Times New Roman" w:cs="Times New Roman"/>
        </w:rPr>
        <w:t>CNG Transport: Government push to convert vehicle fleets; potential to reduce petrol imports and emissions.</w:t>
      </w:r>
    </w:p>
    <w:p w14:paraId="6A26CCC5" w14:textId="77777777" w:rsidR="0070009B" w:rsidRPr="0070009B" w:rsidRDefault="0070009B" w:rsidP="0070009B">
      <w:pPr>
        <w:numPr>
          <w:ilvl w:val="0"/>
          <w:numId w:val="11"/>
        </w:numPr>
        <w:spacing w:line="276" w:lineRule="auto"/>
        <w:jc w:val="both"/>
        <w:rPr>
          <w:rFonts w:ascii="Times New Roman" w:hAnsi="Times New Roman" w:cs="Times New Roman"/>
        </w:rPr>
      </w:pPr>
      <w:r w:rsidRPr="0070009B">
        <w:rPr>
          <w:rFonts w:ascii="Times New Roman" w:hAnsi="Times New Roman" w:cs="Times New Roman"/>
        </w:rPr>
        <w:t>Digital Technologies: IoT, AI, and satellite monitoring can reduce flaring, optimize pipeline operations, and improve security.</w:t>
      </w:r>
    </w:p>
    <w:p w14:paraId="772E199C" w14:textId="0B446524" w:rsidR="0070009B" w:rsidRPr="0070009B" w:rsidRDefault="0070009B" w:rsidP="0070009B">
      <w:pPr>
        <w:spacing w:line="276" w:lineRule="auto"/>
        <w:jc w:val="both"/>
        <w:rPr>
          <w:rFonts w:ascii="Times New Roman" w:hAnsi="Times New Roman" w:cs="Times New Roman"/>
        </w:rPr>
      </w:pPr>
    </w:p>
    <w:p w14:paraId="207FA1CC" w14:textId="0B1CAF92"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11. SWOT ANALYSIS</w:t>
      </w:r>
    </w:p>
    <w:tbl>
      <w:tblPr>
        <w:tblStyle w:val="TableGrid"/>
        <w:tblW w:w="0" w:type="auto"/>
        <w:tblLook w:val="04A0" w:firstRow="1" w:lastRow="0" w:firstColumn="1" w:lastColumn="0" w:noHBand="0" w:noVBand="1"/>
      </w:tblPr>
      <w:tblGrid>
        <w:gridCol w:w="5125"/>
        <w:gridCol w:w="4225"/>
      </w:tblGrid>
      <w:tr w:rsidR="0070009B" w:rsidRPr="0070009B" w14:paraId="20A61F6B" w14:textId="77777777" w:rsidTr="0099561C">
        <w:tc>
          <w:tcPr>
            <w:tcW w:w="5125" w:type="dxa"/>
            <w:hideMark/>
          </w:tcPr>
          <w:p w14:paraId="5B6ECBA6"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STRENGTHS</w:t>
            </w:r>
          </w:p>
        </w:tc>
        <w:tc>
          <w:tcPr>
            <w:tcW w:w="4225" w:type="dxa"/>
            <w:hideMark/>
          </w:tcPr>
          <w:p w14:paraId="44879684"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WEAKNESSES</w:t>
            </w:r>
          </w:p>
        </w:tc>
      </w:tr>
      <w:tr w:rsidR="0070009B" w:rsidRPr="0070009B" w14:paraId="6A15E18D" w14:textId="77777777" w:rsidTr="0099561C">
        <w:tc>
          <w:tcPr>
            <w:tcW w:w="5125" w:type="dxa"/>
            <w:hideMark/>
          </w:tcPr>
          <w:p w14:paraId="20102111"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xml:space="preserve">• Largest proven gas reserves in Africa (210.5 </w:t>
            </w:r>
            <w:proofErr w:type="spellStart"/>
            <w:r w:rsidRPr="0070009B">
              <w:rPr>
                <w:rFonts w:ascii="Times New Roman" w:hAnsi="Times New Roman" w:cs="Times New Roman"/>
              </w:rPr>
              <w:t>Tcf</w:t>
            </w:r>
            <w:proofErr w:type="spellEnd"/>
            <w:r w:rsidRPr="0070009B">
              <w:rPr>
                <w:rFonts w:ascii="Times New Roman" w:hAnsi="Times New Roman" w:cs="Times New Roman"/>
              </w:rPr>
              <w:t>)</w:t>
            </w:r>
          </w:p>
        </w:tc>
        <w:tc>
          <w:tcPr>
            <w:tcW w:w="4225" w:type="dxa"/>
            <w:hideMark/>
          </w:tcPr>
          <w:p w14:paraId="25D150CF"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Production-to-reserves ratio of only ~1%</w:t>
            </w:r>
          </w:p>
        </w:tc>
      </w:tr>
      <w:tr w:rsidR="0070009B" w:rsidRPr="0070009B" w14:paraId="36F0524C" w14:textId="77777777" w:rsidTr="0099561C">
        <w:tc>
          <w:tcPr>
            <w:tcW w:w="5125" w:type="dxa"/>
            <w:hideMark/>
          </w:tcPr>
          <w:p w14:paraId="647ABB95"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Established LNG export infrastructure (NLNG)</w:t>
            </w:r>
          </w:p>
        </w:tc>
        <w:tc>
          <w:tcPr>
            <w:tcW w:w="4225" w:type="dxa"/>
            <w:hideMark/>
          </w:tcPr>
          <w:p w14:paraId="537B2968"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Chronic infrastructure deficits</w:t>
            </w:r>
          </w:p>
        </w:tc>
      </w:tr>
      <w:tr w:rsidR="0070009B" w:rsidRPr="0070009B" w14:paraId="77CA646B" w14:textId="77777777" w:rsidTr="0099561C">
        <w:tc>
          <w:tcPr>
            <w:tcW w:w="5125" w:type="dxa"/>
            <w:hideMark/>
          </w:tcPr>
          <w:p w14:paraId="3C920D71"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Favorable geographic position (Atlantic access to Europe/Americas)</w:t>
            </w:r>
          </w:p>
        </w:tc>
        <w:tc>
          <w:tcPr>
            <w:tcW w:w="4225" w:type="dxa"/>
            <w:hideMark/>
          </w:tcPr>
          <w:p w14:paraId="4A1A8E1A"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Pipeline vandalism and crude theft</w:t>
            </w:r>
          </w:p>
        </w:tc>
      </w:tr>
      <w:tr w:rsidR="0070009B" w:rsidRPr="0070009B" w14:paraId="112436FD" w14:textId="77777777" w:rsidTr="0099561C">
        <w:tc>
          <w:tcPr>
            <w:tcW w:w="5125" w:type="dxa"/>
            <w:hideMark/>
          </w:tcPr>
          <w:p w14:paraId="2A7B4912"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Large domestic market (220+ million people)</w:t>
            </w:r>
          </w:p>
        </w:tc>
        <w:tc>
          <w:tcPr>
            <w:tcW w:w="4225" w:type="dxa"/>
            <w:hideMark/>
          </w:tcPr>
          <w:p w14:paraId="56AEF61A"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Power sector dysfunction suppressing demand</w:t>
            </w:r>
          </w:p>
        </w:tc>
      </w:tr>
      <w:tr w:rsidR="0070009B" w:rsidRPr="0070009B" w14:paraId="5D2D4B93" w14:textId="77777777" w:rsidTr="0099561C">
        <w:tc>
          <w:tcPr>
            <w:tcW w:w="5125" w:type="dxa"/>
            <w:hideMark/>
          </w:tcPr>
          <w:p w14:paraId="355E3ED5"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PIA (2021) provides improved governance framework</w:t>
            </w:r>
          </w:p>
        </w:tc>
        <w:tc>
          <w:tcPr>
            <w:tcW w:w="4225" w:type="dxa"/>
            <w:hideMark/>
          </w:tcPr>
          <w:p w14:paraId="7B9D50AF"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Pricing distortions and subsidy burdens</w:t>
            </w:r>
          </w:p>
        </w:tc>
      </w:tr>
      <w:tr w:rsidR="0070009B" w:rsidRPr="0070009B" w14:paraId="6A26133E" w14:textId="77777777" w:rsidTr="0099561C">
        <w:tc>
          <w:tcPr>
            <w:tcW w:w="5125" w:type="dxa"/>
            <w:hideMark/>
          </w:tcPr>
          <w:p w14:paraId="2DB925F0"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Growing indigenous operator capacity</w:t>
            </w:r>
          </w:p>
        </w:tc>
        <w:tc>
          <w:tcPr>
            <w:tcW w:w="4225" w:type="dxa"/>
            <w:hideMark/>
          </w:tcPr>
          <w:p w14:paraId="32F1325E"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Regulatory implementation gaps</w:t>
            </w:r>
          </w:p>
        </w:tc>
      </w:tr>
      <w:tr w:rsidR="0070009B" w:rsidRPr="0070009B" w14:paraId="4BEC334B" w14:textId="77777777" w:rsidTr="0099561C">
        <w:trPr>
          <w:trHeight w:val="323"/>
        </w:trPr>
        <w:tc>
          <w:tcPr>
            <w:tcW w:w="5125" w:type="dxa"/>
            <w:hideMark/>
          </w:tcPr>
          <w:p w14:paraId="51BD1C38"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Decade of Gas policy momentum</w:t>
            </w:r>
          </w:p>
        </w:tc>
        <w:tc>
          <w:tcPr>
            <w:tcW w:w="4225" w:type="dxa"/>
            <w:hideMark/>
          </w:tcPr>
          <w:p w14:paraId="5EF0835B" w14:textId="77777777" w:rsidR="0070009B" w:rsidRPr="0070009B" w:rsidRDefault="0070009B" w:rsidP="0099561C">
            <w:pPr>
              <w:jc w:val="both"/>
              <w:rPr>
                <w:rFonts w:ascii="Times New Roman" w:hAnsi="Times New Roman" w:cs="Times New Roman"/>
              </w:rPr>
            </w:pPr>
            <w:r w:rsidRPr="0070009B">
              <w:rPr>
                <w:rFonts w:ascii="Times New Roman" w:hAnsi="Times New Roman" w:cs="Times New Roman"/>
              </w:rPr>
              <w:t>• Foreign exchange volatility</w:t>
            </w:r>
          </w:p>
        </w:tc>
      </w:tr>
    </w:tbl>
    <w:p w14:paraId="3F789A0A" w14:textId="6C522131" w:rsidR="0070009B" w:rsidRPr="0070009B" w:rsidRDefault="0070009B" w:rsidP="0070009B">
      <w:pPr>
        <w:spacing w:line="276"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4357"/>
        <w:gridCol w:w="4993"/>
      </w:tblGrid>
      <w:tr w:rsidR="0070009B" w:rsidRPr="0070009B" w14:paraId="71129714" w14:textId="77777777" w:rsidTr="0099561C">
        <w:tc>
          <w:tcPr>
            <w:tcW w:w="0" w:type="auto"/>
            <w:hideMark/>
          </w:tcPr>
          <w:p w14:paraId="10BA4AA7"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OPPORTUNITIES</w:t>
            </w:r>
          </w:p>
        </w:tc>
        <w:tc>
          <w:tcPr>
            <w:tcW w:w="0" w:type="auto"/>
            <w:hideMark/>
          </w:tcPr>
          <w:p w14:paraId="55CE940D"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THREATS</w:t>
            </w:r>
          </w:p>
        </w:tc>
      </w:tr>
      <w:tr w:rsidR="0070009B" w:rsidRPr="0070009B" w14:paraId="121CB001" w14:textId="77777777" w:rsidTr="0099561C">
        <w:tc>
          <w:tcPr>
            <w:tcW w:w="0" w:type="auto"/>
            <w:hideMark/>
          </w:tcPr>
          <w:p w14:paraId="713ACABB"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European gas demand diversification</w:t>
            </w:r>
          </w:p>
        </w:tc>
        <w:tc>
          <w:tcPr>
            <w:tcW w:w="0" w:type="auto"/>
            <w:hideMark/>
          </w:tcPr>
          <w:p w14:paraId="77805A7F"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Global LNG oversupply (2026–2028) pressuring prices</w:t>
            </w:r>
          </w:p>
        </w:tc>
      </w:tr>
      <w:tr w:rsidR="0070009B" w:rsidRPr="0070009B" w14:paraId="73290535" w14:textId="77777777" w:rsidTr="0099561C">
        <w:tc>
          <w:tcPr>
            <w:tcW w:w="0" w:type="auto"/>
            <w:hideMark/>
          </w:tcPr>
          <w:p w14:paraId="7198BF3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Asian LNG demand growth (China, India)</w:t>
            </w:r>
          </w:p>
        </w:tc>
        <w:tc>
          <w:tcPr>
            <w:tcW w:w="0" w:type="auto"/>
            <w:hideMark/>
          </w:tcPr>
          <w:p w14:paraId="0BEBE125"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Competition from Qatar, U.S., Mozambique</w:t>
            </w:r>
          </w:p>
        </w:tc>
      </w:tr>
      <w:tr w:rsidR="0070009B" w:rsidRPr="0070009B" w14:paraId="5A775813" w14:textId="77777777" w:rsidTr="0099561C">
        <w:tc>
          <w:tcPr>
            <w:tcW w:w="0" w:type="auto"/>
            <w:hideMark/>
          </w:tcPr>
          <w:p w14:paraId="07B9A803"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xml:space="preserve">• </w:t>
            </w:r>
            <w:proofErr w:type="spellStart"/>
            <w:r w:rsidRPr="0070009B">
              <w:rPr>
                <w:rFonts w:ascii="Times New Roman" w:hAnsi="Times New Roman" w:cs="Times New Roman"/>
              </w:rPr>
              <w:t>AfCFTA</w:t>
            </w:r>
            <w:proofErr w:type="spellEnd"/>
            <w:r w:rsidRPr="0070009B">
              <w:rPr>
                <w:rFonts w:ascii="Times New Roman" w:hAnsi="Times New Roman" w:cs="Times New Roman"/>
              </w:rPr>
              <w:t xml:space="preserve"> regional market expansion</w:t>
            </w:r>
          </w:p>
        </w:tc>
        <w:tc>
          <w:tcPr>
            <w:tcW w:w="0" w:type="auto"/>
            <w:hideMark/>
          </w:tcPr>
          <w:p w14:paraId="786F21F9"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Energy transition accelerating beyond gas</w:t>
            </w:r>
          </w:p>
        </w:tc>
      </w:tr>
      <w:tr w:rsidR="0070009B" w:rsidRPr="0070009B" w14:paraId="647527DD" w14:textId="77777777" w:rsidTr="0099561C">
        <w:tc>
          <w:tcPr>
            <w:tcW w:w="0" w:type="auto"/>
            <w:hideMark/>
          </w:tcPr>
          <w:p w14:paraId="2F7AAC3E"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Gas-to-power and industrialization</w:t>
            </w:r>
          </w:p>
        </w:tc>
        <w:tc>
          <w:tcPr>
            <w:tcW w:w="0" w:type="auto"/>
            <w:hideMark/>
          </w:tcPr>
          <w:p w14:paraId="102E8A1D"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Climate finance shifting away from fossil fuels</w:t>
            </w:r>
          </w:p>
        </w:tc>
      </w:tr>
      <w:tr w:rsidR="0070009B" w:rsidRPr="0070009B" w14:paraId="5A70C91B" w14:textId="77777777" w:rsidTr="0099561C">
        <w:tc>
          <w:tcPr>
            <w:tcW w:w="0" w:type="auto"/>
            <w:hideMark/>
          </w:tcPr>
          <w:p w14:paraId="7D87455D"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lastRenderedPageBreak/>
              <w:t>• CNG transport market</w:t>
            </w:r>
          </w:p>
        </w:tc>
        <w:tc>
          <w:tcPr>
            <w:tcW w:w="0" w:type="auto"/>
            <w:hideMark/>
          </w:tcPr>
          <w:p w14:paraId="497CF93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Security deterioration in Niger Delta</w:t>
            </w:r>
          </w:p>
        </w:tc>
      </w:tr>
      <w:tr w:rsidR="0070009B" w:rsidRPr="0070009B" w14:paraId="12DCBA14" w14:textId="77777777" w:rsidTr="0099561C">
        <w:tc>
          <w:tcPr>
            <w:tcW w:w="0" w:type="auto"/>
            <w:hideMark/>
          </w:tcPr>
          <w:p w14:paraId="33DFF7C3"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Blue hydrogen and CCS potential</w:t>
            </w:r>
          </w:p>
        </w:tc>
        <w:tc>
          <w:tcPr>
            <w:tcW w:w="0" w:type="auto"/>
            <w:hideMark/>
          </w:tcPr>
          <w:p w14:paraId="3230BD58"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Political instability and policy reversal</w:t>
            </w:r>
          </w:p>
        </w:tc>
      </w:tr>
      <w:tr w:rsidR="0070009B" w:rsidRPr="0070009B" w14:paraId="74B5D54F" w14:textId="77777777" w:rsidTr="0099561C">
        <w:tc>
          <w:tcPr>
            <w:tcW w:w="0" w:type="auto"/>
            <w:hideMark/>
          </w:tcPr>
          <w:p w14:paraId="38DB5454"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Digitalization and flare gas commercialization</w:t>
            </w:r>
          </w:p>
        </w:tc>
        <w:tc>
          <w:tcPr>
            <w:tcW w:w="0" w:type="auto"/>
            <w:hideMark/>
          </w:tcPr>
          <w:p w14:paraId="513EE3CB"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Stranded asset risk for new LNG projects</w:t>
            </w:r>
          </w:p>
        </w:tc>
      </w:tr>
    </w:tbl>
    <w:p w14:paraId="7EC52D7C" w14:textId="03A1C84A" w:rsidR="0070009B" w:rsidRPr="0070009B" w:rsidRDefault="0070009B" w:rsidP="0070009B">
      <w:pPr>
        <w:spacing w:line="276" w:lineRule="auto"/>
        <w:jc w:val="both"/>
        <w:rPr>
          <w:rFonts w:ascii="Times New Roman" w:hAnsi="Times New Roman" w:cs="Times New Roman"/>
        </w:rPr>
      </w:pPr>
    </w:p>
    <w:p w14:paraId="51107D84" w14:textId="7E887828"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12. SCENARIO ANALYSIS</w:t>
      </w:r>
    </w:p>
    <w:tbl>
      <w:tblPr>
        <w:tblStyle w:val="TableGrid"/>
        <w:tblW w:w="0" w:type="auto"/>
        <w:tblLook w:val="04A0" w:firstRow="1" w:lastRow="0" w:firstColumn="1" w:lastColumn="0" w:noHBand="0" w:noVBand="1"/>
      </w:tblPr>
      <w:tblGrid>
        <w:gridCol w:w="2059"/>
        <w:gridCol w:w="3046"/>
        <w:gridCol w:w="2244"/>
        <w:gridCol w:w="2001"/>
      </w:tblGrid>
      <w:tr w:rsidR="0070009B" w:rsidRPr="0070009B" w14:paraId="1E1A0E89" w14:textId="77777777" w:rsidTr="0099561C">
        <w:tc>
          <w:tcPr>
            <w:tcW w:w="0" w:type="auto"/>
            <w:hideMark/>
          </w:tcPr>
          <w:p w14:paraId="00AC1EE1"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Scenario</w:t>
            </w:r>
          </w:p>
        </w:tc>
        <w:tc>
          <w:tcPr>
            <w:tcW w:w="0" w:type="auto"/>
            <w:hideMark/>
          </w:tcPr>
          <w:p w14:paraId="66293CC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Accelerated Monetization</w:t>
            </w:r>
          </w:p>
        </w:tc>
        <w:tc>
          <w:tcPr>
            <w:tcW w:w="0" w:type="auto"/>
            <w:hideMark/>
          </w:tcPr>
          <w:p w14:paraId="570CBFF5"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Business as Usual</w:t>
            </w:r>
          </w:p>
        </w:tc>
        <w:tc>
          <w:tcPr>
            <w:tcW w:w="0" w:type="auto"/>
            <w:hideMark/>
          </w:tcPr>
          <w:p w14:paraId="1F2D0B5F"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Missed Opportunity</w:t>
            </w:r>
          </w:p>
        </w:tc>
      </w:tr>
      <w:tr w:rsidR="0070009B" w:rsidRPr="0070009B" w14:paraId="040208D8" w14:textId="77777777" w:rsidTr="0099561C">
        <w:tc>
          <w:tcPr>
            <w:tcW w:w="0" w:type="auto"/>
            <w:hideMark/>
          </w:tcPr>
          <w:p w14:paraId="68AC5B2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Probability</w:t>
            </w:r>
          </w:p>
        </w:tc>
        <w:tc>
          <w:tcPr>
            <w:tcW w:w="0" w:type="auto"/>
            <w:hideMark/>
          </w:tcPr>
          <w:p w14:paraId="37311E7D"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25%</w:t>
            </w:r>
          </w:p>
        </w:tc>
        <w:tc>
          <w:tcPr>
            <w:tcW w:w="0" w:type="auto"/>
            <w:hideMark/>
          </w:tcPr>
          <w:p w14:paraId="726B73E7"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50%</w:t>
            </w:r>
          </w:p>
        </w:tc>
        <w:tc>
          <w:tcPr>
            <w:tcW w:w="0" w:type="auto"/>
            <w:hideMark/>
          </w:tcPr>
          <w:p w14:paraId="1F4A6499"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25%</w:t>
            </w:r>
          </w:p>
        </w:tc>
      </w:tr>
      <w:tr w:rsidR="0070009B" w:rsidRPr="0070009B" w14:paraId="0BC9D732" w14:textId="77777777" w:rsidTr="0099561C">
        <w:tc>
          <w:tcPr>
            <w:tcW w:w="0" w:type="auto"/>
            <w:hideMark/>
          </w:tcPr>
          <w:p w14:paraId="5D19EFFA"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Production (2030)</w:t>
            </w:r>
          </w:p>
        </w:tc>
        <w:tc>
          <w:tcPr>
            <w:tcW w:w="0" w:type="auto"/>
            <w:hideMark/>
          </w:tcPr>
          <w:p w14:paraId="47183BC9"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xml:space="preserve">12 </w:t>
            </w:r>
            <w:proofErr w:type="spellStart"/>
            <w:r w:rsidRPr="0070009B">
              <w:rPr>
                <w:rFonts w:ascii="Times New Roman" w:hAnsi="Times New Roman" w:cs="Times New Roman"/>
              </w:rPr>
              <w:t>Bscf</w:t>
            </w:r>
            <w:proofErr w:type="spellEnd"/>
            <w:r w:rsidRPr="0070009B">
              <w:rPr>
                <w:rFonts w:ascii="Times New Roman" w:hAnsi="Times New Roman" w:cs="Times New Roman"/>
              </w:rPr>
              <w:t>/d</w:t>
            </w:r>
          </w:p>
        </w:tc>
        <w:tc>
          <w:tcPr>
            <w:tcW w:w="0" w:type="auto"/>
            <w:hideMark/>
          </w:tcPr>
          <w:p w14:paraId="07BA726D"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xml:space="preserve">9 </w:t>
            </w:r>
            <w:proofErr w:type="spellStart"/>
            <w:r w:rsidRPr="0070009B">
              <w:rPr>
                <w:rFonts w:ascii="Times New Roman" w:hAnsi="Times New Roman" w:cs="Times New Roman"/>
              </w:rPr>
              <w:t>Bscf</w:t>
            </w:r>
            <w:proofErr w:type="spellEnd"/>
            <w:r w:rsidRPr="0070009B">
              <w:rPr>
                <w:rFonts w:ascii="Times New Roman" w:hAnsi="Times New Roman" w:cs="Times New Roman"/>
              </w:rPr>
              <w:t>/d</w:t>
            </w:r>
          </w:p>
        </w:tc>
        <w:tc>
          <w:tcPr>
            <w:tcW w:w="0" w:type="auto"/>
            <w:hideMark/>
          </w:tcPr>
          <w:p w14:paraId="16C4825D"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xml:space="preserve">6 </w:t>
            </w:r>
            <w:proofErr w:type="spellStart"/>
            <w:r w:rsidRPr="0070009B">
              <w:rPr>
                <w:rFonts w:ascii="Times New Roman" w:hAnsi="Times New Roman" w:cs="Times New Roman"/>
              </w:rPr>
              <w:t>Bscf</w:t>
            </w:r>
            <w:proofErr w:type="spellEnd"/>
            <w:r w:rsidRPr="0070009B">
              <w:rPr>
                <w:rFonts w:ascii="Times New Roman" w:hAnsi="Times New Roman" w:cs="Times New Roman"/>
              </w:rPr>
              <w:t>/d</w:t>
            </w:r>
          </w:p>
        </w:tc>
      </w:tr>
      <w:tr w:rsidR="0070009B" w:rsidRPr="0070009B" w14:paraId="03E9D49D" w14:textId="77777777" w:rsidTr="0099561C">
        <w:tc>
          <w:tcPr>
            <w:tcW w:w="0" w:type="auto"/>
            <w:hideMark/>
          </w:tcPr>
          <w:p w14:paraId="59514F7C"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LNG Exports</w:t>
            </w:r>
          </w:p>
        </w:tc>
        <w:tc>
          <w:tcPr>
            <w:tcW w:w="0" w:type="auto"/>
            <w:hideMark/>
          </w:tcPr>
          <w:p w14:paraId="1F633C57"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35+ MTPA</w:t>
            </w:r>
          </w:p>
        </w:tc>
        <w:tc>
          <w:tcPr>
            <w:tcW w:w="0" w:type="auto"/>
            <w:hideMark/>
          </w:tcPr>
          <w:p w14:paraId="3D0E857C"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30 MTPA (Train 7 only)</w:t>
            </w:r>
          </w:p>
        </w:tc>
        <w:tc>
          <w:tcPr>
            <w:tcW w:w="0" w:type="auto"/>
            <w:hideMark/>
          </w:tcPr>
          <w:p w14:paraId="7123C281"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22 MTPA (stagnant)</w:t>
            </w:r>
          </w:p>
        </w:tc>
      </w:tr>
      <w:tr w:rsidR="0070009B" w:rsidRPr="0070009B" w14:paraId="339F5257" w14:textId="77777777" w:rsidTr="0099561C">
        <w:tc>
          <w:tcPr>
            <w:tcW w:w="0" w:type="auto"/>
            <w:hideMark/>
          </w:tcPr>
          <w:p w14:paraId="3C8E475A"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Domestic Utilization</w:t>
            </w:r>
          </w:p>
        </w:tc>
        <w:tc>
          <w:tcPr>
            <w:tcW w:w="0" w:type="auto"/>
            <w:hideMark/>
          </w:tcPr>
          <w:p w14:paraId="39542A01"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xml:space="preserve">4 </w:t>
            </w:r>
            <w:proofErr w:type="spellStart"/>
            <w:r w:rsidRPr="0070009B">
              <w:rPr>
                <w:rFonts w:ascii="Times New Roman" w:hAnsi="Times New Roman" w:cs="Times New Roman"/>
              </w:rPr>
              <w:t>Bscf</w:t>
            </w:r>
            <w:proofErr w:type="spellEnd"/>
            <w:r w:rsidRPr="0070009B">
              <w:rPr>
                <w:rFonts w:ascii="Times New Roman" w:hAnsi="Times New Roman" w:cs="Times New Roman"/>
              </w:rPr>
              <w:t>/d</w:t>
            </w:r>
          </w:p>
        </w:tc>
        <w:tc>
          <w:tcPr>
            <w:tcW w:w="0" w:type="auto"/>
            <w:hideMark/>
          </w:tcPr>
          <w:p w14:paraId="6CDC27D3"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xml:space="preserve">2.5 </w:t>
            </w:r>
            <w:proofErr w:type="spellStart"/>
            <w:r w:rsidRPr="0070009B">
              <w:rPr>
                <w:rFonts w:ascii="Times New Roman" w:hAnsi="Times New Roman" w:cs="Times New Roman"/>
              </w:rPr>
              <w:t>Bscf</w:t>
            </w:r>
            <w:proofErr w:type="spellEnd"/>
            <w:r w:rsidRPr="0070009B">
              <w:rPr>
                <w:rFonts w:ascii="Times New Roman" w:hAnsi="Times New Roman" w:cs="Times New Roman"/>
              </w:rPr>
              <w:t>/d</w:t>
            </w:r>
          </w:p>
        </w:tc>
        <w:tc>
          <w:tcPr>
            <w:tcW w:w="0" w:type="auto"/>
            <w:hideMark/>
          </w:tcPr>
          <w:p w14:paraId="54F0C416"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 xml:space="preserve">1.5 </w:t>
            </w:r>
            <w:proofErr w:type="spellStart"/>
            <w:r w:rsidRPr="0070009B">
              <w:rPr>
                <w:rFonts w:ascii="Times New Roman" w:hAnsi="Times New Roman" w:cs="Times New Roman"/>
              </w:rPr>
              <w:t>Bscf</w:t>
            </w:r>
            <w:proofErr w:type="spellEnd"/>
            <w:r w:rsidRPr="0070009B">
              <w:rPr>
                <w:rFonts w:ascii="Times New Roman" w:hAnsi="Times New Roman" w:cs="Times New Roman"/>
              </w:rPr>
              <w:t>/d</w:t>
            </w:r>
          </w:p>
        </w:tc>
      </w:tr>
      <w:tr w:rsidR="0070009B" w:rsidRPr="0070009B" w14:paraId="0D20E0DA" w14:textId="77777777" w:rsidTr="0099561C">
        <w:tc>
          <w:tcPr>
            <w:tcW w:w="0" w:type="auto"/>
            <w:hideMark/>
          </w:tcPr>
          <w:p w14:paraId="02269EFD"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Revenue ($bn/yr)</w:t>
            </w:r>
          </w:p>
        </w:tc>
        <w:tc>
          <w:tcPr>
            <w:tcW w:w="0" w:type="auto"/>
            <w:hideMark/>
          </w:tcPr>
          <w:p w14:paraId="1EADF90C"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$25–30</w:t>
            </w:r>
          </w:p>
        </w:tc>
        <w:tc>
          <w:tcPr>
            <w:tcW w:w="0" w:type="auto"/>
            <w:hideMark/>
          </w:tcPr>
          <w:p w14:paraId="1338107D"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$15–18</w:t>
            </w:r>
          </w:p>
        </w:tc>
        <w:tc>
          <w:tcPr>
            <w:tcW w:w="0" w:type="auto"/>
            <w:hideMark/>
          </w:tcPr>
          <w:p w14:paraId="68DD4EB2"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$8–10</w:t>
            </w:r>
          </w:p>
        </w:tc>
      </w:tr>
      <w:tr w:rsidR="0070009B" w:rsidRPr="0070009B" w14:paraId="2E95BCBF" w14:textId="77777777" w:rsidTr="0099561C">
        <w:tc>
          <w:tcPr>
            <w:tcW w:w="0" w:type="auto"/>
            <w:hideMark/>
          </w:tcPr>
          <w:p w14:paraId="415ECB09"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Industrial Growth</w:t>
            </w:r>
          </w:p>
        </w:tc>
        <w:tc>
          <w:tcPr>
            <w:tcW w:w="0" w:type="auto"/>
            <w:hideMark/>
          </w:tcPr>
          <w:p w14:paraId="6C9FE8D1"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Rapid (fertilizer, petrochemicals)</w:t>
            </w:r>
          </w:p>
        </w:tc>
        <w:tc>
          <w:tcPr>
            <w:tcW w:w="0" w:type="auto"/>
            <w:hideMark/>
          </w:tcPr>
          <w:p w14:paraId="4DB37DE1"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Moderate</w:t>
            </w:r>
          </w:p>
        </w:tc>
        <w:tc>
          <w:tcPr>
            <w:tcW w:w="0" w:type="auto"/>
            <w:hideMark/>
          </w:tcPr>
          <w:p w14:paraId="79F10690"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Stagnant</w:t>
            </w:r>
          </w:p>
        </w:tc>
      </w:tr>
      <w:tr w:rsidR="0070009B" w:rsidRPr="0070009B" w14:paraId="79118826" w14:textId="77777777" w:rsidTr="0099561C">
        <w:tc>
          <w:tcPr>
            <w:tcW w:w="0" w:type="auto"/>
            <w:hideMark/>
          </w:tcPr>
          <w:p w14:paraId="4176BDBC"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Employment</w:t>
            </w:r>
          </w:p>
        </w:tc>
        <w:tc>
          <w:tcPr>
            <w:tcW w:w="0" w:type="auto"/>
            <w:hideMark/>
          </w:tcPr>
          <w:p w14:paraId="0359A0AE"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2+ million new jobs</w:t>
            </w:r>
          </w:p>
        </w:tc>
        <w:tc>
          <w:tcPr>
            <w:tcW w:w="0" w:type="auto"/>
            <w:hideMark/>
          </w:tcPr>
          <w:p w14:paraId="2075DC59"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500,000–800,000</w:t>
            </w:r>
          </w:p>
        </w:tc>
        <w:tc>
          <w:tcPr>
            <w:tcW w:w="0" w:type="auto"/>
            <w:hideMark/>
          </w:tcPr>
          <w:p w14:paraId="64931174"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Minimal</w:t>
            </w:r>
          </w:p>
        </w:tc>
      </w:tr>
      <w:tr w:rsidR="0070009B" w:rsidRPr="0070009B" w14:paraId="7DF1D2EF" w14:textId="77777777" w:rsidTr="0099561C">
        <w:tc>
          <w:tcPr>
            <w:tcW w:w="0" w:type="auto"/>
            <w:hideMark/>
          </w:tcPr>
          <w:p w14:paraId="30A1010F"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FDI</w:t>
            </w:r>
          </w:p>
        </w:tc>
        <w:tc>
          <w:tcPr>
            <w:tcW w:w="0" w:type="auto"/>
            <w:hideMark/>
          </w:tcPr>
          <w:p w14:paraId="2BB25B9E"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$60+ billion by 2030</w:t>
            </w:r>
          </w:p>
        </w:tc>
        <w:tc>
          <w:tcPr>
            <w:tcW w:w="0" w:type="auto"/>
            <w:hideMark/>
          </w:tcPr>
          <w:p w14:paraId="74717497"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$30–40 billion</w:t>
            </w:r>
          </w:p>
        </w:tc>
        <w:tc>
          <w:tcPr>
            <w:tcW w:w="0" w:type="auto"/>
            <w:hideMark/>
          </w:tcPr>
          <w:p w14:paraId="3F92CDE6" w14:textId="77777777" w:rsidR="0070009B" w:rsidRPr="0070009B" w:rsidRDefault="0070009B" w:rsidP="0070009B">
            <w:pPr>
              <w:spacing w:after="160" w:line="276" w:lineRule="auto"/>
              <w:jc w:val="both"/>
              <w:rPr>
                <w:rFonts w:ascii="Times New Roman" w:hAnsi="Times New Roman" w:cs="Times New Roman"/>
              </w:rPr>
            </w:pPr>
            <w:r w:rsidRPr="0070009B">
              <w:rPr>
                <w:rFonts w:ascii="Times New Roman" w:hAnsi="Times New Roman" w:cs="Times New Roman"/>
              </w:rPr>
              <w:t>&lt;$20 billion</w:t>
            </w:r>
          </w:p>
        </w:tc>
      </w:tr>
    </w:tbl>
    <w:p w14:paraId="22A93749" w14:textId="77777777" w:rsidR="0099561C" w:rsidRDefault="0099561C" w:rsidP="0070009B">
      <w:pPr>
        <w:spacing w:line="276" w:lineRule="auto"/>
        <w:jc w:val="both"/>
        <w:rPr>
          <w:rFonts w:ascii="Times New Roman" w:hAnsi="Times New Roman" w:cs="Times New Roman"/>
        </w:rPr>
      </w:pPr>
    </w:p>
    <w:p w14:paraId="4136079F" w14:textId="7BB32541"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Accelerated Monetization: Requires successful Train 7 commissioning, AKK/OB3 pipeline completion, Brass/</w:t>
      </w:r>
      <w:proofErr w:type="spellStart"/>
      <w:r w:rsidRPr="0070009B">
        <w:rPr>
          <w:rFonts w:ascii="Times New Roman" w:hAnsi="Times New Roman" w:cs="Times New Roman"/>
        </w:rPr>
        <w:t>Olokola</w:t>
      </w:r>
      <w:proofErr w:type="spellEnd"/>
      <w:r w:rsidRPr="0070009B">
        <w:rPr>
          <w:rFonts w:ascii="Times New Roman" w:hAnsi="Times New Roman" w:cs="Times New Roman"/>
        </w:rPr>
        <w:t xml:space="preserve"> FIDs, security stabilization, and power sector reform. Nigeria becomes Africa's gas hub.</w:t>
      </w:r>
    </w:p>
    <w:p w14:paraId="50CF2EB6"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Business as Usual: Train 7 comes online, AKK/OB3 partially operational, but new projects delayed. Nigeria maintains 6th place in global LNG but loses ground to competitors.</w:t>
      </w:r>
    </w:p>
    <w:p w14:paraId="373FCEB0"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Missed Opportunity: Persistent insecurity, financing shortfalls, and regulatory stagnation stall growth. Global LNG oversupply makes new projects uneconomic. Nigeria's gas remains stranded.</w:t>
      </w:r>
    </w:p>
    <w:p w14:paraId="243E599E" w14:textId="77777777" w:rsidR="0099561C" w:rsidRDefault="0099561C" w:rsidP="0070009B">
      <w:pPr>
        <w:spacing w:line="276" w:lineRule="auto"/>
        <w:jc w:val="both"/>
        <w:rPr>
          <w:rFonts w:ascii="Times New Roman" w:hAnsi="Times New Roman" w:cs="Times New Roman"/>
        </w:rPr>
      </w:pPr>
    </w:p>
    <w:p w14:paraId="5E986DB7" w14:textId="50BAAAFC" w:rsidR="0070009B" w:rsidRPr="0070009B" w:rsidRDefault="0070009B" w:rsidP="0070009B">
      <w:pPr>
        <w:spacing w:line="276" w:lineRule="auto"/>
        <w:jc w:val="both"/>
        <w:rPr>
          <w:rFonts w:ascii="Times New Roman" w:hAnsi="Times New Roman" w:cs="Times New Roman"/>
          <w:b/>
          <w:bCs/>
        </w:rPr>
      </w:pPr>
      <w:r w:rsidRPr="0070009B">
        <w:rPr>
          <w:rFonts w:ascii="Times New Roman" w:hAnsi="Times New Roman" w:cs="Times New Roman"/>
          <w:b/>
          <w:bCs/>
        </w:rPr>
        <w:t>13. STRATEGIC RECOMMENDATIONS</w:t>
      </w:r>
    </w:p>
    <w:p w14:paraId="18B5F401"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For the Federal Government:</w:t>
      </w:r>
    </w:p>
    <w:p w14:paraId="175E7AC5" w14:textId="77777777" w:rsidR="0070009B" w:rsidRPr="0070009B" w:rsidRDefault="0070009B" w:rsidP="0070009B">
      <w:pPr>
        <w:numPr>
          <w:ilvl w:val="0"/>
          <w:numId w:val="12"/>
        </w:numPr>
        <w:spacing w:line="276" w:lineRule="auto"/>
        <w:jc w:val="both"/>
        <w:rPr>
          <w:rFonts w:ascii="Times New Roman" w:hAnsi="Times New Roman" w:cs="Times New Roman"/>
        </w:rPr>
      </w:pPr>
      <w:r w:rsidRPr="0070009B">
        <w:rPr>
          <w:rFonts w:ascii="Times New Roman" w:hAnsi="Times New Roman" w:cs="Times New Roman"/>
        </w:rPr>
        <w:lastRenderedPageBreak/>
        <w:t>Expedite Pipeline Infrastructure: Prioritize AKK, OB3, and ELPS expansion with sovereign guarantees and blended finance.</w:t>
      </w:r>
    </w:p>
    <w:p w14:paraId="1E989815" w14:textId="77777777" w:rsidR="0070009B" w:rsidRPr="0070009B" w:rsidRDefault="0070009B" w:rsidP="0070009B">
      <w:pPr>
        <w:numPr>
          <w:ilvl w:val="0"/>
          <w:numId w:val="12"/>
        </w:numPr>
        <w:spacing w:line="276" w:lineRule="auto"/>
        <w:jc w:val="both"/>
        <w:rPr>
          <w:rFonts w:ascii="Times New Roman" w:hAnsi="Times New Roman" w:cs="Times New Roman"/>
        </w:rPr>
      </w:pPr>
      <w:r w:rsidRPr="0070009B">
        <w:rPr>
          <w:rFonts w:ascii="Times New Roman" w:hAnsi="Times New Roman" w:cs="Times New Roman"/>
        </w:rPr>
        <w:t>Reform Power Sector: Address liquidity crisis through tariff adjustment, subsidy rationalization, and payment discipline to make gas-to-power bankable.</w:t>
      </w:r>
    </w:p>
    <w:p w14:paraId="5F0F202A" w14:textId="77777777" w:rsidR="0070009B" w:rsidRPr="0070009B" w:rsidRDefault="0070009B" w:rsidP="0070009B">
      <w:pPr>
        <w:numPr>
          <w:ilvl w:val="0"/>
          <w:numId w:val="12"/>
        </w:numPr>
        <w:spacing w:line="276" w:lineRule="auto"/>
        <w:jc w:val="both"/>
        <w:rPr>
          <w:rFonts w:ascii="Times New Roman" w:hAnsi="Times New Roman" w:cs="Times New Roman"/>
        </w:rPr>
      </w:pPr>
      <w:r w:rsidRPr="0070009B">
        <w:rPr>
          <w:rFonts w:ascii="Times New Roman" w:hAnsi="Times New Roman" w:cs="Times New Roman"/>
        </w:rPr>
        <w:t>Security Stabilization: Deploy technology (drones, IoT sensors) and community-based protection models in the Niger Delta.</w:t>
      </w:r>
    </w:p>
    <w:p w14:paraId="6251D07C" w14:textId="77777777" w:rsidR="0070009B" w:rsidRPr="0070009B" w:rsidRDefault="0070009B" w:rsidP="0070009B">
      <w:pPr>
        <w:numPr>
          <w:ilvl w:val="0"/>
          <w:numId w:val="12"/>
        </w:numPr>
        <w:spacing w:line="276" w:lineRule="auto"/>
        <w:jc w:val="both"/>
        <w:rPr>
          <w:rFonts w:ascii="Times New Roman" w:hAnsi="Times New Roman" w:cs="Times New Roman"/>
        </w:rPr>
      </w:pPr>
      <w:r w:rsidRPr="0070009B">
        <w:rPr>
          <w:rFonts w:ascii="Times New Roman" w:hAnsi="Times New Roman" w:cs="Times New Roman"/>
        </w:rPr>
        <w:t>Fiscal Incentives: Extend PIA gas tax incentives to non-associated gas and marginal field operators.</w:t>
      </w:r>
    </w:p>
    <w:p w14:paraId="77B80E18"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For NNPC Ltd.:</w:t>
      </w:r>
    </w:p>
    <w:p w14:paraId="6B01A1E2" w14:textId="77777777" w:rsidR="0070009B" w:rsidRPr="0070009B" w:rsidRDefault="0070009B" w:rsidP="0070009B">
      <w:pPr>
        <w:numPr>
          <w:ilvl w:val="0"/>
          <w:numId w:val="13"/>
        </w:numPr>
        <w:spacing w:line="276" w:lineRule="auto"/>
        <w:jc w:val="both"/>
        <w:rPr>
          <w:rFonts w:ascii="Times New Roman" w:hAnsi="Times New Roman" w:cs="Times New Roman"/>
        </w:rPr>
      </w:pPr>
      <w:r w:rsidRPr="0070009B">
        <w:rPr>
          <w:rFonts w:ascii="Times New Roman" w:hAnsi="Times New Roman" w:cs="Times New Roman"/>
        </w:rPr>
        <w:t>Accelerate Train 7 Commissioning: Ensure Q3/Q4 2026 start-up; plan Train 8–10 feasibility.</w:t>
      </w:r>
    </w:p>
    <w:p w14:paraId="38AC3BFC" w14:textId="77777777" w:rsidR="0070009B" w:rsidRPr="0070009B" w:rsidRDefault="0070009B" w:rsidP="0070009B">
      <w:pPr>
        <w:numPr>
          <w:ilvl w:val="0"/>
          <w:numId w:val="13"/>
        </w:numPr>
        <w:spacing w:line="276" w:lineRule="auto"/>
        <w:jc w:val="both"/>
        <w:rPr>
          <w:rFonts w:ascii="Times New Roman" w:hAnsi="Times New Roman" w:cs="Times New Roman"/>
        </w:rPr>
      </w:pPr>
      <w:r w:rsidRPr="0070009B">
        <w:rPr>
          <w:rFonts w:ascii="Times New Roman" w:hAnsi="Times New Roman" w:cs="Times New Roman"/>
        </w:rPr>
        <w:t xml:space="preserve">Advance Brass &amp; </w:t>
      </w:r>
      <w:proofErr w:type="spellStart"/>
      <w:r w:rsidRPr="0070009B">
        <w:rPr>
          <w:rFonts w:ascii="Times New Roman" w:hAnsi="Times New Roman" w:cs="Times New Roman"/>
        </w:rPr>
        <w:t>Olokola</w:t>
      </w:r>
      <w:proofErr w:type="spellEnd"/>
      <w:r w:rsidRPr="0070009B">
        <w:rPr>
          <w:rFonts w:ascii="Times New Roman" w:hAnsi="Times New Roman" w:cs="Times New Roman"/>
        </w:rPr>
        <w:t xml:space="preserve"> LNG: Secure equity partners and offtake agreements before the LNG supply wave peaks.</w:t>
      </w:r>
    </w:p>
    <w:p w14:paraId="42860724" w14:textId="77777777" w:rsidR="0070009B" w:rsidRPr="0070009B" w:rsidRDefault="0070009B" w:rsidP="0070009B">
      <w:pPr>
        <w:numPr>
          <w:ilvl w:val="0"/>
          <w:numId w:val="13"/>
        </w:numPr>
        <w:spacing w:line="276" w:lineRule="auto"/>
        <w:jc w:val="both"/>
        <w:rPr>
          <w:rFonts w:ascii="Times New Roman" w:hAnsi="Times New Roman" w:cs="Times New Roman"/>
        </w:rPr>
      </w:pPr>
      <w:r w:rsidRPr="0070009B">
        <w:rPr>
          <w:rFonts w:ascii="Times New Roman" w:hAnsi="Times New Roman" w:cs="Times New Roman"/>
        </w:rPr>
        <w:t>Expand Domestic Gas Supply: Meet and exceed DGDO targets; invest in gas processing plants.</w:t>
      </w:r>
    </w:p>
    <w:p w14:paraId="2ACCCCB1"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For NUPRC &amp; NMDPRA:</w:t>
      </w:r>
    </w:p>
    <w:p w14:paraId="0DD56943" w14:textId="77777777" w:rsidR="0070009B" w:rsidRPr="0070009B" w:rsidRDefault="0070009B" w:rsidP="0070009B">
      <w:pPr>
        <w:numPr>
          <w:ilvl w:val="0"/>
          <w:numId w:val="14"/>
        </w:numPr>
        <w:spacing w:line="276" w:lineRule="auto"/>
        <w:jc w:val="both"/>
        <w:rPr>
          <w:rFonts w:ascii="Times New Roman" w:hAnsi="Times New Roman" w:cs="Times New Roman"/>
        </w:rPr>
      </w:pPr>
      <w:r w:rsidRPr="0070009B">
        <w:rPr>
          <w:rFonts w:ascii="Times New Roman" w:hAnsi="Times New Roman" w:cs="Times New Roman"/>
        </w:rPr>
        <w:t>Enforce DGDO Compliance: Penalize non-compliance credibly; publish quarterly performance dashboards.</w:t>
      </w:r>
    </w:p>
    <w:p w14:paraId="4F33E357" w14:textId="77777777" w:rsidR="0070009B" w:rsidRPr="0070009B" w:rsidRDefault="0070009B" w:rsidP="0070009B">
      <w:pPr>
        <w:numPr>
          <w:ilvl w:val="0"/>
          <w:numId w:val="14"/>
        </w:numPr>
        <w:spacing w:line="276" w:lineRule="auto"/>
        <w:jc w:val="both"/>
        <w:rPr>
          <w:rFonts w:ascii="Times New Roman" w:hAnsi="Times New Roman" w:cs="Times New Roman"/>
        </w:rPr>
      </w:pPr>
      <w:r w:rsidRPr="0070009B">
        <w:rPr>
          <w:rFonts w:ascii="Times New Roman" w:hAnsi="Times New Roman" w:cs="Times New Roman"/>
        </w:rPr>
        <w:t>Pricing Reform: Transition domestic gas prices toward export parity over 5 years with power sector cost-reflective tariffs.</w:t>
      </w:r>
    </w:p>
    <w:p w14:paraId="14A55CB2" w14:textId="77777777" w:rsidR="0070009B" w:rsidRPr="0070009B" w:rsidRDefault="0070009B" w:rsidP="0070009B">
      <w:pPr>
        <w:numPr>
          <w:ilvl w:val="0"/>
          <w:numId w:val="14"/>
        </w:numPr>
        <w:spacing w:line="276" w:lineRule="auto"/>
        <w:jc w:val="both"/>
        <w:rPr>
          <w:rFonts w:ascii="Times New Roman" w:hAnsi="Times New Roman" w:cs="Times New Roman"/>
        </w:rPr>
      </w:pPr>
      <w:r w:rsidRPr="0070009B">
        <w:rPr>
          <w:rFonts w:ascii="Times New Roman" w:hAnsi="Times New Roman" w:cs="Times New Roman"/>
        </w:rPr>
        <w:t>Regulatory Certainty: Streamline licensing; reduce approval timelines to &lt;90 days.</w:t>
      </w:r>
    </w:p>
    <w:p w14:paraId="26E1D535"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For Investors:</w:t>
      </w:r>
    </w:p>
    <w:p w14:paraId="40BD231A" w14:textId="77777777" w:rsidR="0070009B" w:rsidRPr="0070009B" w:rsidRDefault="0070009B" w:rsidP="0070009B">
      <w:pPr>
        <w:numPr>
          <w:ilvl w:val="0"/>
          <w:numId w:val="15"/>
        </w:numPr>
        <w:spacing w:line="276" w:lineRule="auto"/>
        <w:jc w:val="both"/>
        <w:rPr>
          <w:rFonts w:ascii="Times New Roman" w:hAnsi="Times New Roman" w:cs="Times New Roman"/>
        </w:rPr>
      </w:pPr>
      <w:r w:rsidRPr="0070009B">
        <w:rPr>
          <w:rFonts w:ascii="Times New Roman" w:hAnsi="Times New Roman" w:cs="Times New Roman"/>
        </w:rPr>
        <w:t>Midstream Opportunities: Gas processing, pipeline infrastructure, and storage offer attractive risk-adjusted returns.</w:t>
      </w:r>
    </w:p>
    <w:p w14:paraId="32F875E9" w14:textId="77777777" w:rsidR="0070009B" w:rsidRPr="0070009B" w:rsidRDefault="0070009B" w:rsidP="0070009B">
      <w:pPr>
        <w:numPr>
          <w:ilvl w:val="0"/>
          <w:numId w:val="15"/>
        </w:numPr>
        <w:spacing w:line="276" w:lineRule="auto"/>
        <w:jc w:val="both"/>
        <w:rPr>
          <w:rFonts w:ascii="Times New Roman" w:hAnsi="Times New Roman" w:cs="Times New Roman"/>
        </w:rPr>
      </w:pPr>
      <w:r w:rsidRPr="0070009B">
        <w:rPr>
          <w:rFonts w:ascii="Times New Roman" w:hAnsi="Times New Roman" w:cs="Times New Roman"/>
        </w:rPr>
        <w:t>Gas-Based Industries: Fertilizer, methanol, and petrochemical plants near gas sources.</w:t>
      </w:r>
    </w:p>
    <w:p w14:paraId="00D040D8" w14:textId="77777777" w:rsidR="0070009B" w:rsidRPr="0070009B" w:rsidRDefault="0070009B" w:rsidP="0070009B">
      <w:pPr>
        <w:numPr>
          <w:ilvl w:val="0"/>
          <w:numId w:val="15"/>
        </w:numPr>
        <w:spacing w:line="276" w:lineRule="auto"/>
        <w:jc w:val="both"/>
        <w:rPr>
          <w:rFonts w:ascii="Times New Roman" w:hAnsi="Times New Roman" w:cs="Times New Roman"/>
        </w:rPr>
      </w:pPr>
      <w:r w:rsidRPr="0070009B">
        <w:rPr>
          <w:rFonts w:ascii="Times New Roman" w:hAnsi="Times New Roman" w:cs="Times New Roman"/>
        </w:rPr>
        <w:t>CNG &amp; LPG Distribution: Retail gas infrastructure is underdeveloped.</w:t>
      </w:r>
    </w:p>
    <w:p w14:paraId="50543FBC" w14:textId="77777777" w:rsidR="0070009B" w:rsidRPr="0070009B" w:rsidRDefault="0070009B" w:rsidP="0070009B">
      <w:pPr>
        <w:numPr>
          <w:ilvl w:val="0"/>
          <w:numId w:val="15"/>
        </w:numPr>
        <w:spacing w:line="276" w:lineRule="auto"/>
        <w:jc w:val="both"/>
        <w:rPr>
          <w:rFonts w:ascii="Times New Roman" w:hAnsi="Times New Roman" w:cs="Times New Roman"/>
        </w:rPr>
      </w:pPr>
      <w:r w:rsidRPr="0070009B">
        <w:rPr>
          <w:rFonts w:ascii="Times New Roman" w:hAnsi="Times New Roman" w:cs="Times New Roman"/>
        </w:rPr>
        <w:t>Flare Gas Commercialization: NGFCP sites offer stranded gas at low acquisition cost.</w:t>
      </w:r>
    </w:p>
    <w:p w14:paraId="4B1E0203"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For Development Finance Institutions:</w:t>
      </w:r>
    </w:p>
    <w:p w14:paraId="594015EA" w14:textId="77777777" w:rsidR="0070009B" w:rsidRPr="0070009B" w:rsidRDefault="0070009B" w:rsidP="0070009B">
      <w:pPr>
        <w:numPr>
          <w:ilvl w:val="0"/>
          <w:numId w:val="16"/>
        </w:numPr>
        <w:spacing w:line="276" w:lineRule="auto"/>
        <w:jc w:val="both"/>
        <w:rPr>
          <w:rFonts w:ascii="Times New Roman" w:hAnsi="Times New Roman" w:cs="Times New Roman"/>
        </w:rPr>
      </w:pPr>
      <w:r w:rsidRPr="0070009B">
        <w:rPr>
          <w:rFonts w:ascii="Times New Roman" w:hAnsi="Times New Roman" w:cs="Times New Roman"/>
        </w:rPr>
        <w:t>De-Risk Infrastructure: Provide political risk insurance, FX hedging, and concessional debt for pipeline projects.</w:t>
      </w:r>
    </w:p>
    <w:p w14:paraId="0A959045" w14:textId="77777777" w:rsidR="0070009B" w:rsidRPr="0070009B" w:rsidRDefault="0070009B" w:rsidP="0070009B">
      <w:pPr>
        <w:numPr>
          <w:ilvl w:val="0"/>
          <w:numId w:val="16"/>
        </w:numPr>
        <w:spacing w:line="276" w:lineRule="auto"/>
        <w:jc w:val="both"/>
        <w:rPr>
          <w:rFonts w:ascii="Times New Roman" w:hAnsi="Times New Roman" w:cs="Times New Roman"/>
        </w:rPr>
      </w:pPr>
      <w:r w:rsidRPr="0070009B">
        <w:rPr>
          <w:rFonts w:ascii="Times New Roman" w:hAnsi="Times New Roman" w:cs="Times New Roman"/>
        </w:rPr>
        <w:lastRenderedPageBreak/>
        <w:t>Support Industrial Clusters: Anchor gas-based special economic zones with blended finance.</w:t>
      </w:r>
    </w:p>
    <w:p w14:paraId="26CC6DE0" w14:textId="77777777" w:rsidR="0070009B" w:rsidRPr="0070009B" w:rsidRDefault="0070009B" w:rsidP="0070009B">
      <w:pPr>
        <w:numPr>
          <w:ilvl w:val="0"/>
          <w:numId w:val="16"/>
        </w:numPr>
        <w:spacing w:line="276" w:lineRule="auto"/>
        <w:jc w:val="both"/>
        <w:rPr>
          <w:rFonts w:ascii="Times New Roman" w:hAnsi="Times New Roman" w:cs="Times New Roman"/>
        </w:rPr>
      </w:pPr>
      <w:r w:rsidRPr="0070009B">
        <w:rPr>
          <w:rFonts w:ascii="Times New Roman" w:hAnsi="Times New Roman" w:cs="Times New Roman"/>
        </w:rPr>
        <w:t>Methane Reduction Finance: Fund flare capture and CCS projects under climate finance frameworks.</w:t>
      </w:r>
    </w:p>
    <w:p w14:paraId="0B9FF6CE" w14:textId="77777777" w:rsidR="0070009B" w:rsidRPr="0070009B" w:rsidRDefault="0070009B" w:rsidP="0070009B">
      <w:pPr>
        <w:spacing w:line="276" w:lineRule="auto"/>
        <w:jc w:val="both"/>
        <w:rPr>
          <w:rFonts w:ascii="Times New Roman" w:hAnsi="Times New Roman" w:cs="Times New Roman"/>
        </w:rPr>
      </w:pPr>
      <w:r w:rsidRPr="0070009B">
        <w:rPr>
          <w:rFonts w:ascii="Times New Roman" w:hAnsi="Times New Roman" w:cs="Times New Roman"/>
        </w:rPr>
        <w:t>For International Partners:</w:t>
      </w:r>
    </w:p>
    <w:p w14:paraId="12CBFACE" w14:textId="77777777" w:rsidR="0070009B" w:rsidRPr="0070009B" w:rsidRDefault="0070009B" w:rsidP="0070009B">
      <w:pPr>
        <w:numPr>
          <w:ilvl w:val="0"/>
          <w:numId w:val="17"/>
        </w:numPr>
        <w:spacing w:line="276" w:lineRule="auto"/>
        <w:jc w:val="both"/>
        <w:rPr>
          <w:rFonts w:ascii="Times New Roman" w:hAnsi="Times New Roman" w:cs="Times New Roman"/>
        </w:rPr>
      </w:pPr>
      <w:r w:rsidRPr="0070009B">
        <w:rPr>
          <w:rFonts w:ascii="Times New Roman" w:hAnsi="Times New Roman" w:cs="Times New Roman"/>
        </w:rPr>
        <w:t>Technology Transfer: Partner on digital oilfield, pipeline monitoring, and LNG optimization.</w:t>
      </w:r>
    </w:p>
    <w:p w14:paraId="36616CA1" w14:textId="77777777" w:rsidR="0070009B" w:rsidRPr="0070009B" w:rsidRDefault="0070009B" w:rsidP="0070009B">
      <w:pPr>
        <w:numPr>
          <w:ilvl w:val="0"/>
          <w:numId w:val="17"/>
        </w:numPr>
        <w:spacing w:line="276" w:lineRule="auto"/>
        <w:jc w:val="both"/>
        <w:rPr>
          <w:rFonts w:ascii="Times New Roman" w:hAnsi="Times New Roman" w:cs="Times New Roman"/>
        </w:rPr>
      </w:pPr>
      <w:r w:rsidRPr="0070009B">
        <w:rPr>
          <w:rFonts w:ascii="Times New Roman" w:hAnsi="Times New Roman" w:cs="Times New Roman"/>
        </w:rPr>
        <w:t>Market Access: Secure long-term offtake agreements for Train 7+ volumes.</w:t>
      </w:r>
    </w:p>
    <w:p w14:paraId="52913461" w14:textId="77777777" w:rsidR="0070009B" w:rsidRPr="0070009B" w:rsidRDefault="0070009B" w:rsidP="0070009B">
      <w:pPr>
        <w:numPr>
          <w:ilvl w:val="0"/>
          <w:numId w:val="17"/>
        </w:numPr>
        <w:spacing w:line="276" w:lineRule="auto"/>
        <w:jc w:val="both"/>
        <w:rPr>
          <w:rFonts w:ascii="Times New Roman" w:hAnsi="Times New Roman" w:cs="Times New Roman"/>
        </w:rPr>
      </w:pPr>
      <w:r w:rsidRPr="0070009B">
        <w:rPr>
          <w:rFonts w:ascii="Times New Roman" w:hAnsi="Times New Roman" w:cs="Times New Roman"/>
        </w:rPr>
        <w:t>Regional Integration: Support WAGP expansion and West African gas market development.</w:t>
      </w:r>
    </w:p>
    <w:p w14:paraId="2793498D" w14:textId="023C7CDA" w:rsidR="0070009B" w:rsidRPr="0070009B" w:rsidRDefault="0070009B" w:rsidP="0070009B">
      <w:pPr>
        <w:spacing w:line="276" w:lineRule="auto"/>
        <w:jc w:val="both"/>
        <w:rPr>
          <w:rFonts w:ascii="Times New Roman" w:hAnsi="Times New Roman" w:cs="Times New Roman"/>
        </w:rPr>
      </w:pPr>
    </w:p>
    <w:p w14:paraId="226E67DF" w14:textId="77777777" w:rsidR="0099561C" w:rsidRDefault="0099561C" w:rsidP="0070009B">
      <w:pPr>
        <w:spacing w:line="276" w:lineRule="auto"/>
        <w:jc w:val="both"/>
        <w:rPr>
          <w:rFonts w:ascii="Times New Roman" w:hAnsi="Times New Roman" w:cs="Times New Roman"/>
        </w:rPr>
      </w:pPr>
    </w:p>
    <w:p w14:paraId="36E8F3C4" w14:textId="77777777" w:rsidR="0099561C" w:rsidRDefault="0099561C" w:rsidP="0070009B">
      <w:pPr>
        <w:spacing w:line="276" w:lineRule="auto"/>
        <w:jc w:val="both"/>
        <w:rPr>
          <w:rFonts w:ascii="Times New Roman" w:hAnsi="Times New Roman" w:cs="Times New Roman"/>
          <w:b/>
          <w:bCs/>
        </w:rPr>
      </w:pPr>
    </w:p>
    <w:p w14:paraId="448D2E68" w14:textId="77777777" w:rsidR="00016E33" w:rsidRDefault="00016E33" w:rsidP="0070009B">
      <w:pPr>
        <w:spacing w:line="276" w:lineRule="auto"/>
        <w:jc w:val="both"/>
        <w:rPr>
          <w:rFonts w:ascii="Times New Roman" w:hAnsi="Times New Roman" w:cs="Times New Roman"/>
          <w:b/>
          <w:bCs/>
        </w:rPr>
      </w:pPr>
    </w:p>
    <w:p w14:paraId="0BDC20C8" w14:textId="77777777" w:rsidR="00016E33" w:rsidRDefault="00016E33" w:rsidP="0070009B">
      <w:pPr>
        <w:spacing w:line="276" w:lineRule="auto"/>
        <w:jc w:val="both"/>
        <w:rPr>
          <w:rFonts w:ascii="Times New Roman" w:hAnsi="Times New Roman" w:cs="Times New Roman"/>
          <w:b/>
          <w:bCs/>
        </w:rPr>
      </w:pPr>
    </w:p>
    <w:p w14:paraId="05EDDF3B" w14:textId="77777777" w:rsidR="00016E33" w:rsidRDefault="00016E33" w:rsidP="0070009B">
      <w:pPr>
        <w:spacing w:line="276" w:lineRule="auto"/>
        <w:jc w:val="both"/>
        <w:rPr>
          <w:rFonts w:ascii="Times New Roman" w:hAnsi="Times New Roman" w:cs="Times New Roman"/>
          <w:b/>
          <w:bCs/>
        </w:rPr>
      </w:pPr>
    </w:p>
    <w:p w14:paraId="49874518" w14:textId="77777777" w:rsidR="00016E33" w:rsidRDefault="00016E33" w:rsidP="0070009B">
      <w:pPr>
        <w:spacing w:line="276" w:lineRule="auto"/>
        <w:jc w:val="both"/>
        <w:rPr>
          <w:rFonts w:ascii="Times New Roman" w:hAnsi="Times New Roman" w:cs="Times New Roman"/>
          <w:b/>
          <w:bCs/>
        </w:rPr>
      </w:pPr>
    </w:p>
    <w:p w14:paraId="75B7D069" w14:textId="77777777" w:rsidR="00016E33" w:rsidRDefault="00016E33" w:rsidP="0070009B">
      <w:pPr>
        <w:spacing w:line="276" w:lineRule="auto"/>
        <w:jc w:val="both"/>
        <w:rPr>
          <w:rFonts w:ascii="Times New Roman" w:hAnsi="Times New Roman" w:cs="Times New Roman"/>
          <w:b/>
          <w:bCs/>
        </w:rPr>
      </w:pPr>
    </w:p>
    <w:p w14:paraId="095D8F34" w14:textId="77777777" w:rsidR="00016E33" w:rsidRDefault="00016E33" w:rsidP="0070009B">
      <w:pPr>
        <w:spacing w:line="276" w:lineRule="auto"/>
        <w:jc w:val="both"/>
        <w:rPr>
          <w:rFonts w:ascii="Times New Roman" w:hAnsi="Times New Roman" w:cs="Times New Roman"/>
          <w:b/>
          <w:bCs/>
        </w:rPr>
      </w:pPr>
    </w:p>
    <w:p w14:paraId="1CA1B9CB" w14:textId="77777777" w:rsidR="00016E33" w:rsidRDefault="00016E33" w:rsidP="0070009B">
      <w:pPr>
        <w:spacing w:line="276" w:lineRule="auto"/>
        <w:jc w:val="both"/>
        <w:rPr>
          <w:rFonts w:ascii="Times New Roman" w:hAnsi="Times New Roman" w:cs="Times New Roman"/>
          <w:b/>
          <w:bCs/>
        </w:rPr>
      </w:pPr>
    </w:p>
    <w:p w14:paraId="4AFF5CD0" w14:textId="77777777" w:rsidR="00016E33" w:rsidRDefault="00016E33" w:rsidP="0070009B">
      <w:pPr>
        <w:spacing w:line="276" w:lineRule="auto"/>
        <w:jc w:val="both"/>
        <w:rPr>
          <w:rFonts w:ascii="Times New Roman" w:hAnsi="Times New Roman" w:cs="Times New Roman"/>
          <w:b/>
          <w:bCs/>
        </w:rPr>
      </w:pPr>
    </w:p>
    <w:p w14:paraId="12D5907A" w14:textId="77777777" w:rsidR="00016E33" w:rsidRDefault="00016E33" w:rsidP="0070009B">
      <w:pPr>
        <w:spacing w:line="276" w:lineRule="auto"/>
        <w:jc w:val="both"/>
        <w:rPr>
          <w:rFonts w:ascii="Times New Roman" w:hAnsi="Times New Roman" w:cs="Times New Roman"/>
          <w:b/>
          <w:bCs/>
        </w:rPr>
      </w:pPr>
    </w:p>
    <w:p w14:paraId="75E8A90B" w14:textId="77777777" w:rsidR="00016E33" w:rsidRDefault="00016E33" w:rsidP="0070009B">
      <w:pPr>
        <w:spacing w:line="276" w:lineRule="auto"/>
        <w:jc w:val="both"/>
        <w:rPr>
          <w:rFonts w:ascii="Times New Roman" w:hAnsi="Times New Roman" w:cs="Times New Roman"/>
          <w:b/>
          <w:bCs/>
        </w:rPr>
      </w:pPr>
    </w:p>
    <w:p w14:paraId="09406EF0" w14:textId="77777777" w:rsidR="00016E33" w:rsidRDefault="00016E33" w:rsidP="0070009B">
      <w:pPr>
        <w:spacing w:line="276" w:lineRule="auto"/>
        <w:jc w:val="both"/>
        <w:rPr>
          <w:rFonts w:ascii="Times New Roman" w:hAnsi="Times New Roman" w:cs="Times New Roman"/>
          <w:b/>
          <w:bCs/>
        </w:rPr>
      </w:pPr>
    </w:p>
    <w:p w14:paraId="1DF8D31E" w14:textId="77777777" w:rsidR="00016E33" w:rsidRDefault="00016E33" w:rsidP="0070009B">
      <w:pPr>
        <w:spacing w:line="276" w:lineRule="auto"/>
        <w:jc w:val="both"/>
        <w:rPr>
          <w:rFonts w:ascii="Times New Roman" w:hAnsi="Times New Roman" w:cs="Times New Roman"/>
          <w:b/>
          <w:bCs/>
        </w:rPr>
      </w:pPr>
    </w:p>
    <w:p w14:paraId="2B7A150B" w14:textId="77777777" w:rsidR="00016E33" w:rsidRDefault="00016E33" w:rsidP="0070009B">
      <w:pPr>
        <w:spacing w:line="276" w:lineRule="auto"/>
        <w:jc w:val="both"/>
        <w:rPr>
          <w:rFonts w:ascii="Times New Roman" w:hAnsi="Times New Roman" w:cs="Times New Roman"/>
          <w:b/>
          <w:bCs/>
        </w:rPr>
      </w:pPr>
    </w:p>
    <w:p w14:paraId="020EACCD" w14:textId="77777777" w:rsidR="00016E33" w:rsidRDefault="00016E33" w:rsidP="0070009B">
      <w:pPr>
        <w:spacing w:line="276" w:lineRule="auto"/>
        <w:jc w:val="both"/>
        <w:rPr>
          <w:rFonts w:ascii="Times New Roman" w:hAnsi="Times New Roman" w:cs="Times New Roman"/>
          <w:b/>
          <w:bCs/>
        </w:rPr>
      </w:pPr>
    </w:p>
    <w:p w14:paraId="25B7FD63" w14:textId="77777777" w:rsidR="00016E33" w:rsidRPr="0099561C" w:rsidRDefault="00016E33" w:rsidP="0070009B">
      <w:pPr>
        <w:spacing w:line="276" w:lineRule="auto"/>
        <w:jc w:val="both"/>
        <w:rPr>
          <w:rFonts w:ascii="Times New Roman" w:hAnsi="Times New Roman" w:cs="Times New Roman"/>
          <w:b/>
          <w:bCs/>
        </w:rPr>
      </w:pPr>
    </w:p>
    <w:p w14:paraId="6EA10CEA" w14:textId="00938885" w:rsidR="0070009B" w:rsidRPr="0070009B" w:rsidRDefault="0070009B" w:rsidP="0070009B">
      <w:pPr>
        <w:spacing w:line="276" w:lineRule="auto"/>
        <w:jc w:val="both"/>
        <w:rPr>
          <w:rFonts w:ascii="Times New Roman" w:hAnsi="Times New Roman" w:cs="Times New Roman"/>
          <w:b/>
          <w:bCs/>
        </w:rPr>
      </w:pPr>
      <w:r w:rsidRPr="0070009B">
        <w:rPr>
          <w:rFonts w:ascii="Times New Roman" w:hAnsi="Times New Roman" w:cs="Times New Roman"/>
          <w:b/>
          <w:bCs/>
        </w:rPr>
        <w:lastRenderedPageBreak/>
        <w:t>REFERENCES</w:t>
      </w:r>
    </w:p>
    <w:p w14:paraId="3379595B"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African Energy Research. (2026, April 29). </w:t>
      </w:r>
      <w:r w:rsidRPr="0070009B">
        <w:rPr>
          <w:rFonts w:ascii="Times New Roman" w:hAnsi="Times New Roman" w:cs="Times New Roman"/>
          <w:i/>
          <w:iCs/>
        </w:rPr>
        <w:t>The Petroleum Industry Act (PIA) in Practice: Progress, Gaps, and Policy Priorities</w:t>
      </w:r>
      <w:r w:rsidRPr="0070009B">
        <w:rPr>
          <w:rFonts w:ascii="Times New Roman" w:hAnsi="Times New Roman" w:cs="Times New Roman"/>
        </w:rPr>
        <w:t xml:space="preserve">. </w:t>
      </w:r>
      <w:hyperlink r:id="rId10" w:tgtFrame="_blank" w:history="1">
        <w:r w:rsidRPr="0070009B">
          <w:rPr>
            <w:rStyle w:val="Hyperlink"/>
            <w:rFonts w:ascii="Times New Roman" w:hAnsi="Times New Roman" w:cs="Times New Roman"/>
          </w:rPr>
          <w:t>https://africanenergyresearch.org</w:t>
        </w:r>
      </w:hyperlink>
    </w:p>
    <w:p w14:paraId="5165C4B6" w14:textId="77777777" w:rsidR="0070009B" w:rsidRPr="0070009B" w:rsidRDefault="0070009B" w:rsidP="00016E33">
      <w:pPr>
        <w:spacing w:after="0" w:line="276" w:lineRule="auto"/>
        <w:ind w:left="630" w:hanging="630"/>
        <w:jc w:val="both"/>
        <w:rPr>
          <w:rFonts w:ascii="Times New Roman" w:hAnsi="Times New Roman" w:cs="Times New Roman"/>
        </w:rPr>
      </w:pPr>
      <w:proofErr w:type="spellStart"/>
      <w:r w:rsidRPr="0070009B">
        <w:rPr>
          <w:rFonts w:ascii="Times New Roman" w:hAnsi="Times New Roman" w:cs="Times New Roman"/>
        </w:rPr>
        <w:t>Afripoli</w:t>
      </w:r>
      <w:proofErr w:type="spellEnd"/>
      <w:r w:rsidRPr="0070009B">
        <w:rPr>
          <w:rFonts w:ascii="Times New Roman" w:hAnsi="Times New Roman" w:cs="Times New Roman"/>
        </w:rPr>
        <w:t xml:space="preserve">. (2026, March 17). </w:t>
      </w:r>
      <w:r w:rsidRPr="0070009B">
        <w:rPr>
          <w:rFonts w:ascii="Times New Roman" w:hAnsi="Times New Roman" w:cs="Times New Roman"/>
          <w:i/>
          <w:iCs/>
        </w:rPr>
        <w:t>Nigeria's Natural Gas and Africa's Sustainable Industrialization</w:t>
      </w:r>
      <w:r w:rsidRPr="0070009B">
        <w:rPr>
          <w:rFonts w:ascii="Times New Roman" w:hAnsi="Times New Roman" w:cs="Times New Roman"/>
        </w:rPr>
        <w:t xml:space="preserve">. </w:t>
      </w:r>
      <w:hyperlink r:id="rId11" w:tgtFrame="_blank" w:history="1">
        <w:r w:rsidRPr="0070009B">
          <w:rPr>
            <w:rStyle w:val="Hyperlink"/>
            <w:rFonts w:ascii="Times New Roman" w:hAnsi="Times New Roman" w:cs="Times New Roman"/>
          </w:rPr>
          <w:t>https://afripoli.org</w:t>
        </w:r>
      </w:hyperlink>
    </w:p>
    <w:p w14:paraId="48384CFD"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APA News. (2026, May 31). </w:t>
      </w:r>
      <w:r w:rsidRPr="0070009B">
        <w:rPr>
          <w:rFonts w:ascii="Times New Roman" w:hAnsi="Times New Roman" w:cs="Times New Roman"/>
          <w:i/>
          <w:iCs/>
        </w:rPr>
        <w:t>Nigeria: $5bn NLNG Train 7 Nears Completion</w:t>
      </w:r>
      <w:r w:rsidRPr="0070009B">
        <w:rPr>
          <w:rFonts w:ascii="Times New Roman" w:hAnsi="Times New Roman" w:cs="Times New Roman"/>
        </w:rPr>
        <w:t xml:space="preserve">. </w:t>
      </w:r>
      <w:hyperlink r:id="rId12" w:tgtFrame="_blank" w:history="1">
        <w:r w:rsidRPr="0070009B">
          <w:rPr>
            <w:rStyle w:val="Hyperlink"/>
            <w:rFonts w:ascii="Times New Roman" w:hAnsi="Times New Roman" w:cs="Times New Roman"/>
          </w:rPr>
          <w:t>https://apanews.net</w:t>
        </w:r>
      </w:hyperlink>
    </w:p>
    <w:p w14:paraId="32EE5BB4"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BusinessDay Nigeria. (2025, August 28). </w:t>
      </w:r>
      <w:r w:rsidRPr="0070009B">
        <w:rPr>
          <w:rFonts w:ascii="Times New Roman" w:hAnsi="Times New Roman" w:cs="Times New Roman"/>
          <w:i/>
          <w:iCs/>
        </w:rPr>
        <w:t>NNPC Targets $60bn Investment to Boost Gas, Refining Capacity by 2030</w:t>
      </w:r>
      <w:r w:rsidRPr="0070009B">
        <w:rPr>
          <w:rFonts w:ascii="Times New Roman" w:hAnsi="Times New Roman" w:cs="Times New Roman"/>
        </w:rPr>
        <w:t xml:space="preserve">. </w:t>
      </w:r>
      <w:hyperlink r:id="rId13" w:tgtFrame="_blank" w:history="1">
        <w:r w:rsidRPr="0070009B">
          <w:rPr>
            <w:rStyle w:val="Hyperlink"/>
            <w:rFonts w:ascii="Times New Roman" w:hAnsi="Times New Roman" w:cs="Times New Roman"/>
          </w:rPr>
          <w:t>https://businessday.ng</w:t>
        </w:r>
      </w:hyperlink>
    </w:p>
    <w:p w14:paraId="7D40E167"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Channels TV. (2026, January 21). </w:t>
      </w:r>
      <w:r w:rsidRPr="0070009B">
        <w:rPr>
          <w:rFonts w:ascii="Times New Roman" w:hAnsi="Times New Roman" w:cs="Times New Roman"/>
          <w:i/>
          <w:iCs/>
        </w:rPr>
        <w:t>Nigeria to Benefit as Global LNG Supply Set to Jump in 2026</w:t>
      </w:r>
      <w:r w:rsidRPr="0070009B">
        <w:rPr>
          <w:rFonts w:ascii="Times New Roman" w:hAnsi="Times New Roman" w:cs="Times New Roman"/>
        </w:rPr>
        <w:t xml:space="preserve">. </w:t>
      </w:r>
      <w:hyperlink r:id="rId14" w:tgtFrame="_blank" w:history="1">
        <w:r w:rsidRPr="0070009B">
          <w:rPr>
            <w:rStyle w:val="Hyperlink"/>
            <w:rFonts w:ascii="Times New Roman" w:hAnsi="Times New Roman" w:cs="Times New Roman"/>
          </w:rPr>
          <w:t>https://channelstv.com</w:t>
        </w:r>
      </w:hyperlink>
    </w:p>
    <w:p w14:paraId="3D142487"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Decade of Gas Initiative. (2024). </w:t>
      </w:r>
      <w:r w:rsidRPr="0070009B">
        <w:rPr>
          <w:rFonts w:ascii="Times New Roman" w:hAnsi="Times New Roman" w:cs="Times New Roman"/>
          <w:i/>
          <w:iCs/>
        </w:rPr>
        <w:t>Nigeria Eyes $20bn in Investments from 70 Priority Gas Projects</w:t>
      </w:r>
      <w:r w:rsidRPr="0070009B">
        <w:rPr>
          <w:rFonts w:ascii="Times New Roman" w:hAnsi="Times New Roman" w:cs="Times New Roman"/>
        </w:rPr>
        <w:t xml:space="preserve">. </w:t>
      </w:r>
      <w:hyperlink r:id="rId15" w:tgtFrame="_blank" w:history="1">
        <w:r w:rsidRPr="0070009B">
          <w:rPr>
            <w:rStyle w:val="Hyperlink"/>
            <w:rFonts w:ascii="Times New Roman" w:hAnsi="Times New Roman" w:cs="Times New Roman"/>
          </w:rPr>
          <w:t>https://decadeofgas.com.ng</w:t>
        </w:r>
      </w:hyperlink>
    </w:p>
    <w:p w14:paraId="48CA2F7A"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Energy Institute. (2025, June). </w:t>
      </w:r>
      <w:r w:rsidRPr="0070009B">
        <w:rPr>
          <w:rFonts w:ascii="Times New Roman" w:hAnsi="Times New Roman" w:cs="Times New Roman"/>
          <w:i/>
          <w:iCs/>
        </w:rPr>
        <w:t>Statistical Review of World Energy</w:t>
      </w:r>
      <w:r w:rsidRPr="0070009B">
        <w:rPr>
          <w:rFonts w:ascii="Times New Roman" w:hAnsi="Times New Roman" w:cs="Times New Roman"/>
        </w:rPr>
        <w:t xml:space="preserve"> (74th ed.). </w:t>
      </w:r>
      <w:hyperlink r:id="rId16" w:tgtFrame="_blank" w:history="1">
        <w:r w:rsidRPr="0070009B">
          <w:rPr>
            <w:rStyle w:val="Hyperlink"/>
            <w:rFonts w:ascii="Times New Roman" w:hAnsi="Times New Roman" w:cs="Times New Roman"/>
          </w:rPr>
          <w:t>https://energyinst.org</w:t>
        </w:r>
      </w:hyperlink>
    </w:p>
    <w:p w14:paraId="0F8C2C65"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Forbes Africa. (2025, May 28). </w:t>
      </w:r>
      <w:r w:rsidRPr="0070009B">
        <w:rPr>
          <w:rFonts w:ascii="Times New Roman" w:hAnsi="Times New Roman" w:cs="Times New Roman"/>
          <w:i/>
          <w:iCs/>
        </w:rPr>
        <w:t>Nigeria Energy 2025</w:t>
      </w:r>
      <w:r w:rsidRPr="0070009B">
        <w:rPr>
          <w:rFonts w:ascii="Times New Roman" w:hAnsi="Times New Roman" w:cs="Times New Roman"/>
        </w:rPr>
        <w:t xml:space="preserve">. </w:t>
      </w:r>
      <w:hyperlink r:id="rId17" w:tgtFrame="_blank" w:history="1">
        <w:r w:rsidRPr="0070009B">
          <w:rPr>
            <w:rStyle w:val="Hyperlink"/>
            <w:rFonts w:ascii="Times New Roman" w:hAnsi="Times New Roman" w:cs="Times New Roman"/>
          </w:rPr>
          <w:t>https://cms.forbesafrica.com</w:t>
        </w:r>
      </w:hyperlink>
    </w:p>
    <w:p w14:paraId="0F8FE6B3"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Gas for Africa. (2025, June 14). </w:t>
      </w:r>
      <w:r w:rsidRPr="0070009B">
        <w:rPr>
          <w:rFonts w:ascii="Times New Roman" w:hAnsi="Times New Roman" w:cs="Times New Roman"/>
          <w:i/>
          <w:iCs/>
        </w:rPr>
        <w:t>Nigeria Gas Profile</w:t>
      </w:r>
      <w:r w:rsidRPr="0070009B">
        <w:rPr>
          <w:rFonts w:ascii="Times New Roman" w:hAnsi="Times New Roman" w:cs="Times New Roman"/>
        </w:rPr>
        <w:t xml:space="preserve">. </w:t>
      </w:r>
      <w:hyperlink r:id="rId18" w:tgtFrame="_blank" w:history="1">
        <w:r w:rsidRPr="0070009B">
          <w:rPr>
            <w:rStyle w:val="Hyperlink"/>
            <w:rFonts w:ascii="Times New Roman" w:hAnsi="Times New Roman" w:cs="Times New Roman"/>
          </w:rPr>
          <w:t>https://gasforafrica.org</w:t>
        </w:r>
      </w:hyperlink>
    </w:p>
    <w:p w14:paraId="1E9229DC"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Global Energy Monitor. (2026, July 8). </w:t>
      </w:r>
      <w:r w:rsidRPr="0070009B">
        <w:rPr>
          <w:rFonts w:ascii="Times New Roman" w:hAnsi="Times New Roman" w:cs="Times New Roman"/>
          <w:i/>
          <w:iCs/>
        </w:rPr>
        <w:t>Nigeria LNG Terminal</w:t>
      </w:r>
      <w:r w:rsidRPr="0070009B">
        <w:rPr>
          <w:rFonts w:ascii="Times New Roman" w:hAnsi="Times New Roman" w:cs="Times New Roman"/>
        </w:rPr>
        <w:t xml:space="preserve">. </w:t>
      </w:r>
      <w:hyperlink r:id="rId19" w:tgtFrame="_blank" w:history="1">
        <w:r w:rsidRPr="0070009B">
          <w:rPr>
            <w:rStyle w:val="Hyperlink"/>
            <w:rFonts w:ascii="Times New Roman" w:hAnsi="Times New Roman" w:cs="Times New Roman"/>
          </w:rPr>
          <w:t>https://gem.wiki</w:t>
        </w:r>
      </w:hyperlink>
    </w:p>
    <w:p w14:paraId="685CA5AD"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International Gas Union (IGU). (2025). </w:t>
      </w:r>
      <w:r w:rsidRPr="0070009B">
        <w:rPr>
          <w:rFonts w:ascii="Times New Roman" w:hAnsi="Times New Roman" w:cs="Times New Roman"/>
          <w:i/>
          <w:iCs/>
        </w:rPr>
        <w:t>World LNG Report 2025</w:t>
      </w:r>
      <w:r w:rsidRPr="0070009B">
        <w:rPr>
          <w:rFonts w:ascii="Times New Roman" w:hAnsi="Times New Roman" w:cs="Times New Roman"/>
        </w:rPr>
        <w:t xml:space="preserve">. </w:t>
      </w:r>
      <w:hyperlink r:id="rId20" w:tgtFrame="_blank" w:history="1">
        <w:r w:rsidRPr="0070009B">
          <w:rPr>
            <w:rStyle w:val="Hyperlink"/>
            <w:rFonts w:ascii="Times New Roman" w:hAnsi="Times New Roman" w:cs="Times New Roman"/>
          </w:rPr>
          <w:t>https://igu.org</w:t>
        </w:r>
      </w:hyperlink>
    </w:p>
    <w:p w14:paraId="454CC5FF"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Nigerian Midstream and Downstream Petroleum Regulatory Authority (NMDPRA). (2026, April 2). </w:t>
      </w:r>
      <w:r w:rsidRPr="0070009B">
        <w:rPr>
          <w:rFonts w:ascii="Times New Roman" w:hAnsi="Times New Roman" w:cs="Times New Roman"/>
          <w:i/>
          <w:iCs/>
        </w:rPr>
        <w:t>New Gas Price to Take Effect in Nigeria</w:t>
      </w:r>
      <w:r w:rsidRPr="0070009B">
        <w:rPr>
          <w:rFonts w:ascii="Times New Roman" w:hAnsi="Times New Roman" w:cs="Times New Roman"/>
        </w:rPr>
        <w:t xml:space="preserve">. </w:t>
      </w:r>
      <w:hyperlink r:id="rId21" w:tgtFrame="_blank" w:history="1">
        <w:r w:rsidRPr="0070009B">
          <w:rPr>
            <w:rStyle w:val="Hyperlink"/>
            <w:rFonts w:ascii="Times New Roman" w:hAnsi="Times New Roman" w:cs="Times New Roman"/>
          </w:rPr>
          <w:t>https://doowe.ng</w:t>
        </w:r>
      </w:hyperlink>
    </w:p>
    <w:p w14:paraId="2D54B3E9"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Nigerian Upstream Petroleum Regulatory Commission (NUPRC). (2025, August 31). </w:t>
      </w:r>
      <w:r w:rsidRPr="0070009B">
        <w:rPr>
          <w:rFonts w:ascii="Times New Roman" w:hAnsi="Times New Roman" w:cs="Times New Roman"/>
          <w:i/>
          <w:iCs/>
        </w:rPr>
        <w:t xml:space="preserve">Nigeria's Gas Production Rises to 7.59 </w:t>
      </w:r>
      <w:proofErr w:type="gramStart"/>
      <w:r w:rsidRPr="0070009B">
        <w:rPr>
          <w:rFonts w:ascii="Times New Roman" w:hAnsi="Times New Roman" w:cs="Times New Roman"/>
          <w:i/>
          <w:iCs/>
        </w:rPr>
        <w:t>Billion</w:t>
      </w:r>
      <w:proofErr w:type="gramEnd"/>
      <w:r w:rsidRPr="0070009B">
        <w:rPr>
          <w:rFonts w:ascii="Times New Roman" w:hAnsi="Times New Roman" w:cs="Times New Roman"/>
          <w:i/>
          <w:iCs/>
        </w:rPr>
        <w:t xml:space="preserve"> SCFD as Flaring Drops</w:t>
      </w:r>
      <w:r w:rsidRPr="0070009B">
        <w:rPr>
          <w:rFonts w:ascii="Times New Roman" w:hAnsi="Times New Roman" w:cs="Times New Roman"/>
        </w:rPr>
        <w:t xml:space="preserve">. </w:t>
      </w:r>
      <w:hyperlink r:id="rId22" w:tgtFrame="_blank" w:history="1">
        <w:r w:rsidRPr="0070009B">
          <w:rPr>
            <w:rStyle w:val="Hyperlink"/>
            <w:rFonts w:ascii="Times New Roman" w:hAnsi="Times New Roman" w:cs="Times New Roman"/>
          </w:rPr>
          <w:t>https://premiumtimesng.com</w:t>
        </w:r>
      </w:hyperlink>
    </w:p>
    <w:p w14:paraId="2586B72E"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Nigerian Upstream Petroleum Regulatory Commission (NUPRC). (2025). </w:t>
      </w:r>
      <w:r w:rsidRPr="0070009B">
        <w:rPr>
          <w:rFonts w:ascii="Times New Roman" w:hAnsi="Times New Roman" w:cs="Times New Roman"/>
          <w:i/>
          <w:iCs/>
        </w:rPr>
        <w:t>Gas Production Status Reports</w:t>
      </w:r>
      <w:r w:rsidRPr="0070009B">
        <w:rPr>
          <w:rFonts w:ascii="Times New Roman" w:hAnsi="Times New Roman" w:cs="Times New Roman"/>
        </w:rPr>
        <w:t xml:space="preserve"> (2021–2025). Abuja: NUPRC.</w:t>
      </w:r>
    </w:p>
    <w:p w14:paraId="3C2E28C4"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NNPC Ltd. (2025, July 1). </w:t>
      </w:r>
      <w:r w:rsidRPr="0070009B">
        <w:rPr>
          <w:rFonts w:ascii="Times New Roman" w:hAnsi="Times New Roman" w:cs="Times New Roman"/>
          <w:i/>
          <w:iCs/>
        </w:rPr>
        <w:t>Nigeria Committed to Pursuing Gas as "Low-Carbon Transition Fuel"</w:t>
      </w:r>
      <w:r w:rsidRPr="0070009B">
        <w:rPr>
          <w:rFonts w:ascii="Times New Roman" w:hAnsi="Times New Roman" w:cs="Times New Roman"/>
        </w:rPr>
        <w:t xml:space="preserve">. </w:t>
      </w:r>
      <w:hyperlink r:id="rId23" w:tgtFrame="_blank" w:history="1">
        <w:r w:rsidRPr="0070009B">
          <w:rPr>
            <w:rStyle w:val="Hyperlink"/>
            <w:rFonts w:ascii="Times New Roman" w:hAnsi="Times New Roman" w:cs="Times New Roman"/>
          </w:rPr>
          <w:t>https://gasoutlook.com</w:t>
        </w:r>
      </w:hyperlink>
    </w:p>
    <w:p w14:paraId="51DEC4DD"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NNPC Ltd. (2025, August). </w:t>
      </w:r>
      <w:r w:rsidRPr="0070009B">
        <w:rPr>
          <w:rFonts w:ascii="Times New Roman" w:hAnsi="Times New Roman" w:cs="Times New Roman"/>
          <w:i/>
          <w:iCs/>
        </w:rPr>
        <w:t>Group CEO Statement on Investment Targets</w:t>
      </w:r>
      <w:r w:rsidRPr="0070009B">
        <w:rPr>
          <w:rFonts w:ascii="Times New Roman" w:hAnsi="Times New Roman" w:cs="Times New Roman"/>
        </w:rPr>
        <w:t>. Abuja: NNPC Ltd.</w:t>
      </w:r>
    </w:p>
    <w:p w14:paraId="6A332E12"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Policy Center for the New South. (2024, December 27). </w:t>
      </w:r>
      <w:r w:rsidRPr="0070009B">
        <w:rPr>
          <w:rFonts w:ascii="Times New Roman" w:hAnsi="Times New Roman" w:cs="Times New Roman"/>
          <w:i/>
          <w:iCs/>
        </w:rPr>
        <w:t>Nigeria: Africa's Gas Powerhouse in the Making</w:t>
      </w:r>
      <w:r w:rsidRPr="0070009B">
        <w:rPr>
          <w:rFonts w:ascii="Times New Roman" w:hAnsi="Times New Roman" w:cs="Times New Roman"/>
        </w:rPr>
        <w:t xml:space="preserve">. </w:t>
      </w:r>
      <w:hyperlink r:id="rId24" w:tgtFrame="_blank" w:history="1">
        <w:r w:rsidRPr="0070009B">
          <w:rPr>
            <w:rStyle w:val="Hyperlink"/>
            <w:rFonts w:ascii="Times New Roman" w:hAnsi="Times New Roman" w:cs="Times New Roman"/>
          </w:rPr>
          <w:t>https://policycenter.ma</w:t>
        </w:r>
      </w:hyperlink>
    </w:p>
    <w:p w14:paraId="487B55EF"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Premium Times Nigeria. (2025, August 31). </w:t>
      </w:r>
      <w:r w:rsidRPr="0070009B">
        <w:rPr>
          <w:rFonts w:ascii="Times New Roman" w:hAnsi="Times New Roman" w:cs="Times New Roman"/>
          <w:i/>
          <w:iCs/>
        </w:rPr>
        <w:t xml:space="preserve">Nigeria's Gas Production Rises to 7.59 </w:t>
      </w:r>
      <w:proofErr w:type="gramStart"/>
      <w:r w:rsidRPr="0070009B">
        <w:rPr>
          <w:rFonts w:ascii="Times New Roman" w:hAnsi="Times New Roman" w:cs="Times New Roman"/>
          <w:i/>
          <w:iCs/>
        </w:rPr>
        <w:t>Billion</w:t>
      </w:r>
      <w:proofErr w:type="gramEnd"/>
      <w:r w:rsidRPr="0070009B">
        <w:rPr>
          <w:rFonts w:ascii="Times New Roman" w:hAnsi="Times New Roman" w:cs="Times New Roman"/>
          <w:i/>
          <w:iCs/>
        </w:rPr>
        <w:t xml:space="preserve"> SCFD as Flaring Drops</w:t>
      </w:r>
      <w:r w:rsidRPr="0070009B">
        <w:rPr>
          <w:rFonts w:ascii="Times New Roman" w:hAnsi="Times New Roman" w:cs="Times New Roman"/>
        </w:rPr>
        <w:t xml:space="preserve">. </w:t>
      </w:r>
      <w:hyperlink r:id="rId25" w:tgtFrame="_blank" w:history="1">
        <w:r w:rsidRPr="0070009B">
          <w:rPr>
            <w:rStyle w:val="Hyperlink"/>
            <w:rFonts w:ascii="Times New Roman" w:hAnsi="Times New Roman" w:cs="Times New Roman"/>
          </w:rPr>
          <w:t>https://premiumtimesng.com</w:t>
        </w:r>
      </w:hyperlink>
    </w:p>
    <w:p w14:paraId="3E9C9328"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PwC Nigeria. (2024). </w:t>
      </w:r>
      <w:r w:rsidRPr="0070009B">
        <w:rPr>
          <w:rFonts w:ascii="Times New Roman" w:hAnsi="Times New Roman" w:cs="Times New Roman"/>
          <w:i/>
          <w:iCs/>
        </w:rPr>
        <w:t>Evaluating Nigeria's Gas Value Chain</w:t>
      </w:r>
      <w:r w:rsidRPr="0070009B">
        <w:rPr>
          <w:rFonts w:ascii="Times New Roman" w:hAnsi="Times New Roman" w:cs="Times New Roman"/>
        </w:rPr>
        <w:t xml:space="preserve">. </w:t>
      </w:r>
      <w:hyperlink r:id="rId26" w:tgtFrame="_blank" w:history="1">
        <w:r w:rsidRPr="0070009B">
          <w:rPr>
            <w:rStyle w:val="Hyperlink"/>
            <w:rFonts w:ascii="Times New Roman" w:hAnsi="Times New Roman" w:cs="Times New Roman"/>
          </w:rPr>
          <w:t>https://pwc.com/ng</w:t>
        </w:r>
      </w:hyperlink>
    </w:p>
    <w:p w14:paraId="17C63D80"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Saipem. (2025). </w:t>
      </w:r>
      <w:r w:rsidRPr="0070009B">
        <w:rPr>
          <w:rFonts w:ascii="Times New Roman" w:hAnsi="Times New Roman" w:cs="Times New Roman"/>
          <w:i/>
          <w:iCs/>
        </w:rPr>
        <w:t>Bonny NLNG Train 7 Project Overview</w:t>
      </w:r>
      <w:r w:rsidRPr="0070009B">
        <w:rPr>
          <w:rFonts w:ascii="Times New Roman" w:hAnsi="Times New Roman" w:cs="Times New Roman"/>
        </w:rPr>
        <w:t xml:space="preserve">. </w:t>
      </w:r>
      <w:hyperlink r:id="rId27" w:tgtFrame="_blank" w:history="1">
        <w:r w:rsidRPr="0070009B">
          <w:rPr>
            <w:rStyle w:val="Hyperlink"/>
            <w:rFonts w:ascii="Times New Roman" w:hAnsi="Times New Roman" w:cs="Times New Roman"/>
          </w:rPr>
          <w:t>https://saipem.com</w:t>
        </w:r>
      </w:hyperlink>
    </w:p>
    <w:p w14:paraId="2B32146B"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Springer. (2025, October 11). </w:t>
      </w:r>
      <w:r w:rsidRPr="0070009B">
        <w:rPr>
          <w:rFonts w:ascii="Times New Roman" w:hAnsi="Times New Roman" w:cs="Times New Roman"/>
          <w:i/>
          <w:iCs/>
        </w:rPr>
        <w:t>Environmental Economic Impacts and Policy Pathways of Gas Flaring in Nigeria from 2002 to 2024</w:t>
      </w:r>
      <w:r w:rsidRPr="0070009B">
        <w:rPr>
          <w:rFonts w:ascii="Times New Roman" w:hAnsi="Times New Roman" w:cs="Times New Roman"/>
        </w:rPr>
        <w:t xml:space="preserve">. </w:t>
      </w:r>
      <w:hyperlink r:id="rId28" w:tgtFrame="_blank" w:history="1">
        <w:r w:rsidRPr="0070009B">
          <w:rPr>
            <w:rStyle w:val="Hyperlink"/>
            <w:rFonts w:ascii="Times New Roman" w:hAnsi="Times New Roman" w:cs="Times New Roman"/>
          </w:rPr>
          <w:t>https://link.springer.com</w:t>
        </w:r>
      </w:hyperlink>
    </w:p>
    <w:p w14:paraId="3B461A33"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Templars Law. (2024, July 31). </w:t>
      </w:r>
      <w:r w:rsidRPr="0070009B">
        <w:rPr>
          <w:rFonts w:ascii="Times New Roman" w:hAnsi="Times New Roman" w:cs="Times New Roman"/>
          <w:i/>
          <w:iCs/>
        </w:rPr>
        <w:t>An Overview of Nigeria's Domestic Gas Pricing Framework</w:t>
      </w:r>
      <w:r w:rsidRPr="0070009B">
        <w:rPr>
          <w:rFonts w:ascii="Times New Roman" w:hAnsi="Times New Roman" w:cs="Times New Roman"/>
        </w:rPr>
        <w:t xml:space="preserve">. </w:t>
      </w:r>
      <w:hyperlink r:id="rId29" w:tgtFrame="_blank" w:history="1">
        <w:r w:rsidRPr="0070009B">
          <w:rPr>
            <w:rStyle w:val="Hyperlink"/>
            <w:rFonts w:ascii="Times New Roman" w:hAnsi="Times New Roman" w:cs="Times New Roman"/>
          </w:rPr>
          <w:t>https://templars-law.com</w:t>
        </w:r>
      </w:hyperlink>
    </w:p>
    <w:p w14:paraId="0B67DB64"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U.S. Energy Information Administration (EIA). (2025). </w:t>
      </w:r>
      <w:r w:rsidRPr="0070009B">
        <w:rPr>
          <w:rFonts w:ascii="Times New Roman" w:hAnsi="Times New Roman" w:cs="Times New Roman"/>
          <w:i/>
          <w:iCs/>
        </w:rPr>
        <w:t>Country Analysis Brief: Nigeria</w:t>
      </w:r>
      <w:r w:rsidRPr="0070009B">
        <w:rPr>
          <w:rFonts w:ascii="Times New Roman" w:hAnsi="Times New Roman" w:cs="Times New Roman"/>
        </w:rPr>
        <w:t xml:space="preserve">. </w:t>
      </w:r>
      <w:hyperlink r:id="rId30" w:tgtFrame="_blank" w:history="1">
        <w:r w:rsidRPr="0070009B">
          <w:rPr>
            <w:rStyle w:val="Hyperlink"/>
            <w:rFonts w:ascii="Times New Roman" w:hAnsi="Times New Roman" w:cs="Times New Roman"/>
          </w:rPr>
          <w:t>https://eia.gov</w:t>
        </w:r>
      </w:hyperlink>
    </w:p>
    <w:p w14:paraId="2A583C08" w14:textId="77777777" w:rsidR="0070009B" w:rsidRPr="0070009B" w:rsidRDefault="0070009B" w:rsidP="00016E33">
      <w:pPr>
        <w:spacing w:after="0" w:line="276" w:lineRule="auto"/>
        <w:ind w:left="630" w:hanging="630"/>
        <w:jc w:val="both"/>
        <w:rPr>
          <w:rFonts w:ascii="Times New Roman" w:hAnsi="Times New Roman" w:cs="Times New Roman"/>
        </w:rPr>
      </w:pPr>
      <w:r w:rsidRPr="0070009B">
        <w:rPr>
          <w:rFonts w:ascii="Times New Roman" w:hAnsi="Times New Roman" w:cs="Times New Roman"/>
        </w:rPr>
        <w:t xml:space="preserve">World Bank. (2025, July). </w:t>
      </w:r>
      <w:r w:rsidRPr="0070009B">
        <w:rPr>
          <w:rFonts w:ascii="Times New Roman" w:hAnsi="Times New Roman" w:cs="Times New Roman"/>
          <w:i/>
          <w:iCs/>
        </w:rPr>
        <w:t>Global Gas Flaring Tracker Report</w:t>
      </w:r>
      <w:r w:rsidRPr="0070009B">
        <w:rPr>
          <w:rFonts w:ascii="Times New Roman" w:hAnsi="Times New Roman" w:cs="Times New Roman"/>
        </w:rPr>
        <w:t xml:space="preserve">. </w:t>
      </w:r>
      <w:hyperlink r:id="rId31" w:tgtFrame="_blank" w:history="1">
        <w:r w:rsidRPr="0070009B">
          <w:rPr>
            <w:rStyle w:val="Hyperlink"/>
            <w:rFonts w:ascii="Times New Roman" w:hAnsi="Times New Roman" w:cs="Times New Roman"/>
          </w:rPr>
          <w:t>https://thedocs.worldbank.org</w:t>
        </w:r>
      </w:hyperlink>
    </w:p>
    <w:p w14:paraId="6CBCC42D" w14:textId="1A7E33B8" w:rsidR="00283D7D" w:rsidRPr="00802EB3" w:rsidRDefault="00283D7D" w:rsidP="0070009B">
      <w:pPr>
        <w:spacing w:line="276" w:lineRule="auto"/>
        <w:jc w:val="both"/>
        <w:rPr>
          <w:rFonts w:ascii="Times New Roman" w:hAnsi="Times New Roman" w:cs="Times New Roman"/>
        </w:rPr>
      </w:pPr>
    </w:p>
    <w:sectPr w:rsidR="00283D7D" w:rsidRPr="00802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C08"/>
    <w:multiLevelType w:val="multilevel"/>
    <w:tmpl w:val="0688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3051C"/>
    <w:multiLevelType w:val="multilevel"/>
    <w:tmpl w:val="827E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DB413A"/>
    <w:multiLevelType w:val="multilevel"/>
    <w:tmpl w:val="FCF8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BC4666"/>
    <w:multiLevelType w:val="multilevel"/>
    <w:tmpl w:val="0BB21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250ECB"/>
    <w:multiLevelType w:val="multilevel"/>
    <w:tmpl w:val="4CE8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D447B8"/>
    <w:multiLevelType w:val="multilevel"/>
    <w:tmpl w:val="2AC2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5646E3"/>
    <w:multiLevelType w:val="multilevel"/>
    <w:tmpl w:val="6E04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BF5FA8"/>
    <w:multiLevelType w:val="multilevel"/>
    <w:tmpl w:val="065A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C70D6C"/>
    <w:multiLevelType w:val="multilevel"/>
    <w:tmpl w:val="29283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FE0541"/>
    <w:multiLevelType w:val="multilevel"/>
    <w:tmpl w:val="7DBE6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8900DF"/>
    <w:multiLevelType w:val="multilevel"/>
    <w:tmpl w:val="4C58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472E0D"/>
    <w:multiLevelType w:val="multilevel"/>
    <w:tmpl w:val="BAE69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43543D"/>
    <w:multiLevelType w:val="multilevel"/>
    <w:tmpl w:val="F8CA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6B4249"/>
    <w:multiLevelType w:val="multilevel"/>
    <w:tmpl w:val="5A94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9613A3"/>
    <w:multiLevelType w:val="multilevel"/>
    <w:tmpl w:val="02806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8413AB"/>
    <w:multiLevelType w:val="multilevel"/>
    <w:tmpl w:val="78E2F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2F4710"/>
    <w:multiLevelType w:val="multilevel"/>
    <w:tmpl w:val="D920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CA157E"/>
    <w:multiLevelType w:val="multilevel"/>
    <w:tmpl w:val="91D04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D12D85"/>
    <w:multiLevelType w:val="multilevel"/>
    <w:tmpl w:val="F9945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FF57D8"/>
    <w:multiLevelType w:val="multilevel"/>
    <w:tmpl w:val="856E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720FD7"/>
    <w:multiLevelType w:val="multilevel"/>
    <w:tmpl w:val="BFD6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1346618">
    <w:abstractNumId w:val="14"/>
  </w:num>
  <w:num w:numId="2" w16cid:durableId="1171681237">
    <w:abstractNumId w:val="12"/>
  </w:num>
  <w:num w:numId="3" w16cid:durableId="1079139191">
    <w:abstractNumId w:val="19"/>
  </w:num>
  <w:num w:numId="4" w16cid:durableId="1351371591">
    <w:abstractNumId w:val="7"/>
  </w:num>
  <w:num w:numId="5" w16cid:durableId="459223008">
    <w:abstractNumId w:val="4"/>
  </w:num>
  <w:num w:numId="6" w16cid:durableId="762653084">
    <w:abstractNumId w:val="10"/>
  </w:num>
  <w:num w:numId="7" w16cid:durableId="1299452992">
    <w:abstractNumId w:val="1"/>
  </w:num>
  <w:num w:numId="8" w16cid:durableId="983853369">
    <w:abstractNumId w:val="2"/>
  </w:num>
  <w:num w:numId="9" w16cid:durableId="722020364">
    <w:abstractNumId w:val="20"/>
  </w:num>
  <w:num w:numId="10" w16cid:durableId="812406405">
    <w:abstractNumId w:val="9"/>
  </w:num>
  <w:num w:numId="11" w16cid:durableId="698551802">
    <w:abstractNumId w:val="0"/>
  </w:num>
  <w:num w:numId="12" w16cid:durableId="1879974306">
    <w:abstractNumId w:val="11"/>
  </w:num>
  <w:num w:numId="13" w16cid:durableId="990253549">
    <w:abstractNumId w:val="17"/>
  </w:num>
  <w:num w:numId="14" w16cid:durableId="1332028544">
    <w:abstractNumId w:val="13"/>
  </w:num>
  <w:num w:numId="15" w16cid:durableId="1228566702">
    <w:abstractNumId w:val="15"/>
  </w:num>
  <w:num w:numId="16" w16cid:durableId="1039008145">
    <w:abstractNumId w:val="3"/>
  </w:num>
  <w:num w:numId="17" w16cid:durableId="1292395002">
    <w:abstractNumId w:val="8"/>
  </w:num>
  <w:num w:numId="18" w16cid:durableId="2103721602">
    <w:abstractNumId w:val="16"/>
  </w:num>
  <w:num w:numId="19" w16cid:durableId="855003484">
    <w:abstractNumId w:val="6"/>
  </w:num>
  <w:num w:numId="20" w16cid:durableId="1364331741">
    <w:abstractNumId w:val="18"/>
  </w:num>
  <w:num w:numId="21" w16cid:durableId="1705056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9B"/>
    <w:rsid w:val="00016E33"/>
    <w:rsid w:val="00283D7D"/>
    <w:rsid w:val="00317C96"/>
    <w:rsid w:val="005E0841"/>
    <w:rsid w:val="006C409E"/>
    <w:rsid w:val="0070009B"/>
    <w:rsid w:val="00802EB3"/>
    <w:rsid w:val="0099561C"/>
    <w:rsid w:val="00BB0294"/>
    <w:rsid w:val="00EA1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EBA64"/>
  <w15:chartTrackingRefBased/>
  <w15:docId w15:val="{B531BF29-1E7C-4C26-B19A-5C39A1816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0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00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00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00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00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00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0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0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0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0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00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00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00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00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00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0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0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09B"/>
    <w:rPr>
      <w:rFonts w:eastAsiaTheme="majorEastAsia" w:cstheme="majorBidi"/>
      <w:color w:val="272727" w:themeColor="text1" w:themeTint="D8"/>
    </w:rPr>
  </w:style>
  <w:style w:type="paragraph" w:styleId="Title">
    <w:name w:val="Title"/>
    <w:basedOn w:val="Normal"/>
    <w:next w:val="Normal"/>
    <w:link w:val="TitleChar"/>
    <w:uiPriority w:val="10"/>
    <w:qFormat/>
    <w:rsid w:val="007000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0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0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0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09B"/>
    <w:pPr>
      <w:spacing w:before="160"/>
      <w:jc w:val="center"/>
    </w:pPr>
    <w:rPr>
      <w:i/>
      <w:iCs/>
      <w:color w:val="404040" w:themeColor="text1" w:themeTint="BF"/>
    </w:rPr>
  </w:style>
  <w:style w:type="character" w:customStyle="1" w:styleId="QuoteChar">
    <w:name w:val="Quote Char"/>
    <w:basedOn w:val="DefaultParagraphFont"/>
    <w:link w:val="Quote"/>
    <w:uiPriority w:val="29"/>
    <w:rsid w:val="0070009B"/>
    <w:rPr>
      <w:i/>
      <w:iCs/>
      <w:color w:val="404040" w:themeColor="text1" w:themeTint="BF"/>
    </w:rPr>
  </w:style>
  <w:style w:type="paragraph" w:styleId="ListParagraph">
    <w:name w:val="List Paragraph"/>
    <w:basedOn w:val="Normal"/>
    <w:uiPriority w:val="34"/>
    <w:qFormat/>
    <w:rsid w:val="0070009B"/>
    <w:pPr>
      <w:ind w:left="720"/>
      <w:contextualSpacing/>
    </w:pPr>
  </w:style>
  <w:style w:type="character" w:styleId="IntenseEmphasis">
    <w:name w:val="Intense Emphasis"/>
    <w:basedOn w:val="DefaultParagraphFont"/>
    <w:uiPriority w:val="21"/>
    <w:qFormat/>
    <w:rsid w:val="0070009B"/>
    <w:rPr>
      <w:i/>
      <w:iCs/>
      <w:color w:val="2F5496" w:themeColor="accent1" w:themeShade="BF"/>
    </w:rPr>
  </w:style>
  <w:style w:type="paragraph" w:styleId="IntenseQuote">
    <w:name w:val="Intense Quote"/>
    <w:basedOn w:val="Normal"/>
    <w:next w:val="Normal"/>
    <w:link w:val="IntenseQuoteChar"/>
    <w:uiPriority w:val="30"/>
    <w:qFormat/>
    <w:rsid w:val="007000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009B"/>
    <w:rPr>
      <w:i/>
      <w:iCs/>
      <w:color w:val="2F5496" w:themeColor="accent1" w:themeShade="BF"/>
    </w:rPr>
  </w:style>
  <w:style w:type="character" w:styleId="IntenseReference">
    <w:name w:val="Intense Reference"/>
    <w:basedOn w:val="DefaultParagraphFont"/>
    <w:uiPriority w:val="32"/>
    <w:qFormat/>
    <w:rsid w:val="0070009B"/>
    <w:rPr>
      <w:b/>
      <w:bCs/>
      <w:smallCaps/>
      <w:color w:val="2F5496" w:themeColor="accent1" w:themeShade="BF"/>
      <w:spacing w:val="5"/>
    </w:rPr>
  </w:style>
  <w:style w:type="character" w:styleId="Hyperlink">
    <w:name w:val="Hyperlink"/>
    <w:basedOn w:val="DefaultParagraphFont"/>
    <w:uiPriority w:val="99"/>
    <w:unhideWhenUsed/>
    <w:rsid w:val="0070009B"/>
    <w:rPr>
      <w:color w:val="0563C1" w:themeColor="hyperlink"/>
      <w:u w:val="single"/>
    </w:rPr>
  </w:style>
  <w:style w:type="character" w:styleId="UnresolvedMention">
    <w:name w:val="Unresolved Mention"/>
    <w:basedOn w:val="DefaultParagraphFont"/>
    <w:uiPriority w:val="99"/>
    <w:semiHidden/>
    <w:unhideWhenUsed/>
    <w:rsid w:val="0070009B"/>
    <w:rPr>
      <w:color w:val="605E5C"/>
      <w:shd w:val="clear" w:color="auto" w:fill="E1DFDD"/>
    </w:rPr>
  </w:style>
  <w:style w:type="table" w:styleId="TableGrid">
    <w:name w:val="Table Grid"/>
    <w:basedOn w:val="TableNormal"/>
    <w:uiPriority w:val="39"/>
    <w:rsid w:val="00995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usinessday.ng/" TargetMode="External"/><Relationship Id="rId18" Type="http://schemas.openxmlformats.org/officeDocument/2006/relationships/hyperlink" Target="https://gasforafrica.org/" TargetMode="External"/><Relationship Id="rId26" Type="http://schemas.openxmlformats.org/officeDocument/2006/relationships/hyperlink" Target="https://pwc.com/ng" TargetMode="External"/><Relationship Id="rId3" Type="http://schemas.openxmlformats.org/officeDocument/2006/relationships/settings" Target="settings.xml"/><Relationship Id="rId21" Type="http://schemas.openxmlformats.org/officeDocument/2006/relationships/hyperlink" Target="https://doowe.ng/" TargetMode="External"/><Relationship Id="rId7" Type="http://schemas.openxmlformats.org/officeDocument/2006/relationships/hyperlink" Target="https://www.kimi.com/mnt/agents/output/chart3_gas_allocation.png" TargetMode="External"/><Relationship Id="rId12" Type="http://schemas.openxmlformats.org/officeDocument/2006/relationships/hyperlink" Target="https://apanews.net/" TargetMode="External"/><Relationship Id="rId17" Type="http://schemas.openxmlformats.org/officeDocument/2006/relationships/hyperlink" Target="https://cms.forbesafrica.com/" TargetMode="External"/><Relationship Id="rId25" Type="http://schemas.openxmlformats.org/officeDocument/2006/relationships/hyperlink" Target="https://premiumtimesng.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ergyinst.org/" TargetMode="External"/><Relationship Id="rId20" Type="http://schemas.openxmlformats.org/officeDocument/2006/relationships/hyperlink" Target="https://igu.org/" TargetMode="External"/><Relationship Id="rId29" Type="http://schemas.openxmlformats.org/officeDocument/2006/relationships/hyperlink" Target="https://templars-law.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afripoli.org/" TargetMode="External"/><Relationship Id="rId24" Type="http://schemas.openxmlformats.org/officeDocument/2006/relationships/hyperlink" Target="https://policycenter.ma/"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decadeofgas.com.ng/" TargetMode="External"/><Relationship Id="rId23" Type="http://schemas.openxmlformats.org/officeDocument/2006/relationships/hyperlink" Target="https://gasoutlook.com/" TargetMode="External"/><Relationship Id="rId28" Type="http://schemas.openxmlformats.org/officeDocument/2006/relationships/hyperlink" Target="https://link.springer.com/" TargetMode="External"/><Relationship Id="rId10" Type="http://schemas.openxmlformats.org/officeDocument/2006/relationships/hyperlink" Target="https://africanenergyresearch.org/" TargetMode="External"/><Relationship Id="rId19" Type="http://schemas.openxmlformats.org/officeDocument/2006/relationships/hyperlink" Target="https://gem.wiki/" TargetMode="External"/><Relationship Id="rId31" Type="http://schemas.openxmlformats.org/officeDocument/2006/relationships/hyperlink" Target="https://thedocs.worldbank.org/"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channelstv.com/" TargetMode="External"/><Relationship Id="rId22" Type="http://schemas.openxmlformats.org/officeDocument/2006/relationships/hyperlink" Target="https://premiumtimesng.com/" TargetMode="External"/><Relationship Id="rId27" Type="http://schemas.openxmlformats.org/officeDocument/2006/relationships/hyperlink" Target="https://saipem.com/" TargetMode="External"/><Relationship Id="rId30" Type="http://schemas.openxmlformats.org/officeDocument/2006/relationships/hyperlink" Target="https://eia.gov/"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14</Pages>
  <Words>3778</Words>
  <Characters>21537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2026-07-09T13:44:00Z</dcterms:created>
  <dcterms:modified xsi:type="dcterms:W3CDTF">2026-07-09T14:12:00Z</dcterms:modified>
</cp:coreProperties>
</file>