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51CA" w14:textId="0FC82C4F" w:rsidR="0024798C" w:rsidRPr="005A50A6" w:rsidRDefault="00FB6EB3" w:rsidP="00CF455F">
      <w:pPr>
        <w:rPr>
          <w:rFonts w:ascii="Times New Roman" w:hAnsi="Times New Roman" w:cs="Times New Roman"/>
          <w:b/>
          <w:bCs/>
          <w:sz w:val="24"/>
          <w:szCs w:val="24"/>
        </w:rPr>
      </w:pPr>
      <w:r w:rsidRPr="005A50A6">
        <w:rPr>
          <w:rFonts w:ascii="Times New Roman" w:hAnsi="Times New Roman" w:cs="Times New Roman"/>
          <w:b/>
          <w:bCs/>
          <w:sz w:val="24"/>
          <w:szCs w:val="24"/>
        </w:rPr>
        <w:t>EVALUATING GHANA'S GAS INFRASTRUCTURE, POLICY REFORMS, AND INVESTMENT READINESS FOR SUSTAINABLE GAS-TO-POWER DEVELOPMENT</w:t>
      </w:r>
    </w:p>
    <w:p w14:paraId="1881F9A0" w14:textId="77777777" w:rsidR="00FB6EB3" w:rsidRDefault="00FB6EB3" w:rsidP="00FB6EB3">
      <w:pPr>
        <w:jc w:val="both"/>
        <w:rPr>
          <w:rFonts w:ascii="Times New Roman" w:hAnsi="Times New Roman" w:cs="Times New Roman"/>
          <w:sz w:val="24"/>
          <w:szCs w:val="24"/>
        </w:rPr>
      </w:pPr>
    </w:p>
    <w:p w14:paraId="142CAF24" w14:textId="0D5888BA"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Executive Summary</w:t>
      </w:r>
    </w:p>
    <w:p w14:paraId="1147A92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Ghana's gas-to-power model remains strategically necessary but operationally fragile. Domestic gas, combined with imports through the West African Gas Pipeline (WAGP), currently supplies roughly 425 million standard cubic feet per day and supports about 70% of electricity generation; however, the sector faces a structural mismatch between rising gas demand, single-point processing constraints, delayed redundancy infrastructure, and a financially stressed power off-taker base (GNPC, 2025a; Energy Commission of Ghana, 2025, 2026;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2025).</w:t>
      </w:r>
    </w:p>
    <w:p w14:paraId="05313C6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The strongest near-term positives are improving upstream output, a functioning west-east gas transport backbone enabled by the Takoradi-Tema Interconnection Project, a 2024 World Bank-backed sector recovery program, a 2026-2030 gas tariff framework based on Weighted Average Cost of Gas (WACOG), and renewed state attention to a second gas processing plant (GPP2) and the Tema industrial gas network (World Bank, 2024a, 2024b; PURC, 2026; Ministry of Energy and Green Transition, 2025a, 2025b).</w:t>
      </w:r>
    </w:p>
    <w:p w14:paraId="4CE6D8D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The binding constraints are more immediate than the policy ambition. The 2025 Energy Outlook projected gas deficits during maintenance windows on WAGP, Jubilee, and Sankofa, including shortages of 47-50 MMscfd in February-March and 102 MMscfd in November 2025. The 2026 Energy Outlook projects power-sector gas demand of 185.93 </w:t>
      </w:r>
      <w:proofErr w:type="spellStart"/>
      <w:r w:rsidRPr="00FB6EB3">
        <w:rPr>
          <w:rFonts w:ascii="Times New Roman" w:hAnsi="Times New Roman" w:cs="Times New Roman"/>
          <w:sz w:val="24"/>
          <w:szCs w:val="24"/>
        </w:rPr>
        <w:t>TBtu</w:t>
      </w:r>
      <w:proofErr w:type="spellEnd"/>
      <w:r w:rsidRPr="00FB6EB3">
        <w:rPr>
          <w:rFonts w:ascii="Times New Roman" w:hAnsi="Times New Roman" w:cs="Times New Roman"/>
          <w:sz w:val="24"/>
          <w:szCs w:val="24"/>
        </w:rPr>
        <w:t xml:space="preserve"> in the base case while reserve margins remain below the 18% planning target, reaching only 12% in the December 2026 peak month. In practice, Ghana continues to rely on expensive liquid-fuel substitution whenever gas availability deteriorates (Energy Commission of Ghana, 2025, 2026).</w:t>
      </w:r>
    </w:p>
    <w:p w14:paraId="4F1A7EE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Intelligence assessment: Ghana is not yet fully investment-ready for long-horizon gas-to-power expansion at scale. Readiness is best characterized as medium for market opportunity, medium-low for physical readiness, and medium-low for payment security. If GPP2, Tema LNG/city-gate infrastructure, payment discipline, and economic dispatch reforms advance materially by 2027-2028, Ghana could move into a credible medium-to-high readiness band for selective midstream, gas-to-industry, and power-flexibility investments.</w:t>
      </w:r>
    </w:p>
    <w:p w14:paraId="468293D2"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Priority recommendations</w:t>
      </w:r>
    </w:p>
    <w:p w14:paraId="1A6DB276"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xml:space="preserve">• Accelerate FID, financing, and EPC execution for GPP2 at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to remove the single-processing-hub constraint and capture currently lost NGL value.</w:t>
      </w:r>
    </w:p>
    <w:p w14:paraId="7D64242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Commission a credible Tema redundancy package: LNG import functionality, city gate, industrial distribution network, and gas balancing/storage arrangements.</w:t>
      </w:r>
    </w:p>
    <w:p w14:paraId="05CC7485"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Lock in payment security through strict arrears management, cost-reflective tariff discipline, and ring-fenced payment waterfalls for gas suppliers and IPPs.</w:t>
      </w:r>
    </w:p>
    <w:p w14:paraId="0F9EBF34" w14:textId="07300990"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lastRenderedPageBreak/>
        <w:t>• Expand dispatch and grid flexibility investments</w:t>
      </w:r>
      <w:r w:rsidR="00FB6EB3">
        <w:rPr>
          <w:rFonts w:ascii="Times New Roman" w:hAnsi="Times New Roman" w:cs="Times New Roman"/>
          <w:sz w:val="24"/>
          <w:szCs w:val="24"/>
        </w:rPr>
        <w:t xml:space="preserve"> </w:t>
      </w:r>
      <w:r w:rsidRPr="00FB6EB3">
        <w:rPr>
          <w:rFonts w:ascii="Times New Roman" w:hAnsi="Times New Roman" w:cs="Times New Roman"/>
          <w:sz w:val="24"/>
          <w:szCs w:val="24"/>
        </w:rPr>
        <w:t>SCADA upgrades, reserve management, dual-fuel optimization, and battery storage</w:t>
      </w:r>
      <w:r w:rsidR="00FB6EB3">
        <w:rPr>
          <w:rFonts w:ascii="Times New Roman" w:hAnsi="Times New Roman" w:cs="Times New Roman"/>
          <w:sz w:val="24"/>
          <w:szCs w:val="24"/>
        </w:rPr>
        <w:t xml:space="preserve"> </w:t>
      </w:r>
      <w:r w:rsidRPr="00FB6EB3">
        <w:rPr>
          <w:rFonts w:ascii="Times New Roman" w:hAnsi="Times New Roman" w:cs="Times New Roman"/>
          <w:sz w:val="24"/>
          <w:szCs w:val="24"/>
        </w:rPr>
        <w:t>to reduce liquid-fuel burn during gas disruptions.</w:t>
      </w:r>
    </w:p>
    <w:p w14:paraId="5819D9CC" w14:textId="77777777" w:rsidR="0024798C"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Use WAPP and the Ghana-Côte d’Ivoire reinforcement project to turn Ghana’s gas-to-power base into a regional trade asset rather than a purely domestic balancing mechanism.</w:t>
      </w:r>
    </w:p>
    <w:p w14:paraId="64F4A95F" w14:textId="77777777" w:rsidR="00FB6EB3" w:rsidRDefault="00FB6EB3" w:rsidP="00FB6EB3">
      <w:pPr>
        <w:jc w:val="both"/>
        <w:rPr>
          <w:rFonts w:ascii="Times New Roman" w:hAnsi="Times New Roman" w:cs="Times New Roman"/>
          <w:sz w:val="24"/>
          <w:szCs w:val="24"/>
        </w:rPr>
      </w:pPr>
    </w:p>
    <w:p w14:paraId="5E2922B4" w14:textId="77777777" w:rsidR="00FB6EB3" w:rsidRDefault="00FB6EB3" w:rsidP="00FB6EB3">
      <w:pPr>
        <w:jc w:val="both"/>
        <w:rPr>
          <w:rFonts w:ascii="Times New Roman" w:hAnsi="Times New Roman" w:cs="Times New Roman"/>
          <w:sz w:val="24"/>
          <w:szCs w:val="24"/>
        </w:rPr>
      </w:pPr>
    </w:p>
    <w:p w14:paraId="0C30E304" w14:textId="77777777" w:rsidR="00FB6EB3" w:rsidRDefault="00FB6EB3" w:rsidP="00FB6EB3">
      <w:pPr>
        <w:jc w:val="both"/>
        <w:rPr>
          <w:rFonts w:ascii="Times New Roman" w:hAnsi="Times New Roman" w:cs="Times New Roman"/>
          <w:sz w:val="24"/>
          <w:szCs w:val="24"/>
        </w:rPr>
      </w:pPr>
    </w:p>
    <w:p w14:paraId="6DCAE434" w14:textId="77777777" w:rsidR="00FB6EB3" w:rsidRDefault="00FB6EB3" w:rsidP="00FB6EB3">
      <w:pPr>
        <w:jc w:val="both"/>
        <w:rPr>
          <w:rFonts w:ascii="Times New Roman" w:hAnsi="Times New Roman" w:cs="Times New Roman"/>
          <w:sz w:val="24"/>
          <w:szCs w:val="24"/>
        </w:rPr>
      </w:pPr>
    </w:p>
    <w:p w14:paraId="1D98A490" w14:textId="77777777" w:rsidR="00FB6EB3" w:rsidRDefault="00FB6EB3" w:rsidP="00FB6EB3">
      <w:pPr>
        <w:jc w:val="both"/>
        <w:rPr>
          <w:rFonts w:ascii="Times New Roman" w:hAnsi="Times New Roman" w:cs="Times New Roman"/>
          <w:sz w:val="24"/>
          <w:szCs w:val="24"/>
        </w:rPr>
      </w:pPr>
    </w:p>
    <w:p w14:paraId="56B10A94" w14:textId="77777777" w:rsidR="00FB6EB3" w:rsidRDefault="00FB6EB3" w:rsidP="00FB6EB3">
      <w:pPr>
        <w:jc w:val="both"/>
        <w:rPr>
          <w:rFonts w:ascii="Times New Roman" w:hAnsi="Times New Roman" w:cs="Times New Roman"/>
          <w:sz w:val="24"/>
          <w:szCs w:val="24"/>
        </w:rPr>
      </w:pPr>
    </w:p>
    <w:p w14:paraId="69975F72" w14:textId="77777777" w:rsidR="00FB6EB3" w:rsidRDefault="00FB6EB3" w:rsidP="00FB6EB3">
      <w:pPr>
        <w:jc w:val="both"/>
        <w:rPr>
          <w:rFonts w:ascii="Times New Roman" w:hAnsi="Times New Roman" w:cs="Times New Roman"/>
          <w:sz w:val="24"/>
          <w:szCs w:val="24"/>
        </w:rPr>
      </w:pPr>
    </w:p>
    <w:p w14:paraId="7549A149" w14:textId="77777777" w:rsidR="00FB6EB3" w:rsidRDefault="00FB6EB3" w:rsidP="00FB6EB3">
      <w:pPr>
        <w:jc w:val="both"/>
        <w:rPr>
          <w:rFonts w:ascii="Times New Roman" w:hAnsi="Times New Roman" w:cs="Times New Roman"/>
          <w:sz w:val="24"/>
          <w:szCs w:val="24"/>
        </w:rPr>
      </w:pPr>
    </w:p>
    <w:p w14:paraId="0F24C69E" w14:textId="77777777" w:rsidR="00FB6EB3" w:rsidRDefault="00FB6EB3" w:rsidP="00FB6EB3">
      <w:pPr>
        <w:jc w:val="both"/>
        <w:rPr>
          <w:rFonts w:ascii="Times New Roman" w:hAnsi="Times New Roman" w:cs="Times New Roman"/>
          <w:sz w:val="24"/>
          <w:szCs w:val="24"/>
        </w:rPr>
      </w:pPr>
    </w:p>
    <w:p w14:paraId="21765BC4" w14:textId="77777777" w:rsidR="00FB6EB3" w:rsidRDefault="00FB6EB3" w:rsidP="00FB6EB3">
      <w:pPr>
        <w:jc w:val="both"/>
        <w:rPr>
          <w:rFonts w:ascii="Times New Roman" w:hAnsi="Times New Roman" w:cs="Times New Roman"/>
          <w:sz w:val="24"/>
          <w:szCs w:val="24"/>
        </w:rPr>
      </w:pPr>
    </w:p>
    <w:p w14:paraId="459F31B8" w14:textId="77777777" w:rsidR="00FB6EB3" w:rsidRDefault="00FB6EB3" w:rsidP="00FB6EB3">
      <w:pPr>
        <w:jc w:val="both"/>
        <w:rPr>
          <w:rFonts w:ascii="Times New Roman" w:hAnsi="Times New Roman" w:cs="Times New Roman"/>
          <w:sz w:val="24"/>
          <w:szCs w:val="24"/>
        </w:rPr>
      </w:pPr>
    </w:p>
    <w:p w14:paraId="3681FD58" w14:textId="77777777" w:rsidR="00FB6EB3" w:rsidRDefault="00FB6EB3" w:rsidP="00FB6EB3">
      <w:pPr>
        <w:jc w:val="both"/>
        <w:rPr>
          <w:rFonts w:ascii="Times New Roman" w:hAnsi="Times New Roman" w:cs="Times New Roman"/>
          <w:sz w:val="24"/>
          <w:szCs w:val="24"/>
        </w:rPr>
      </w:pPr>
    </w:p>
    <w:p w14:paraId="58B89665" w14:textId="77777777" w:rsidR="00FB6EB3" w:rsidRDefault="00FB6EB3" w:rsidP="00FB6EB3">
      <w:pPr>
        <w:jc w:val="both"/>
        <w:rPr>
          <w:rFonts w:ascii="Times New Roman" w:hAnsi="Times New Roman" w:cs="Times New Roman"/>
          <w:sz w:val="24"/>
          <w:szCs w:val="24"/>
        </w:rPr>
      </w:pPr>
    </w:p>
    <w:p w14:paraId="77061210" w14:textId="77777777" w:rsidR="00FB6EB3" w:rsidRDefault="00FB6EB3" w:rsidP="00FB6EB3">
      <w:pPr>
        <w:jc w:val="both"/>
        <w:rPr>
          <w:rFonts w:ascii="Times New Roman" w:hAnsi="Times New Roman" w:cs="Times New Roman"/>
          <w:sz w:val="24"/>
          <w:szCs w:val="24"/>
        </w:rPr>
      </w:pPr>
    </w:p>
    <w:p w14:paraId="16F9EE11" w14:textId="77777777" w:rsidR="00FB6EB3" w:rsidRDefault="00FB6EB3" w:rsidP="00FB6EB3">
      <w:pPr>
        <w:jc w:val="both"/>
        <w:rPr>
          <w:rFonts w:ascii="Times New Roman" w:hAnsi="Times New Roman" w:cs="Times New Roman"/>
          <w:sz w:val="24"/>
          <w:szCs w:val="24"/>
        </w:rPr>
      </w:pPr>
    </w:p>
    <w:p w14:paraId="54C7B028" w14:textId="77777777" w:rsidR="00FB6EB3" w:rsidRDefault="00FB6EB3" w:rsidP="00FB6EB3">
      <w:pPr>
        <w:jc w:val="both"/>
        <w:rPr>
          <w:rFonts w:ascii="Times New Roman" w:hAnsi="Times New Roman" w:cs="Times New Roman"/>
          <w:sz w:val="24"/>
          <w:szCs w:val="24"/>
        </w:rPr>
      </w:pPr>
    </w:p>
    <w:p w14:paraId="0CD07E43" w14:textId="77777777" w:rsidR="00FB6EB3" w:rsidRDefault="00FB6EB3" w:rsidP="00FB6EB3">
      <w:pPr>
        <w:jc w:val="both"/>
        <w:rPr>
          <w:rFonts w:ascii="Times New Roman" w:hAnsi="Times New Roman" w:cs="Times New Roman"/>
          <w:sz w:val="24"/>
          <w:szCs w:val="24"/>
        </w:rPr>
      </w:pPr>
    </w:p>
    <w:p w14:paraId="51DF52F7" w14:textId="77777777" w:rsidR="00FB6EB3" w:rsidRDefault="00FB6EB3" w:rsidP="00FB6EB3">
      <w:pPr>
        <w:jc w:val="both"/>
        <w:rPr>
          <w:rFonts w:ascii="Times New Roman" w:hAnsi="Times New Roman" w:cs="Times New Roman"/>
          <w:sz w:val="24"/>
          <w:szCs w:val="24"/>
        </w:rPr>
      </w:pPr>
    </w:p>
    <w:p w14:paraId="3CAC92A5" w14:textId="77777777" w:rsidR="00FB6EB3" w:rsidRDefault="00FB6EB3" w:rsidP="00FB6EB3">
      <w:pPr>
        <w:jc w:val="both"/>
        <w:rPr>
          <w:rFonts w:ascii="Times New Roman" w:hAnsi="Times New Roman" w:cs="Times New Roman"/>
          <w:sz w:val="24"/>
          <w:szCs w:val="24"/>
        </w:rPr>
      </w:pPr>
    </w:p>
    <w:p w14:paraId="062DC4D9" w14:textId="77777777" w:rsidR="00FB6EB3" w:rsidRDefault="00FB6EB3" w:rsidP="00FB6EB3">
      <w:pPr>
        <w:jc w:val="both"/>
        <w:rPr>
          <w:rFonts w:ascii="Times New Roman" w:hAnsi="Times New Roman" w:cs="Times New Roman"/>
          <w:sz w:val="24"/>
          <w:szCs w:val="24"/>
        </w:rPr>
      </w:pPr>
    </w:p>
    <w:p w14:paraId="1039A738" w14:textId="77777777" w:rsidR="00FB6EB3" w:rsidRDefault="00FB6EB3" w:rsidP="00FB6EB3">
      <w:pPr>
        <w:jc w:val="both"/>
        <w:rPr>
          <w:rFonts w:ascii="Times New Roman" w:hAnsi="Times New Roman" w:cs="Times New Roman"/>
          <w:sz w:val="24"/>
          <w:szCs w:val="24"/>
        </w:rPr>
      </w:pPr>
    </w:p>
    <w:p w14:paraId="75337E46" w14:textId="77777777" w:rsidR="00FB6EB3" w:rsidRDefault="00FB6EB3" w:rsidP="00FB6EB3">
      <w:pPr>
        <w:jc w:val="both"/>
        <w:rPr>
          <w:rFonts w:ascii="Times New Roman" w:hAnsi="Times New Roman" w:cs="Times New Roman"/>
          <w:sz w:val="24"/>
          <w:szCs w:val="24"/>
        </w:rPr>
      </w:pPr>
    </w:p>
    <w:p w14:paraId="308ED126" w14:textId="77777777" w:rsidR="005A50A6" w:rsidRDefault="005A50A6" w:rsidP="00FB6EB3">
      <w:pPr>
        <w:jc w:val="both"/>
        <w:rPr>
          <w:rFonts w:ascii="Times New Roman" w:hAnsi="Times New Roman" w:cs="Times New Roman"/>
          <w:sz w:val="24"/>
          <w:szCs w:val="24"/>
        </w:rPr>
      </w:pPr>
    </w:p>
    <w:p w14:paraId="3057EA99" w14:textId="77777777" w:rsidR="005A50A6" w:rsidRPr="00FB6EB3" w:rsidRDefault="005A50A6" w:rsidP="00FB6EB3">
      <w:pPr>
        <w:jc w:val="both"/>
        <w:rPr>
          <w:rFonts w:ascii="Times New Roman" w:hAnsi="Times New Roman" w:cs="Times New Roman"/>
          <w:sz w:val="24"/>
          <w:szCs w:val="24"/>
        </w:rPr>
      </w:pPr>
    </w:p>
    <w:p w14:paraId="72C551E1"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lastRenderedPageBreak/>
        <w:t>1. Strategic Overview of Ghana’s Gas-to-Power Sector</w:t>
      </w:r>
    </w:p>
    <w:p w14:paraId="16E31EB9" w14:textId="726AB4CF"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Ghana’s gas-to-power chain is anchored by three offshore producing areas</w:t>
      </w:r>
      <w:r w:rsidR="005A50A6">
        <w:rPr>
          <w:rFonts w:ascii="Times New Roman" w:hAnsi="Times New Roman" w:cs="Times New Roman"/>
          <w:sz w:val="24"/>
          <w:szCs w:val="24"/>
        </w:rPr>
        <w:t xml:space="preserve"> </w:t>
      </w:r>
      <w:r w:rsidRPr="00FB6EB3">
        <w:rPr>
          <w:rFonts w:ascii="Times New Roman" w:hAnsi="Times New Roman" w:cs="Times New Roman"/>
          <w:sz w:val="24"/>
          <w:szCs w:val="24"/>
        </w:rPr>
        <w:t>Jubilee, TEN, and Sankofa</w:t>
      </w:r>
      <w:r w:rsidR="005A50A6">
        <w:rPr>
          <w:rFonts w:ascii="Times New Roman" w:hAnsi="Times New Roman" w:cs="Times New Roman"/>
          <w:sz w:val="24"/>
          <w:szCs w:val="24"/>
        </w:rPr>
        <w:t xml:space="preserve"> </w:t>
      </w:r>
      <w:r w:rsidRPr="00FB6EB3">
        <w:rPr>
          <w:rFonts w:ascii="Times New Roman" w:hAnsi="Times New Roman" w:cs="Times New Roman"/>
          <w:sz w:val="24"/>
          <w:szCs w:val="24"/>
        </w:rPr>
        <w:t xml:space="preserve">feeding domestic processing and transport infrastructure that in turn underpins the country’s thermal fleet. End-2024 gross 2P natural gas reserves were about 1,223 Bcf, while total gas production from the three producing fields reached 280,511 </w:t>
      </w:r>
      <w:proofErr w:type="spellStart"/>
      <w:r w:rsidRPr="00FB6EB3">
        <w:rPr>
          <w:rFonts w:ascii="Times New Roman" w:hAnsi="Times New Roman" w:cs="Times New Roman"/>
          <w:sz w:val="24"/>
          <w:szCs w:val="24"/>
        </w:rPr>
        <w:t>MMscf</w:t>
      </w:r>
      <w:proofErr w:type="spellEnd"/>
      <w:r w:rsidRPr="00FB6EB3">
        <w:rPr>
          <w:rFonts w:ascii="Times New Roman" w:hAnsi="Times New Roman" w:cs="Times New Roman"/>
          <w:sz w:val="24"/>
          <w:szCs w:val="24"/>
        </w:rPr>
        <w:t xml:space="preserve"> in 2024, up 9.9% year-on-year. GNPC reported that gas commercialization has become the core of its standalone business, with gas revenues rising 25% to US$884.5 million in 2024 (GNPC, 2025b).</w:t>
      </w:r>
    </w:p>
    <w:p w14:paraId="221E6DF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Gas is central to power security and industrialization. Ghana’s average gas supply in 2025 was cited by GNPC at roughly 425 MMscfd, and gas currently fuels around 70% of electricity generation. This gives gas a strategic role not only in lowering dependence on hydro variability and imported liquid fuels, but also in supporting mining, manufacturing, and industrial enclave development in Tema, Takoradi, and the middle belt (GNPC, 2025a;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2025).</w:t>
      </w:r>
    </w:p>
    <w:p w14:paraId="046D262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drawing>
          <wp:inline distT="0" distB="0" distL="0" distR="0" wp14:anchorId="22022AB1" wp14:editId="597E1AC2">
            <wp:extent cx="6171684" cy="3865880"/>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ana_gas_infrastructure_map.png"/>
                    <pic:cNvPicPr/>
                  </pic:nvPicPr>
                  <pic:blipFill rotWithShape="1">
                    <a:blip r:embed="rId6"/>
                    <a:srcRect t="5141"/>
                    <a:stretch>
                      <a:fillRect/>
                    </a:stretch>
                  </pic:blipFill>
                  <pic:spPr bwMode="auto">
                    <a:xfrm>
                      <a:off x="0" y="0"/>
                      <a:ext cx="6172200" cy="3866203"/>
                    </a:xfrm>
                    <a:prstGeom prst="rect">
                      <a:avLst/>
                    </a:prstGeom>
                    <a:ln>
                      <a:noFill/>
                    </a:ln>
                    <a:extLst>
                      <a:ext uri="{53640926-AAD7-44D8-BBD7-CCE9431645EC}">
                        <a14:shadowObscured xmlns:a14="http://schemas.microsoft.com/office/drawing/2010/main"/>
                      </a:ext>
                    </a:extLst>
                  </pic:spPr>
                </pic:pic>
              </a:graphicData>
            </a:graphic>
          </wp:inline>
        </w:drawing>
      </w:r>
    </w:p>
    <w:p w14:paraId="6A5E3B7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Map 1. Ghana gas infrastructure showing offshore fields,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GPP, Tema LNG/Tema cluster, WAGP corridor, and major gas-fired power nodes.</w:t>
      </w:r>
    </w:p>
    <w:p w14:paraId="3C1C9AD3" w14:textId="77777777" w:rsidR="0024798C"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Author schematic based on Ghana Gas (operations/infrastructure),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xml:space="preserve"> Sustainability Report 2024, GNPC 2025 updates, VRA Facts &amp; Figures, and publicly reported asset locations.</w:t>
      </w:r>
    </w:p>
    <w:p w14:paraId="767610C0" w14:textId="77777777" w:rsidR="00FB6EB3" w:rsidRPr="00FB6EB3" w:rsidRDefault="00FB6EB3" w:rsidP="00FB6EB3">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65"/>
        <w:gridCol w:w="2026"/>
        <w:gridCol w:w="4451"/>
      </w:tblGrid>
      <w:tr w:rsidR="0024798C" w:rsidRPr="00FB6EB3" w14:paraId="1ABAD6C6" w14:textId="77777777" w:rsidTr="00FB6EB3">
        <w:tc>
          <w:tcPr>
            <w:tcW w:w="2880" w:type="dxa"/>
          </w:tcPr>
          <w:p w14:paraId="306C72E2"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lastRenderedPageBreak/>
              <w:t>Indicator</w:t>
            </w:r>
          </w:p>
        </w:tc>
        <w:tc>
          <w:tcPr>
            <w:tcW w:w="2088" w:type="dxa"/>
          </w:tcPr>
          <w:p w14:paraId="4B8026F6"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Latest value</w:t>
            </w:r>
          </w:p>
        </w:tc>
        <w:tc>
          <w:tcPr>
            <w:tcW w:w="4680" w:type="dxa"/>
          </w:tcPr>
          <w:p w14:paraId="0E638390"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Strategic implication</w:t>
            </w:r>
          </w:p>
        </w:tc>
      </w:tr>
      <w:tr w:rsidR="0024798C" w:rsidRPr="00FB6EB3" w14:paraId="0B8D7322" w14:textId="77777777" w:rsidTr="00FB6EB3">
        <w:tc>
          <w:tcPr>
            <w:tcW w:w="2880" w:type="dxa"/>
          </w:tcPr>
          <w:p w14:paraId="0CCE2AE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Gross 2P natural gas reserves</w:t>
            </w:r>
          </w:p>
        </w:tc>
        <w:tc>
          <w:tcPr>
            <w:tcW w:w="2088" w:type="dxa"/>
          </w:tcPr>
          <w:p w14:paraId="5C50592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1,223 Bcf at end-2024</w:t>
            </w:r>
          </w:p>
        </w:tc>
        <w:tc>
          <w:tcPr>
            <w:tcW w:w="4680" w:type="dxa"/>
          </w:tcPr>
          <w:p w14:paraId="1179DFD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Provides a meaningful domestic gas base, but not enough to justify infrastructure delays given rapid power-demand growth.</w:t>
            </w:r>
          </w:p>
        </w:tc>
      </w:tr>
      <w:tr w:rsidR="0024798C" w:rsidRPr="00FB6EB3" w14:paraId="24F14519" w14:textId="77777777" w:rsidTr="00FB6EB3">
        <w:tc>
          <w:tcPr>
            <w:tcW w:w="2880" w:type="dxa"/>
          </w:tcPr>
          <w:p w14:paraId="4C86970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2024 total gas production</w:t>
            </w:r>
          </w:p>
        </w:tc>
        <w:tc>
          <w:tcPr>
            <w:tcW w:w="2088" w:type="dxa"/>
          </w:tcPr>
          <w:p w14:paraId="625C997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280,511 </w:t>
            </w:r>
            <w:proofErr w:type="spellStart"/>
            <w:r w:rsidRPr="00FB6EB3">
              <w:rPr>
                <w:rFonts w:ascii="Times New Roman" w:hAnsi="Times New Roman" w:cs="Times New Roman"/>
                <w:sz w:val="24"/>
                <w:szCs w:val="24"/>
              </w:rPr>
              <w:t>MMscf</w:t>
            </w:r>
            <w:proofErr w:type="spellEnd"/>
          </w:p>
        </w:tc>
        <w:tc>
          <w:tcPr>
            <w:tcW w:w="4680" w:type="dxa"/>
          </w:tcPr>
          <w:p w14:paraId="1577833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Output growth is positive, but rising production has not eliminated seasonal and maintenance-related deficits.</w:t>
            </w:r>
          </w:p>
        </w:tc>
      </w:tr>
      <w:tr w:rsidR="0024798C" w:rsidRPr="00FB6EB3" w14:paraId="71B7787D" w14:textId="77777777" w:rsidTr="00FB6EB3">
        <w:tc>
          <w:tcPr>
            <w:tcW w:w="2880" w:type="dxa"/>
          </w:tcPr>
          <w:p w14:paraId="56F4967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Average current gas supply</w:t>
            </w:r>
          </w:p>
        </w:tc>
        <w:tc>
          <w:tcPr>
            <w:tcW w:w="2088" w:type="dxa"/>
          </w:tcPr>
          <w:p w14:paraId="003C360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425 MMscfd (2025)</w:t>
            </w:r>
          </w:p>
        </w:tc>
        <w:tc>
          <w:tcPr>
            <w:tcW w:w="4680" w:type="dxa"/>
          </w:tcPr>
          <w:p w14:paraId="20F1A79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Confirms gas as a system anchor, yet supply remains below combined power and industrial requirements.</w:t>
            </w:r>
          </w:p>
        </w:tc>
      </w:tr>
      <w:tr w:rsidR="0024798C" w:rsidRPr="00FB6EB3" w14:paraId="6A08E2BA" w14:textId="77777777" w:rsidTr="00FB6EB3">
        <w:tc>
          <w:tcPr>
            <w:tcW w:w="2880" w:type="dxa"/>
          </w:tcPr>
          <w:p w14:paraId="26964ED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Gas share in electricity generation</w:t>
            </w:r>
          </w:p>
        </w:tc>
        <w:tc>
          <w:tcPr>
            <w:tcW w:w="2088" w:type="dxa"/>
          </w:tcPr>
          <w:p w14:paraId="6F5A880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About 70% (2025); thermal generation 66.8% in 2025 and 73.0% projected in 2026</w:t>
            </w:r>
          </w:p>
        </w:tc>
        <w:tc>
          <w:tcPr>
            <w:tcW w:w="4680" w:type="dxa"/>
          </w:tcPr>
          <w:p w14:paraId="7F22830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The power system is structurally exposed to gas disruptions and liquid-fuel fallback costs.</w:t>
            </w:r>
          </w:p>
        </w:tc>
      </w:tr>
      <w:tr w:rsidR="0024798C" w:rsidRPr="00FB6EB3" w14:paraId="234FC01F" w14:textId="77777777" w:rsidTr="00FB6EB3">
        <w:tc>
          <w:tcPr>
            <w:tcW w:w="2880" w:type="dxa"/>
          </w:tcPr>
          <w:p w14:paraId="71EEF54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2026 base-case power-sector gas demand</w:t>
            </w:r>
          </w:p>
        </w:tc>
        <w:tc>
          <w:tcPr>
            <w:tcW w:w="2088" w:type="dxa"/>
          </w:tcPr>
          <w:p w14:paraId="77447A5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185.93 </w:t>
            </w:r>
            <w:proofErr w:type="spellStart"/>
            <w:r w:rsidRPr="00FB6EB3">
              <w:rPr>
                <w:rFonts w:ascii="Times New Roman" w:hAnsi="Times New Roman" w:cs="Times New Roman"/>
                <w:sz w:val="24"/>
                <w:szCs w:val="24"/>
              </w:rPr>
              <w:t>TBtu</w:t>
            </w:r>
            <w:proofErr w:type="spellEnd"/>
          </w:p>
        </w:tc>
        <w:tc>
          <w:tcPr>
            <w:tcW w:w="4680" w:type="dxa"/>
          </w:tcPr>
          <w:p w14:paraId="1917060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Midstream expansion and demand-side efficiency are both urgent.</w:t>
            </w:r>
          </w:p>
        </w:tc>
      </w:tr>
      <w:tr w:rsidR="0024798C" w:rsidRPr="00FB6EB3" w14:paraId="0A5F9A73" w14:textId="77777777" w:rsidTr="00FB6EB3">
        <w:tc>
          <w:tcPr>
            <w:tcW w:w="2880" w:type="dxa"/>
          </w:tcPr>
          <w:p w14:paraId="458A1CD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2026 peak demand / dependable capacity</w:t>
            </w:r>
          </w:p>
        </w:tc>
        <w:tc>
          <w:tcPr>
            <w:tcW w:w="2088" w:type="dxa"/>
          </w:tcPr>
          <w:p w14:paraId="5E81F53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4,581 MW / 5,455 MW</w:t>
            </w:r>
          </w:p>
        </w:tc>
        <w:tc>
          <w:tcPr>
            <w:tcW w:w="4680" w:type="dxa"/>
          </w:tcPr>
          <w:p w14:paraId="3AA94241"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Reserve margins remain inadequate; fuel and grid reliability matter as much as installed capacity.</w:t>
            </w:r>
          </w:p>
        </w:tc>
      </w:tr>
    </w:tbl>
    <w:p w14:paraId="10B4D14C" w14:textId="77777777" w:rsidR="0024798C"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Source: GNPC Annual Report 2024; GNPC West Africa Gas Summit remarks, July 2025; Energy Outlook for Ghana 2025 and 2026.</w:t>
      </w:r>
    </w:p>
    <w:p w14:paraId="07164434" w14:textId="77777777" w:rsidR="00FB6EB3" w:rsidRPr="00FB6EB3" w:rsidRDefault="00FB6EB3" w:rsidP="00FB6EB3">
      <w:pPr>
        <w:jc w:val="both"/>
        <w:rPr>
          <w:rFonts w:ascii="Times New Roman" w:hAnsi="Times New Roman" w:cs="Times New Roman"/>
          <w:sz w:val="24"/>
          <w:szCs w:val="24"/>
        </w:rPr>
      </w:pPr>
    </w:p>
    <w:p w14:paraId="08548F43"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2. Assessment of Gas Infrastructure</w:t>
      </w:r>
    </w:p>
    <w:p w14:paraId="2F08B670" w14:textId="3B76D4B9"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The midstream system has improved materially, but it still lacks resilience. Ghana Gas operates the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Gas Processing Plant (GPP), which processes raw gas from Jubilee and TEN into lean gas, LPG, and condensate and feeds a pipeline network connecting western supply to major demand centers. Yet the state’s own 2025 GPP2 announcement acknowledged that the current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plant handles only about 120 MMscfd</w:t>
      </w:r>
      <w:r w:rsidR="00FB6EB3">
        <w:rPr>
          <w:rFonts w:ascii="Times New Roman" w:hAnsi="Times New Roman" w:cs="Times New Roman"/>
          <w:sz w:val="24"/>
          <w:szCs w:val="24"/>
        </w:rPr>
        <w:t xml:space="preserve"> </w:t>
      </w:r>
      <w:r w:rsidRPr="00FB6EB3">
        <w:rPr>
          <w:rFonts w:ascii="Times New Roman" w:hAnsi="Times New Roman" w:cs="Times New Roman"/>
          <w:sz w:val="24"/>
          <w:szCs w:val="24"/>
        </w:rPr>
        <w:t>insufficient for a system increasingly dependent on gas for both power and industry (Ghana Gas, 2026; Ministry of Energy and Green Transition, 2025b).</w:t>
      </w:r>
    </w:p>
    <w:p w14:paraId="7C4BA9E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Transport flexibility has improved through WAGP and the Takoradi-Tema Interconnection Project (TTIP).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xml:space="preserve"> reports Ghana station capacities of 235 MMscfd at Tema, 128 MMscfd exit at Takoradi, and 225 MMscfd entry at Takoradi, enabling reverse flow from western domestic gas into eastern demand centers. That is a major strategic strength: it transforms WAGP from an import-only line into a balancing corridor. However, it does not eliminate the underlying exposure to maintenance outages, compressor failures, and upstream under-delivery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2025; GNPC, 2025a).</w:t>
      </w:r>
    </w:p>
    <w:p w14:paraId="7DC1B3C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The delayed LNG option remains the largest unresolved redundancy gap. Ghana’s 2025 Energy Outlook stated that LNG imports were not expected in 2025 because the Tema LNG facility had not been commissioned. GNPC said in July 2025 that it was working to operationalize the terminal in 2026. Earlier project documentation indicates a design of </w:t>
      </w:r>
      <w:r w:rsidRPr="00FB6EB3">
        <w:rPr>
          <w:rFonts w:ascii="Times New Roman" w:hAnsi="Times New Roman" w:cs="Times New Roman"/>
          <w:sz w:val="24"/>
          <w:szCs w:val="24"/>
        </w:rPr>
        <w:lastRenderedPageBreak/>
        <w:t xml:space="preserve">roughly 1.7 </w:t>
      </w:r>
      <w:proofErr w:type="spellStart"/>
      <w:r w:rsidRPr="00FB6EB3">
        <w:rPr>
          <w:rFonts w:ascii="Times New Roman" w:hAnsi="Times New Roman" w:cs="Times New Roman"/>
          <w:sz w:val="24"/>
          <w:szCs w:val="24"/>
        </w:rPr>
        <w:t>mtpa</w:t>
      </w:r>
      <w:proofErr w:type="spellEnd"/>
      <w:r w:rsidRPr="00FB6EB3">
        <w:rPr>
          <w:rFonts w:ascii="Times New Roman" w:hAnsi="Times New Roman" w:cs="Times New Roman"/>
          <w:sz w:val="24"/>
          <w:szCs w:val="24"/>
        </w:rPr>
        <w:t xml:space="preserve"> and around 240 MMscfd of gas send-out, connected by a 6 km pipeline into the Tema enclave. Until that redundancy becomes real, the system remains exposed to simultaneous upstream and pipeline maintenance shocks (Energy Commission of Ghana, 2025; GNPC, 2025a; </w:t>
      </w:r>
      <w:proofErr w:type="spellStart"/>
      <w:r w:rsidRPr="00FB6EB3">
        <w:rPr>
          <w:rFonts w:ascii="Times New Roman" w:hAnsi="Times New Roman" w:cs="Times New Roman"/>
          <w:sz w:val="24"/>
          <w:szCs w:val="24"/>
        </w:rPr>
        <w:t>Reganosa</w:t>
      </w:r>
      <w:proofErr w:type="spellEnd"/>
      <w:r w:rsidRPr="00FB6EB3">
        <w:rPr>
          <w:rFonts w:ascii="Times New Roman" w:hAnsi="Times New Roman" w:cs="Times New Roman"/>
          <w:sz w:val="24"/>
          <w:szCs w:val="24"/>
        </w:rPr>
        <w:t>, 2021).</w:t>
      </w:r>
    </w:p>
    <w:tbl>
      <w:tblPr>
        <w:tblStyle w:val="TableGrid"/>
        <w:tblpPr w:leftFromText="180" w:rightFromText="180" w:vertAnchor="text" w:tblpY="53"/>
        <w:tblW w:w="0" w:type="auto"/>
        <w:tblLook w:val="04A0" w:firstRow="1" w:lastRow="0" w:firstColumn="1" w:lastColumn="0" w:noHBand="0" w:noVBand="1"/>
      </w:tblPr>
      <w:tblGrid>
        <w:gridCol w:w="1958"/>
        <w:gridCol w:w="1629"/>
        <w:gridCol w:w="2016"/>
        <w:gridCol w:w="1834"/>
        <w:gridCol w:w="1805"/>
      </w:tblGrid>
      <w:tr w:rsidR="00FB6EB3" w:rsidRPr="00FB6EB3" w14:paraId="4A97A3F3" w14:textId="77777777" w:rsidTr="00FB6EB3">
        <w:tc>
          <w:tcPr>
            <w:tcW w:w="1958" w:type="dxa"/>
          </w:tcPr>
          <w:p w14:paraId="5990FDA1" w14:textId="77777777" w:rsidR="00FB6EB3" w:rsidRPr="00FB6EB3" w:rsidRDefault="00FB6EB3"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Infrastructure</w:t>
            </w:r>
          </w:p>
        </w:tc>
        <w:tc>
          <w:tcPr>
            <w:tcW w:w="1629" w:type="dxa"/>
          </w:tcPr>
          <w:p w14:paraId="2A5EEA86" w14:textId="77777777" w:rsidR="00FB6EB3" w:rsidRPr="00FB6EB3" w:rsidRDefault="00FB6EB3"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Capacity</w:t>
            </w:r>
          </w:p>
        </w:tc>
        <w:tc>
          <w:tcPr>
            <w:tcW w:w="2016" w:type="dxa"/>
          </w:tcPr>
          <w:p w14:paraId="1657E9C7" w14:textId="77777777" w:rsidR="00FB6EB3" w:rsidRPr="00FB6EB3" w:rsidRDefault="00FB6EB3"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Current status</w:t>
            </w:r>
          </w:p>
        </w:tc>
        <w:tc>
          <w:tcPr>
            <w:tcW w:w="1834" w:type="dxa"/>
          </w:tcPr>
          <w:p w14:paraId="45B03BA1" w14:textId="77777777" w:rsidR="00FB6EB3" w:rsidRPr="00FB6EB3" w:rsidRDefault="00FB6EB3"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Key challenges</w:t>
            </w:r>
          </w:p>
        </w:tc>
        <w:tc>
          <w:tcPr>
            <w:tcW w:w="1805" w:type="dxa"/>
          </w:tcPr>
          <w:p w14:paraId="14EC5C25" w14:textId="77777777" w:rsidR="00FB6EB3" w:rsidRPr="00FB6EB3" w:rsidRDefault="00FB6EB3"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Strategic importance</w:t>
            </w:r>
          </w:p>
        </w:tc>
      </w:tr>
      <w:tr w:rsidR="00FB6EB3" w:rsidRPr="00FB6EB3" w14:paraId="775824AA" w14:textId="77777777" w:rsidTr="00FB6EB3">
        <w:tc>
          <w:tcPr>
            <w:tcW w:w="1958" w:type="dxa"/>
          </w:tcPr>
          <w:p w14:paraId="36797712" w14:textId="77777777" w:rsidR="00FB6EB3" w:rsidRPr="00FB6EB3" w:rsidRDefault="00FB6EB3" w:rsidP="00FB6EB3">
            <w:pPr>
              <w:jc w:val="both"/>
              <w:rPr>
                <w:rFonts w:ascii="Times New Roman" w:hAnsi="Times New Roman" w:cs="Times New Roman"/>
                <w:sz w:val="24"/>
                <w:szCs w:val="24"/>
              </w:rPr>
            </w:pP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Gas Processing Plant</w:t>
            </w:r>
          </w:p>
        </w:tc>
        <w:tc>
          <w:tcPr>
            <w:tcW w:w="1629" w:type="dxa"/>
          </w:tcPr>
          <w:p w14:paraId="6CD9C68D"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120 MMscfd current processing base acknowledged by government</w:t>
            </w:r>
          </w:p>
        </w:tc>
        <w:tc>
          <w:tcPr>
            <w:tcW w:w="2016" w:type="dxa"/>
          </w:tcPr>
          <w:p w14:paraId="79A30754"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Operating</w:t>
            </w:r>
          </w:p>
        </w:tc>
        <w:tc>
          <w:tcPr>
            <w:tcW w:w="1834" w:type="dxa"/>
          </w:tcPr>
          <w:p w14:paraId="7E5D284F"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Single-point processing dependence; limited redundancy; NGL capture constraints</w:t>
            </w:r>
          </w:p>
        </w:tc>
        <w:tc>
          <w:tcPr>
            <w:tcW w:w="1805" w:type="dxa"/>
          </w:tcPr>
          <w:p w14:paraId="56E05635"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Core domestic processing node for Jubilee/TEN gas and power-sector fuel supply</w:t>
            </w:r>
          </w:p>
        </w:tc>
      </w:tr>
      <w:tr w:rsidR="00FB6EB3" w:rsidRPr="00FB6EB3" w14:paraId="2F5D532B" w14:textId="77777777" w:rsidTr="00FB6EB3">
        <w:tc>
          <w:tcPr>
            <w:tcW w:w="1958" w:type="dxa"/>
          </w:tcPr>
          <w:p w14:paraId="0B837FCD"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Second Gas Processing Plant (GPP2)</w:t>
            </w:r>
          </w:p>
        </w:tc>
        <w:tc>
          <w:tcPr>
            <w:tcW w:w="1629" w:type="dxa"/>
          </w:tcPr>
          <w:p w14:paraId="4ECAA0A2"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Not yet finalized; designed to expand processing beyond current 120 MMscfd</w:t>
            </w:r>
          </w:p>
        </w:tc>
        <w:tc>
          <w:tcPr>
            <w:tcW w:w="2016" w:type="dxa"/>
          </w:tcPr>
          <w:p w14:paraId="4E81336D"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Implementation committee inaugurated May 2025</w:t>
            </w:r>
          </w:p>
        </w:tc>
        <w:tc>
          <w:tcPr>
            <w:tcW w:w="1834" w:type="dxa"/>
          </w:tcPr>
          <w:p w14:paraId="4D9ECEDD"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Financing, EPC execution, schedule credibility</w:t>
            </w:r>
          </w:p>
        </w:tc>
        <w:tc>
          <w:tcPr>
            <w:tcW w:w="1805" w:type="dxa"/>
          </w:tcPr>
          <w:p w14:paraId="6072CE33"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Most important medium-term resilience project in the chain</w:t>
            </w:r>
          </w:p>
        </w:tc>
      </w:tr>
      <w:tr w:rsidR="00FB6EB3" w:rsidRPr="00FB6EB3" w14:paraId="2C06A31B" w14:textId="77777777" w:rsidTr="00FB6EB3">
        <w:tc>
          <w:tcPr>
            <w:tcW w:w="1958" w:type="dxa"/>
          </w:tcPr>
          <w:p w14:paraId="2A4C6DE4"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WAGP / TTIP-linked corridor</w:t>
            </w:r>
          </w:p>
        </w:tc>
        <w:tc>
          <w:tcPr>
            <w:tcW w:w="1629" w:type="dxa"/>
          </w:tcPr>
          <w:p w14:paraId="5120926D"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Tema </w:t>
            </w:r>
            <w:proofErr w:type="gramStart"/>
            <w:r w:rsidRPr="00FB6EB3">
              <w:rPr>
                <w:rFonts w:ascii="Times New Roman" w:hAnsi="Times New Roman" w:cs="Times New Roman"/>
                <w:sz w:val="24"/>
                <w:szCs w:val="24"/>
              </w:rPr>
              <w:t>exit</w:t>
            </w:r>
            <w:proofErr w:type="gramEnd"/>
            <w:r w:rsidRPr="00FB6EB3">
              <w:rPr>
                <w:rFonts w:ascii="Times New Roman" w:hAnsi="Times New Roman" w:cs="Times New Roman"/>
                <w:sz w:val="24"/>
                <w:szCs w:val="24"/>
              </w:rPr>
              <w:t xml:space="preserve"> 235 MMscfd; Takoradi exit 128 MMscfd; Takoradi entry 225 MMscfd</w:t>
            </w:r>
          </w:p>
        </w:tc>
        <w:tc>
          <w:tcPr>
            <w:tcW w:w="2016" w:type="dxa"/>
          </w:tcPr>
          <w:p w14:paraId="699E4E31"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Operational</w:t>
            </w:r>
          </w:p>
        </w:tc>
        <w:tc>
          <w:tcPr>
            <w:tcW w:w="1834" w:type="dxa"/>
          </w:tcPr>
          <w:p w14:paraId="792A8B88"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Maintenance outages, cross-border supply dependence, compressor risk</w:t>
            </w:r>
          </w:p>
        </w:tc>
        <w:tc>
          <w:tcPr>
            <w:tcW w:w="1805" w:type="dxa"/>
          </w:tcPr>
          <w:p w14:paraId="7037E986"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Provides import capability and west-east balancing flexibility</w:t>
            </w:r>
          </w:p>
        </w:tc>
      </w:tr>
      <w:tr w:rsidR="00FB6EB3" w:rsidRPr="00FB6EB3" w14:paraId="39AEE345" w14:textId="77777777" w:rsidTr="00FB6EB3">
        <w:tc>
          <w:tcPr>
            <w:tcW w:w="1958" w:type="dxa"/>
          </w:tcPr>
          <w:p w14:paraId="15AC0C2B"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Tema LNG terminal</w:t>
            </w:r>
          </w:p>
        </w:tc>
        <w:tc>
          <w:tcPr>
            <w:tcW w:w="1629" w:type="dxa"/>
          </w:tcPr>
          <w:p w14:paraId="045B7A6F"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~1.7 </w:t>
            </w:r>
            <w:proofErr w:type="spellStart"/>
            <w:r w:rsidRPr="00FB6EB3">
              <w:rPr>
                <w:rFonts w:ascii="Times New Roman" w:hAnsi="Times New Roman" w:cs="Times New Roman"/>
                <w:sz w:val="24"/>
                <w:szCs w:val="24"/>
              </w:rPr>
              <w:t>mtpa</w:t>
            </w:r>
            <w:proofErr w:type="spellEnd"/>
            <w:r w:rsidRPr="00FB6EB3">
              <w:rPr>
                <w:rFonts w:ascii="Times New Roman" w:hAnsi="Times New Roman" w:cs="Times New Roman"/>
                <w:sz w:val="24"/>
                <w:szCs w:val="24"/>
              </w:rPr>
              <w:t>; ~240 MMscfd send-out design</w:t>
            </w:r>
          </w:p>
        </w:tc>
        <w:tc>
          <w:tcPr>
            <w:tcW w:w="2016" w:type="dxa"/>
          </w:tcPr>
          <w:p w14:paraId="44749944"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Delayed; </w:t>
            </w:r>
            <w:proofErr w:type="spellStart"/>
            <w:r w:rsidRPr="00FB6EB3">
              <w:rPr>
                <w:rFonts w:ascii="Times New Roman" w:hAnsi="Times New Roman" w:cs="Times New Roman"/>
                <w:sz w:val="24"/>
                <w:szCs w:val="24"/>
              </w:rPr>
              <w:t>uncommissioned</w:t>
            </w:r>
            <w:proofErr w:type="spellEnd"/>
            <w:r w:rsidRPr="00FB6EB3">
              <w:rPr>
                <w:rFonts w:ascii="Times New Roman" w:hAnsi="Times New Roman" w:cs="Times New Roman"/>
                <w:sz w:val="24"/>
                <w:szCs w:val="24"/>
              </w:rPr>
              <w:t xml:space="preserve"> in 2025, targeted for 2026 operationalization</w:t>
            </w:r>
          </w:p>
        </w:tc>
        <w:tc>
          <w:tcPr>
            <w:tcW w:w="1834" w:type="dxa"/>
          </w:tcPr>
          <w:p w14:paraId="48288E3C"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Repeated slippage; integration and commercial readiness</w:t>
            </w:r>
          </w:p>
        </w:tc>
        <w:tc>
          <w:tcPr>
            <w:tcW w:w="1805" w:type="dxa"/>
          </w:tcPr>
          <w:p w14:paraId="56E5670B"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Would create the only meaningful redundancy to domestic and WAGP supply shocks</w:t>
            </w:r>
          </w:p>
        </w:tc>
      </w:tr>
      <w:tr w:rsidR="00FB6EB3" w:rsidRPr="00FB6EB3" w14:paraId="66B4078B" w14:textId="77777777" w:rsidTr="00FB6EB3">
        <w:tc>
          <w:tcPr>
            <w:tcW w:w="1958" w:type="dxa"/>
          </w:tcPr>
          <w:p w14:paraId="0551927B"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Tema City Gate &amp; gas distribution network</w:t>
            </w:r>
          </w:p>
        </w:tc>
        <w:tc>
          <w:tcPr>
            <w:tcW w:w="1629" w:type="dxa"/>
          </w:tcPr>
          <w:p w14:paraId="256D25F1"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FEED 66.6% complete by end-2024</w:t>
            </w:r>
          </w:p>
        </w:tc>
        <w:tc>
          <w:tcPr>
            <w:tcW w:w="2016" w:type="dxa"/>
          </w:tcPr>
          <w:p w14:paraId="67555D4C"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Planned</w:t>
            </w:r>
          </w:p>
        </w:tc>
        <w:tc>
          <w:tcPr>
            <w:tcW w:w="1834" w:type="dxa"/>
          </w:tcPr>
          <w:p w14:paraId="50E92924"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Execution and financing risk</w:t>
            </w:r>
          </w:p>
        </w:tc>
        <w:tc>
          <w:tcPr>
            <w:tcW w:w="1805" w:type="dxa"/>
          </w:tcPr>
          <w:p w14:paraId="1BDC1F93"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Needed to monetize gas in the Tema industrial enclave and deepen non-power demand</w:t>
            </w:r>
          </w:p>
        </w:tc>
      </w:tr>
      <w:tr w:rsidR="00FB6EB3" w:rsidRPr="00FB6EB3" w14:paraId="29077725" w14:textId="77777777" w:rsidTr="00FB6EB3">
        <w:tc>
          <w:tcPr>
            <w:tcW w:w="1958" w:type="dxa"/>
          </w:tcPr>
          <w:p w14:paraId="239241BB"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VRA gas / dual-fuel thermal fleet</w:t>
            </w:r>
          </w:p>
        </w:tc>
        <w:tc>
          <w:tcPr>
            <w:tcW w:w="1629" w:type="dxa"/>
          </w:tcPr>
          <w:p w14:paraId="3CF05B6E"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TAPCO 330 MW; TICO 340 MW; TT1PP 110 MW; TT2PP 80 MW; </w:t>
            </w:r>
            <w:proofErr w:type="spellStart"/>
            <w:r w:rsidRPr="00FB6EB3">
              <w:rPr>
                <w:rFonts w:ascii="Times New Roman" w:hAnsi="Times New Roman" w:cs="Times New Roman"/>
                <w:sz w:val="24"/>
                <w:szCs w:val="24"/>
              </w:rPr>
              <w:lastRenderedPageBreak/>
              <w:t>Kpone</w:t>
            </w:r>
            <w:proofErr w:type="spellEnd"/>
            <w:r w:rsidRPr="00FB6EB3">
              <w:rPr>
                <w:rFonts w:ascii="Times New Roman" w:hAnsi="Times New Roman" w:cs="Times New Roman"/>
                <w:sz w:val="24"/>
                <w:szCs w:val="24"/>
              </w:rPr>
              <w:t xml:space="preserve"> 220 MW; </w:t>
            </w:r>
            <w:proofErr w:type="spellStart"/>
            <w:r w:rsidRPr="00FB6EB3">
              <w:rPr>
                <w:rFonts w:ascii="Times New Roman" w:hAnsi="Times New Roman" w:cs="Times New Roman"/>
                <w:sz w:val="24"/>
                <w:szCs w:val="24"/>
              </w:rPr>
              <w:t>Anwomaso</w:t>
            </w:r>
            <w:proofErr w:type="spellEnd"/>
            <w:r w:rsidRPr="00FB6EB3">
              <w:rPr>
                <w:rFonts w:ascii="Times New Roman" w:hAnsi="Times New Roman" w:cs="Times New Roman"/>
                <w:sz w:val="24"/>
                <w:szCs w:val="24"/>
              </w:rPr>
              <w:t xml:space="preserve"> 150 MW currently available</w:t>
            </w:r>
          </w:p>
        </w:tc>
        <w:tc>
          <w:tcPr>
            <w:tcW w:w="2016" w:type="dxa"/>
          </w:tcPr>
          <w:p w14:paraId="6BF06326"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Installed/operating</w:t>
            </w:r>
          </w:p>
        </w:tc>
        <w:tc>
          <w:tcPr>
            <w:tcW w:w="1834" w:type="dxa"/>
          </w:tcPr>
          <w:p w14:paraId="0018A0FE"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Fuel switching costs; gas delivery reliability; reserve shortfalls</w:t>
            </w:r>
          </w:p>
        </w:tc>
        <w:tc>
          <w:tcPr>
            <w:tcW w:w="1805" w:type="dxa"/>
          </w:tcPr>
          <w:p w14:paraId="4BE4F13C" w14:textId="77777777" w:rsidR="00FB6EB3" w:rsidRP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Demonstrates that power demand exists for additional reliable gas supply</w:t>
            </w:r>
          </w:p>
        </w:tc>
      </w:tr>
    </w:tbl>
    <w:p w14:paraId="203B196E" w14:textId="77777777" w:rsidR="00FB6EB3" w:rsidRDefault="00FB6EB3"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 </w:t>
      </w:r>
    </w:p>
    <w:p w14:paraId="0B1A76E5" w14:textId="6133EDEA"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Power generation assets exist, but dependable fueling is the constraint. VRA alone lists 1,230 MW of gas or dual-fuel thermal capacity across Takoradi, Tema, </w:t>
      </w:r>
      <w:proofErr w:type="spellStart"/>
      <w:r w:rsidRPr="00FB6EB3">
        <w:rPr>
          <w:rFonts w:ascii="Times New Roman" w:hAnsi="Times New Roman" w:cs="Times New Roman"/>
          <w:sz w:val="24"/>
          <w:szCs w:val="24"/>
        </w:rPr>
        <w:t>Kpone</w:t>
      </w:r>
      <w:proofErr w:type="spellEnd"/>
      <w:r w:rsidRPr="00FB6EB3">
        <w:rPr>
          <w:rFonts w:ascii="Times New Roman" w:hAnsi="Times New Roman" w:cs="Times New Roman"/>
          <w:sz w:val="24"/>
          <w:szCs w:val="24"/>
        </w:rPr>
        <w:t xml:space="preserve">, and </w:t>
      </w:r>
      <w:proofErr w:type="spellStart"/>
      <w:r w:rsidRPr="00FB6EB3">
        <w:rPr>
          <w:rFonts w:ascii="Times New Roman" w:hAnsi="Times New Roman" w:cs="Times New Roman"/>
          <w:sz w:val="24"/>
          <w:szCs w:val="24"/>
        </w:rPr>
        <w:t>Anwomaso</w:t>
      </w:r>
      <w:proofErr w:type="spellEnd"/>
      <w:r w:rsidRPr="00FB6EB3">
        <w:rPr>
          <w:rFonts w:ascii="Times New Roman" w:hAnsi="Times New Roman" w:cs="Times New Roman"/>
          <w:sz w:val="24"/>
          <w:szCs w:val="24"/>
        </w:rPr>
        <w:t>, in addition to non-VRA thermal plants within the national fleet. The practical bottleneck is not nominal installed capacity; it is the reliability, timing, and price of gas delivered to those plants (VRA, 2026; Energy Commission of Ghana, 2026).</w:t>
      </w:r>
    </w:p>
    <w:p w14:paraId="3A47285D" w14:textId="77777777" w:rsidR="0024798C"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Ghana Gas operations pages; Ministry of Energy and Green Transition GPP2 statement;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xml:space="preserve"> Sustainability Report 2024; VRA Facts &amp; Figures; </w:t>
      </w:r>
      <w:proofErr w:type="spellStart"/>
      <w:r w:rsidRPr="00FB6EB3">
        <w:rPr>
          <w:rFonts w:ascii="Times New Roman" w:hAnsi="Times New Roman" w:cs="Times New Roman"/>
          <w:sz w:val="24"/>
          <w:szCs w:val="24"/>
        </w:rPr>
        <w:t>Reganosa</w:t>
      </w:r>
      <w:proofErr w:type="spellEnd"/>
      <w:r w:rsidRPr="00FB6EB3">
        <w:rPr>
          <w:rFonts w:ascii="Times New Roman" w:hAnsi="Times New Roman" w:cs="Times New Roman"/>
          <w:sz w:val="24"/>
          <w:szCs w:val="24"/>
        </w:rPr>
        <w:t xml:space="preserve"> Tema LNG note; Energy Outlook 2025.</w:t>
      </w:r>
    </w:p>
    <w:p w14:paraId="611FE7C3" w14:textId="77777777" w:rsidR="00FB6EB3" w:rsidRPr="00FB6EB3" w:rsidRDefault="00FB6EB3" w:rsidP="00FB6EB3">
      <w:pPr>
        <w:jc w:val="both"/>
        <w:rPr>
          <w:rFonts w:ascii="Times New Roman" w:hAnsi="Times New Roman" w:cs="Times New Roman"/>
          <w:sz w:val="24"/>
          <w:szCs w:val="24"/>
        </w:rPr>
      </w:pPr>
    </w:p>
    <w:p w14:paraId="298AA812"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3. Policy and Investment Readiness Assessment</w:t>
      </w:r>
    </w:p>
    <w:p w14:paraId="475E774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The policy direction is improving faster than execution quality. The government, regulators, GNPC, and development partners have assembled most of the necessary building blocks: sector-recovery financing, a multi-year tariff framework, WACOG-based price harmonization, a Mission 300 investment compact, and an Energy Transition and Investment Plan that still assigns gas a transitional security role. The critical question is whether these reforms can overcome counterparty risk and delayed project delivery (World Bank, 2024a, 2024b, 2025; PURC, 2026;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2025).</w:t>
      </w:r>
    </w:p>
    <w:p w14:paraId="0E13D11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Investment readiness remains constrained by energy-sector arrears and utility underperformance. The World Bank estimated a 2023 annual power-sector revenue shortfall of US$1.3 billion, rising toward US$1.5 billion by 2027, with ECG arrears above US$2.4 billion at end-2022. This remains the single biggest deterrent to long-term private capital across the gas-to-power chain: investors can manage technical risk more easily than uncertain payment discipline (World Bank, 2024b).</w:t>
      </w:r>
    </w:p>
    <w:tbl>
      <w:tblPr>
        <w:tblStyle w:val="TableGrid"/>
        <w:tblW w:w="0" w:type="auto"/>
        <w:tblLook w:val="04A0" w:firstRow="1" w:lastRow="0" w:firstColumn="1" w:lastColumn="0" w:noHBand="0" w:noVBand="1"/>
      </w:tblPr>
      <w:tblGrid>
        <w:gridCol w:w="1873"/>
        <w:gridCol w:w="1988"/>
        <w:gridCol w:w="2144"/>
        <w:gridCol w:w="3237"/>
      </w:tblGrid>
      <w:tr w:rsidR="0024798C" w:rsidRPr="00FB6EB3" w14:paraId="5392F9A9" w14:textId="77777777" w:rsidTr="00FB6EB3">
        <w:tc>
          <w:tcPr>
            <w:tcW w:w="1944" w:type="dxa"/>
          </w:tcPr>
          <w:p w14:paraId="29492C75"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Policy / reform</w:t>
            </w:r>
          </w:p>
        </w:tc>
        <w:tc>
          <w:tcPr>
            <w:tcW w:w="2088" w:type="dxa"/>
          </w:tcPr>
          <w:p w14:paraId="773B5AD1"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Objective</w:t>
            </w:r>
          </w:p>
        </w:tc>
        <w:tc>
          <w:tcPr>
            <w:tcW w:w="1800" w:type="dxa"/>
          </w:tcPr>
          <w:p w14:paraId="3B180DB8"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Current status</w:t>
            </w:r>
          </w:p>
        </w:tc>
        <w:tc>
          <w:tcPr>
            <w:tcW w:w="3960" w:type="dxa"/>
          </w:tcPr>
          <w:p w14:paraId="24D3272F"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Strategic assessment</w:t>
            </w:r>
          </w:p>
        </w:tc>
      </w:tr>
      <w:tr w:rsidR="0024798C" w:rsidRPr="00FB6EB3" w14:paraId="7899E96C" w14:textId="77777777" w:rsidTr="00FB6EB3">
        <w:tc>
          <w:tcPr>
            <w:tcW w:w="1944" w:type="dxa"/>
          </w:tcPr>
          <w:p w14:paraId="48809C1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Energy Sector Recovery Program (2024)</w:t>
            </w:r>
          </w:p>
        </w:tc>
        <w:tc>
          <w:tcPr>
            <w:tcW w:w="2088" w:type="dxa"/>
          </w:tcPr>
          <w:p w14:paraId="08F0F41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Restore financial viability, improve economic dispatch, stop arrears accumulation</w:t>
            </w:r>
          </w:p>
        </w:tc>
        <w:tc>
          <w:tcPr>
            <w:tcW w:w="1800" w:type="dxa"/>
          </w:tcPr>
          <w:p w14:paraId="1ED04EF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US$250m IDA credit + US$10m grant approved; implementation underway</w:t>
            </w:r>
          </w:p>
        </w:tc>
        <w:tc>
          <w:tcPr>
            <w:tcW w:w="3960" w:type="dxa"/>
          </w:tcPr>
          <w:p w14:paraId="3871962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Strong signal to DFIs; success depends on loss reduction, collections, and invoice discipline rather than new policy announcements alone.</w:t>
            </w:r>
          </w:p>
        </w:tc>
      </w:tr>
      <w:tr w:rsidR="0024798C" w:rsidRPr="00FB6EB3" w14:paraId="7A736CBA" w14:textId="77777777" w:rsidTr="00FB6EB3">
        <w:tc>
          <w:tcPr>
            <w:tcW w:w="1944" w:type="dxa"/>
          </w:tcPr>
          <w:p w14:paraId="439CC83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MYTO / PURC major tariff review (2026-2030)</w:t>
            </w:r>
          </w:p>
        </w:tc>
        <w:tc>
          <w:tcPr>
            <w:tcW w:w="2088" w:type="dxa"/>
          </w:tcPr>
          <w:p w14:paraId="70BA137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Move toward predictable, cost-reflective gas and power tariffs</w:t>
            </w:r>
          </w:p>
        </w:tc>
        <w:tc>
          <w:tcPr>
            <w:tcW w:w="1800" w:type="dxa"/>
          </w:tcPr>
          <w:p w14:paraId="2D889CA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In force; WACOG retained; GNGLC revenue requirements </w:t>
            </w:r>
            <w:r w:rsidRPr="00FB6EB3">
              <w:rPr>
                <w:rFonts w:ascii="Times New Roman" w:hAnsi="Times New Roman" w:cs="Times New Roman"/>
                <w:sz w:val="24"/>
                <w:szCs w:val="24"/>
              </w:rPr>
              <w:lastRenderedPageBreak/>
              <w:t>approved</w:t>
            </w:r>
          </w:p>
        </w:tc>
        <w:tc>
          <w:tcPr>
            <w:tcW w:w="3960" w:type="dxa"/>
          </w:tcPr>
          <w:p w14:paraId="6CEDD0E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Positive for pricing transparency and investor visibility, but political follow-through remains essential.</w:t>
            </w:r>
          </w:p>
        </w:tc>
      </w:tr>
      <w:tr w:rsidR="0024798C" w:rsidRPr="00FB6EB3" w14:paraId="666E9CDC" w14:textId="77777777" w:rsidTr="00FB6EB3">
        <w:tc>
          <w:tcPr>
            <w:tcW w:w="1944" w:type="dxa"/>
          </w:tcPr>
          <w:p w14:paraId="391F1AE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WACOG gas-price harmonization</w:t>
            </w:r>
          </w:p>
        </w:tc>
        <w:tc>
          <w:tcPr>
            <w:tcW w:w="2088" w:type="dxa"/>
          </w:tcPr>
          <w:p w14:paraId="7956CE3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Create a uniform cost platform across gas sources</w:t>
            </w:r>
          </w:p>
        </w:tc>
        <w:tc>
          <w:tcPr>
            <w:tcW w:w="1800" w:type="dxa"/>
          </w:tcPr>
          <w:p w14:paraId="1232728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Maintained in 2026-2030 review; approved WACOG US$7.8749/MMBtu</w:t>
            </w:r>
          </w:p>
        </w:tc>
        <w:tc>
          <w:tcPr>
            <w:tcW w:w="3960" w:type="dxa"/>
          </w:tcPr>
          <w:p w14:paraId="34601E1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Improves comparability and dispatch efficiency; does not remove counterparty risk.</w:t>
            </w:r>
          </w:p>
        </w:tc>
      </w:tr>
      <w:tr w:rsidR="0024798C" w:rsidRPr="00FB6EB3" w14:paraId="070744C3" w14:textId="77777777" w:rsidTr="00FB6EB3">
        <w:tc>
          <w:tcPr>
            <w:tcW w:w="1944" w:type="dxa"/>
          </w:tcPr>
          <w:p w14:paraId="3C849B9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National Energy Compact / Mission 300</w:t>
            </w:r>
          </w:p>
        </w:tc>
        <w:tc>
          <w:tcPr>
            <w:tcW w:w="2088" w:type="dxa"/>
          </w:tcPr>
          <w:p w14:paraId="4651800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Mobilize US$4.4bn for access, reliability, private capital, and grid strengthening</w:t>
            </w:r>
          </w:p>
        </w:tc>
        <w:tc>
          <w:tcPr>
            <w:tcW w:w="1800" w:type="dxa"/>
          </w:tcPr>
          <w:p w14:paraId="3FA9E27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Compact published in 2026</w:t>
            </w:r>
          </w:p>
        </w:tc>
        <w:tc>
          <w:tcPr>
            <w:tcW w:w="3960" w:type="dxa"/>
          </w:tcPr>
          <w:p w14:paraId="7361B91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Supports broader system bankability and regional integration; relevant to gas-to-power because &gt;60% of the current mix is gas-based.</w:t>
            </w:r>
          </w:p>
        </w:tc>
      </w:tr>
      <w:tr w:rsidR="0024798C" w:rsidRPr="00FB6EB3" w14:paraId="5075419F" w14:textId="77777777" w:rsidTr="00FB6EB3">
        <w:tc>
          <w:tcPr>
            <w:tcW w:w="1944" w:type="dxa"/>
          </w:tcPr>
          <w:p w14:paraId="3CE59B5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ETIP / transition framework</w:t>
            </w:r>
          </w:p>
        </w:tc>
        <w:tc>
          <w:tcPr>
            <w:tcW w:w="2088" w:type="dxa"/>
          </w:tcPr>
          <w:p w14:paraId="4F865DA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Use gas as bridge and later security fuel while expanding renewables and industrialization</w:t>
            </w:r>
          </w:p>
        </w:tc>
        <w:tc>
          <w:tcPr>
            <w:tcW w:w="1800" w:type="dxa"/>
          </w:tcPr>
          <w:p w14:paraId="70C2ECA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Policy direction established; implementation finance still emerging</w:t>
            </w:r>
          </w:p>
        </w:tc>
        <w:tc>
          <w:tcPr>
            <w:tcW w:w="3960" w:type="dxa"/>
          </w:tcPr>
          <w:p w14:paraId="00FEF7C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Helps frame gas as transition-compatible when tied to flare reduction, efficiency, and industrial use.</w:t>
            </w:r>
          </w:p>
        </w:tc>
      </w:tr>
      <w:tr w:rsidR="0024798C" w:rsidRPr="00FB6EB3" w14:paraId="356671B0" w14:textId="77777777" w:rsidTr="00FB6EB3">
        <w:tc>
          <w:tcPr>
            <w:tcW w:w="1944" w:type="dxa"/>
          </w:tcPr>
          <w:p w14:paraId="3D635BE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Gas Master Plan implementation / Tema network</w:t>
            </w:r>
          </w:p>
        </w:tc>
        <w:tc>
          <w:tcPr>
            <w:tcW w:w="2088" w:type="dxa"/>
          </w:tcPr>
          <w:p w14:paraId="27C9D53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Deepen domestic gas utilization and Tema enclave connectivity</w:t>
            </w:r>
          </w:p>
        </w:tc>
        <w:tc>
          <w:tcPr>
            <w:tcW w:w="1800" w:type="dxa"/>
          </w:tcPr>
          <w:p w14:paraId="05052AC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FEED substantially advanced; EPCF award pending</w:t>
            </w:r>
          </w:p>
        </w:tc>
        <w:tc>
          <w:tcPr>
            <w:tcW w:w="3960" w:type="dxa"/>
          </w:tcPr>
          <w:p w14:paraId="3245A8B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Important for monetization beyond power and for diversified gas demand.</w:t>
            </w:r>
          </w:p>
        </w:tc>
      </w:tr>
    </w:tbl>
    <w:p w14:paraId="3624346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World Bank Ghana ESRP press release and appraisal document; PURC 2026-2030 tariff decision; Ghana National Energy Compact; Ministry budget estimates;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xml:space="preserve"> ETIP.</w:t>
      </w:r>
    </w:p>
    <w:tbl>
      <w:tblPr>
        <w:tblStyle w:val="TableGrid"/>
        <w:tblW w:w="0" w:type="auto"/>
        <w:tblLook w:val="04A0" w:firstRow="1" w:lastRow="0" w:firstColumn="1" w:lastColumn="0" w:noHBand="0" w:noVBand="1"/>
      </w:tblPr>
      <w:tblGrid>
        <w:gridCol w:w="2763"/>
        <w:gridCol w:w="1485"/>
        <w:gridCol w:w="4994"/>
      </w:tblGrid>
      <w:tr w:rsidR="0024798C" w:rsidRPr="00FB6EB3" w14:paraId="78DE0AC1" w14:textId="77777777" w:rsidTr="00FB6EB3">
        <w:tc>
          <w:tcPr>
            <w:tcW w:w="2763" w:type="dxa"/>
          </w:tcPr>
          <w:p w14:paraId="25FBD1A7"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Dimension</w:t>
            </w:r>
          </w:p>
        </w:tc>
        <w:tc>
          <w:tcPr>
            <w:tcW w:w="1485" w:type="dxa"/>
          </w:tcPr>
          <w:p w14:paraId="48A6B2E8"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Rating (1-5)</w:t>
            </w:r>
          </w:p>
        </w:tc>
        <w:tc>
          <w:tcPr>
            <w:tcW w:w="4994" w:type="dxa"/>
          </w:tcPr>
          <w:p w14:paraId="3E2A53CF"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Analyst judgment</w:t>
            </w:r>
          </w:p>
        </w:tc>
      </w:tr>
      <w:tr w:rsidR="0024798C" w:rsidRPr="00FB6EB3" w14:paraId="68238CF1" w14:textId="77777777" w:rsidTr="00FB6EB3">
        <w:tc>
          <w:tcPr>
            <w:tcW w:w="2763" w:type="dxa"/>
          </w:tcPr>
          <w:p w14:paraId="794F972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Regulatory certainty</w:t>
            </w:r>
          </w:p>
        </w:tc>
        <w:tc>
          <w:tcPr>
            <w:tcW w:w="1485" w:type="dxa"/>
          </w:tcPr>
          <w:p w14:paraId="7D66BBE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3</w:t>
            </w:r>
          </w:p>
        </w:tc>
        <w:tc>
          <w:tcPr>
            <w:tcW w:w="4994" w:type="dxa"/>
          </w:tcPr>
          <w:p w14:paraId="6943C68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Framework is improving, but implementation discipline remains uneven.</w:t>
            </w:r>
          </w:p>
        </w:tc>
      </w:tr>
      <w:tr w:rsidR="0024798C" w:rsidRPr="00FB6EB3" w14:paraId="5F376868" w14:textId="77777777" w:rsidTr="00FB6EB3">
        <w:tc>
          <w:tcPr>
            <w:tcW w:w="2763" w:type="dxa"/>
          </w:tcPr>
          <w:p w14:paraId="36E2F55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Infrastructure readiness</w:t>
            </w:r>
          </w:p>
        </w:tc>
        <w:tc>
          <w:tcPr>
            <w:tcW w:w="1485" w:type="dxa"/>
          </w:tcPr>
          <w:p w14:paraId="3BEA9A6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w:t>
            </w:r>
          </w:p>
        </w:tc>
        <w:tc>
          <w:tcPr>
            <w:tcW w:w="4994" w:type="dxa"/>
          </w:tcPr>
          <w:p w14:paraId="3232BAD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Current system works, but redundancy is insufficient and LNG backup is delayed.</w:t>
            </w:r>
          </w:p>
        </w:tc>
      </w:tr>
      <w:tr w:rsidR="0024798C" w:rsidRPr="00FB6EB3" w14:paraId="62873EB8" w14:textId="77777777" w:rsidTr="00FB6EB3">
        <w:tc>
          <w:tcPr>
            <w:tcW w:w="2763" w:type="dxa"/>
          </w:tcPr>
          <w:p w14:paraId="6BAD397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Market attractiveness</w:t>
            </w:r>
          </w:p>
        </w:tc>
        <w:tc>
          <w:tcPr>
            <w:tcW w:w="1485" w:type="dxa"/>
          </w:tcPr>
          <w:p w14:paraId="6F837D3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4</w:t>
            </w:r>
          </w:p>
        </w:tc>
        <w:tc>
          <w:tcPr>
            <w:tcW w:w="4994" w:type="dxa"/>
          </w:tcPr>
          <w:p w14:paraId="2266F30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 demand growth, industrial gas potential, and regional-trade optionality are attractive.</w:t>
            </w:r>
          </w:p>
        </w:tc>
      </w:tr>
      <w:tr w:rsidR="0024798C" w:rsidRPr="00FB6EB3" w14:paraId="0D61ABC0" w14:textId="77777777" w:rsidTr="00FB6EB3">
        <w:tc>
          <w:tcPr>
            <w:tcW w:w="2763" w:type="dxa"/>
          </w:tcPr>
          <w:p w14:paraId="797E027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Financing availability</w:t>
            </w:r>
          </w:p>
        </w:tc>
        <w:tc>
          <w:tcPr>
            <w:tcW w:w="1485" w:type="dxa"/>
          </w:tcPr>
          <w:p w14:paraId="723279F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w:t>
            </w:r>
          </w:p>
        </w:tc>
        <w:tc>
          <w:tcPr>
            <w:tcW w:w="4994" w:type="dxa"/>
          </w:tcPr>
          <w:p w14:paraId="157D924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DFI interest exists, but private capital is constrained by arrears and execution risk.</w:t>
            </w:r>
          </w:p>
        </w:tc>
      </w:tr>
      <w:tr w:rsidR="0024798C" w:rsidRPr="00FB6EB3" w14:paraId="3A9E97AF" w14:textId="77777777" w:rsidTr="00FB6EB3">
        <w:tc>
          <w:tcPr>
            <w:tcW w:w="2763" w:type="dxa"/>
          </w:tcPr>
          <w:p w14:paraId="7706A52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Institutional capacity</w:t>
            </w:r>
          </w:p>
        </w:tc>
        <w:tc>
          <w:tcPr>
            <w:tcW w:w="1485" w:type="dxa"/>
          </w:tcPr>
          <w:p w14:paraId="54FC045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3</w:t>
            </w:r>
          </w:p>
        </w:tc>
        <w:tc>
          <w:tcPr>
            <w:tcW w:w="4994" w:type="dxa"/>
          </w:tcPr>
          <w:p w14:paraId="6340739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Core institutions are capable, but coordination and delivery speed remain mixed.</w:t>
            </w:r>
          </w:p>
        </w:tc>
      </w:tr>
      <w:tr w:rsidR="0024798C" w:rsidRPr="00FB6EB3" w14:paraId="0F72AEC5" w14:textId="77777777" w:rsidTr="00FB6EB3">
        <w:tc>
          <w:tcPr>
            <w:tcW w:w="2763" w:type="dxa"/>
          </w:tcPr>
          <w:p w14:paraId="712DE0C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Political stability</w:t>
            </w:r>
          </w:p>
        </w:tc>
        <w:tc>
          <w:tcPr>
            <w:tcW w:w="1485" w:type="dxa"/>
          </w:tcPr>
          <w:p w14:paraId="081501B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4</w:t>
            </w:r>
          </w:p>
        </w:tc>
        <w:tc>
          <w:tcPr>
            <w:tcW w:w="4994" w:type="dxa"/>
          </w:tcPr>
          <w:p w14:paraId="28EFB80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Ghana remains relatively stable and policy-accessible by regional standards.</w:t>
            </w:r>
          </w:p>
        </w:tc>
      </w:tr>
      <w:tr w:rsidR="0024798C" w:rsidRPr="00FB6EB3" w14:paraId="21228219" w14:textId="77777777" w:rsidTr="00FB6EB3">
        <w:tc>
          <w:tcPr>
            <w:tcW w:w="2763" w:type="dxa"/>
          </w:tcPr>
          <w:p w14:paraId="3DA77C1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Counterparty / payment security</w:t>
            </w:r>
          </w:p>
        </w:tc>
        <w:tc>
          <w:tcPr>
            <w:tcW w:w="1485" w:type="dxa"/>
          </w:tcPr>
          <w:p w14:paraId="5D4FF42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w:t>
            </w:r>
          </w:p>
        </w:tc>
        <w:tc>
          <w:tcPr>
            <w:tcW w:w="4994" w:type="dxa"/>
          </w:tcPr>
          <w:p w14:paraId="5F56D47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This is the system’s central bankability weakness.</w:t>
            </w:r>
          </w:p>
        </w:tc>
      </w:tr>
    </w:tbl>
    <w:p w14:paraId="79001329" w14:textId="19CC7824" w:rsidR="0024798C"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Author assessment based on Energy Commission of Ghana, World Bank, PURC, GNPC, Ministry of Energy and Green Transition, and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xml:space="preserve"> sources cited in this note.</w:t>
      </w:r>
    </w:p>
    <w:p w14:paraId="61F92021" w14:textId="77777777" w:rsidR="00FB6EB3" w:rsidRPr="00FB6EB3" w:rsidRDefault="00FB6EB3" w:rsidP="00FB6EB3">
      <w:pPr>
        <w:jc w:val="both"/>
        <w:rPr>
          <w:rFonts w:ascii="Times New Roman" w:hAnsi="Times New Roman" w:cs="Times New Roman"/>
          <w:sz w:val="24"/>
          <w:szCs w:val="24"/>
        </w:rPr>
      </w:pPr>
    </w:p>
    <w:p w14:paraId="12EC0FC5"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4. Strategic Risks and Opportunities</w:t>
      </w:r>
    </w:p>
    <w:p w14:paraId="0525C66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The risk profile is concentrated in five areas: upstream maintenance volatility, processing bottlenecks, LNG execution slippage, payment security, and transition-policy coherence. </w:t>
      </w:r>
      <w:r w:rsidRPr="00FB6EB3">
        <w:rPr>
          <w:rFonts w:ascii="Times New Roman" w:hAnsi="Times New Roman" w:cs="Times New Roman"/>
          <w:sz w:val="24"/>
          <w:szCs w:val="24"/>
        </w:rPr>
        <w:lastRenderedPageBreak/>
        <w:t>Climate risk does not displace gas in Ghana’s near-term power mix; rather, it changes the terms under which gas projects can attract capital. Projects linked to flare reduction, industrial switching, efficiency, or system flexibility will be easier to finance than purely expansionary baseload proposals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2025; Energy Commission of Ghana, 2026).</w:t>
      </w:r>
    </w:p>
    <w:tbl>
      <w:tblPr>
        <w:tblStyle w:val="TableGrid"/>
        <w:tblW w:w="0" w:type="auto"/>
        <w:tblLook w:val="04A0" w:firstRow="1" w:lastRow="0" w:firstColumn="1" w:lastColumn="0" w:noHBand="0" w:noVBand="1"/>
      </w:tblPr>
      <w:tblGrid>
        <w:gridCol w:w="2833"/>
        <w:gridCol w:w="1324"/>
        <w:gridCol w:w="1145"/>
        <w:gridCol w:w="3940"/>
      </w:tblGrid>
      <w:tr w:rsidR="0024798C" w:rsidRPr="00FB6EB3" w14:paraId="12AA4E42" w14:textId="77777777" w:rsidTr="00FB6EB3">
        <w:tc>
          <w:tcPr>
            <w:tcW w:w="3096" w:type="dxa"/>
          </w:tcPr>
          <w:p w14:paraId="1539C626"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Risk</w:t>
            </w:r>
          </w:p>
        </w:tc>
        <w:tc>
          <w:tcPr>
            <w:tcW w:w="1152" w:type="dxa"/>
          </w:tcPr>
          <w:p w14:paraId="64735A06"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Likelihood</w:t>
            </w:r>
          </w:p>
        </w:tc>
        <w:tc>
          <w:tcPr>
            <w:tcW w:w="1152" w:type="dxa"/>
          </w:tcPr>
          <w:p w14:paraId="38517731"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Impact</w:t>
            </w:r>
          </w:p>
        </w:tc>
        <w:tc>
          <w:tcPr>
            <w:tcW w:w="4320" w:type="dxa"/>
          </w:tcPr>
          <w:p w14:paraId="28565291" w14:textId="77777777" w:rsidR="0024798C" w:rsidRPr="00FB6EB3" w:rsidRDefault="00000000" w:rsidP="00FB6EB3">
            <w:pPr>
              <w:jc w:val="both"/>
              <w:rPr>
                <w:rFonts w:ascii="Times New Roman" w:hAnsi="Times New Roman" w:cs="Times New Roman"/>
                <w:b/>
                <w:bCs/>
                <w:sz w:val="24"/>
                <w:szCs w:val="24"/>
              </w:rPr>
            </w:pPr>
            <w:r w:rsidRPr="00FB6EB3">
              <w:rPr>
                <w:rFonts w:ascii="Times New Roman" w:hAnsi="Times New Roman" w:cs="Times New Roman"/>
                <w:b/>
                <w:bCs/>
                <w:sz w:val="24"/>
                <w:szCs w:val="24"/>
              </w:rPr>
              <w:t>Mitigation priority</w:t>
            </w:r>
          </w:p>
        </w:tc>
      </w:tr>
      <w:tr w:rsidR="0024798C" w:rsidRPr="00FB6EB3" w14:paraId="2587AE83" w14:textId="77777777" w:rsidTr="00FB6EB3">
        <w:tc>
          <w:tcPr>
            <w:tcW w:w="3096" w:type="dxa"/>
          </w:tcPr>
          <w:p w14:paraId="2A88FBB1"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Jubilee / Sankofa / WAGP maintenance outages</w:t>
            </w:r>
          </w:p>
        </w:tc>
        <w:tc>
          <w:tcPr>
            <w:tcW w:w="1152" w:type="dxa"/>
          </w:tcPr>
          <w:p w14:paraId="642C743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152" w:type="dxa"/>
          </w:tcPr>
          <w:p w14:paraId="1874382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4320" w:type="dxa"/>
          </w:tcPr>
          <w:p w14:paraId="3D9C056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high—secure redundancy fuel, maintenance coordination, and storage/balancing arrangements.</w:t>
            </w:r>
          </w:p>
        </w:tc>
      </w:tr>
      <w:tr w:rsidR="0024798C" w:rsidRPr="00FB6EB3" w14:paraId="7C14E8A4" w14:textId="77777777" w:rsidTr="00FB6EB3">
        <w:tc>
          <w:tcPr>
            <w:tcW w:w="3096" w:type="dxa"/>
          </w:tcPr>
          <w:p w14:paraId="613EA19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Single-hub processing dependence at </w:t>
            </w:r>
            <w:proofErr w:type="spellStart"/>
            <w:r w:rsidRPr="00FB6EB3">
              <w:rPr>
                <w:rFonts w:ascii="Times New Roman" w:hAnsi="Times New Roman" w:cs="Times New Roman"/>
                <w:sz w:val="24"/>
                <w:szCs w:val="24"/>
              </w:rPr>
              <w:t>Atuabo</w:t>
            </w:r>
            <w:proofErr w:type="spellEnd"/>
          </w:p>
        </w:tc>
        <w:tc>
          <w:tcPr>
            <w:tcW w:w="1152" w:type="dxa"/>
          </w:tcPr>
          <w:p w14:paraId="3ACB15E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152" w:type="dxa"/>
          </w:tcPr>
          <w:p w14:paraId="1C14CB5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4320" w:type="dxa"/>
          </w:tcPr>
          <w:p w14:paraId="64C887F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high—advance GPP2 and reliability upgrades at existing plant.</w:t>
            </w:r>
          </w:p>
        </w:tc>
      </w:tr>
      <w:tr w:rsidR="0024798C" w:rsidRPr="00FB6EB3" w14:paraId="0876CF06" w14:textId="77777777" w:rsidTr="00FB6EB3">
        <w:tc>
          <w:tcPr>
            <w:tcW w:w="3096" w:type="dxa"/>
          </w:tcPr>
          <w:p w14:paraId="492DDA9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Tema LNG delay beyond 2026</w:t>
            </w:r>
          </w:p>
        </w:tc>
        <w:tc>
          <w:tcPr>
            <w:tcW w:w="1152" w:type="dxa"/>
          </w:tcPr>
          <w:p w14:paraId="7F275B7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1152" w:type="dxa"/>
          </w:tcPr>
          <w:p w14:paraId="23ED068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4320" w:type="dxa"/>
          </w:tcPr>
          <w:p w14:paraId="57202D4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High—reset commercial structure and publish milestones.</w:t>
            </w:r>
          </w:p>
        </w:tc>
      </w:tr>
      <w:tr w:rsidR="0024798C" w:rsidRPr="00FB6EB3" w14:paraId="446303D5" w14:textId="77777777" w:rsidTr="00FB6EB3">
        <w:tc>
          <w:tcPr>
            <w:tcW w:w="3096" w:type="dxa"/>
          </w:tcPr>
          <w:p w14:paraId="50F0C9C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Sector arrears / off-taker payment stress</w:t>
            </w:r>
          </w:p>
        </w:tc>
        <w:tc>
          <w:tcPr>
            <w:tcW w:w="1152" w:type="dxa"/>
          </w:tcPr>
          <w:p w14:paraId="407ADF9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152" w:type="dxa"/>
          </w:tcPr>
          <w:p w14:paraId="44E18CE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4320" w:type="dxa"/>
          </w:tcPr>
          <w:p w14:paraId="1BE8932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high—ring-fence cash waterfall and enforce collection reforms.</w:t>
            </w:r>
          </w:p>
        </w:tc>
      </w:tr>
      <w:tr w:rsidR="0024798C" w:rsidRPr="00FB6EB3" w14:paraId="0BCDA8A5" w14:textId="77777777" w:rsidTr="00FB6EB3">
        <w:tc>
          <w:tcPr>
            <w:tcW w:w="3096" w:type="dxa"/>
          </w:tcPr>
          <w:p w14:paraId="2596DE1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Tariff slippage or reform reversal</w:t>
            </w:r>
          </w:p>
        </w:tc>
        <w:tc>
          <w:tcPr>
            <w:tcW w:w="1152" w:type="dxa"/>
          </w:tcPr>
          <w:p w14:paraId="27D2FEC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152" w:type="dxa"/>
          </w:tcPr>
          <w:p w14:paraId="6485241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4320" w:type="dxa"/>
          </w:tcPr>
          <w:p w14:paraId="62C71DC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High—maintain PURC independence and MYTO consistency.</w:t>
            </w:r>
          </w:p>
        </w:tc>
      </w:tr>
      <w:tr w:rsidR="0024798C" w:rsidRPr="00FB6EB3" w14:paraId="10F7C78F" w14:textId="77777777" w:rsidTr="00FB6EB3">
        <w:tc>
          <w:tcPr>
            <w:tcW w:w="3096" w:type="dxa"/>
          </w:tcPr>
          <w:p w14:paraId="6BCB7D8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Climate-finance exclusion for non-transition-aligned gas assets</w:t>
            </w:r>
          </w:p>
        </w:tc>
        <w:tc>
          <w:tcPr>
            <w:tcW w:w="1152" w:type="dxa"/>
          </w:tcPr>
          <w:p w14:paraId="789ACD9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152" w:type="dxa"/>
          </w:tcPr>
          <w:p w14:paraId="65CD693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4320" w:type="dxa"/>
          </w:tcPr>
          <w:p w14:paraId="144AB46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Medium—package gas investments with efficiency, flare reduction, and industrial transition benefits.</w:t>
            </w:r>
          </w:p>
        </w:tc>
      </w:tr>
    </w:tbl>
    <w:p w14:paraId="0CAF814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Author risk matrix based on Energy Outlook 2025/2026, GNPC 2024/2025, World Bank 2024-2025, PURC 2026, and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xml:space="preserve"> 2025.</w:t>
      </w:r>
    </w:p>
    <w:tbl>
      <w:tblPr>
        <w:tblStyle w:val="TableGrid"/>
        <w:tblW w:w="9288" w:type="dxa"/>
        <w:tblLook w:val="04A0" w:firstRow="1" w:lastRow="0" w:firstColumn="1" w:lastColumn="0" w:noHBand="0" w:noVBand="1"/>
      </w:tblPr>
      <w:tblGrid>
        <w:gridCol w:w="3708"/>
        <w:gridCol w:w="1890"/>
        <w:gridCol w:w="1800"/>
        <w:gridCol w:w="1890"/>
      </w:tblGrid>
      <w:tr w:rsidR="0024798C" w:rsidRPr="00FB6EB3" w14:paraId="6D8609E7" w14:textId="77777777" w:rsidTr="00D3409D">
        <w:tc>
          <w:tcPr>
            <w:tcW w:w="3708" w:type="dxa"/>
          </w:tcPr>
          <w:p w14:paraId="43FE7F51"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Opportunity</w:t>
            </w:r>
          </w:p>
        </w:tc>
        <w:tc>
          <w:tcPr>
            <w:tcW w:w="1890" w:type="dxa"/>
          </w:tcPr>
          <w:p w14:paraId="1567251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Expected impact</w:t>
            </w:r>
          </w:p>
        </w:tc>
        <w:tc>
          <w:tcPr>
            <w:tcW w:w="1800" w:type="dxa"/>
          </w:tcPr>
          <w:p w14:paraId="31059A1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Feasibility</w:t>
            </w:r>
          </w:p>
        </w:tc>
        <w:tc>
          <w:tcPr>
            <w:tcW w:w="1890" w:type="dxa"/>
          </w:tcPr>
          <w:p w14:paraId="3EF58F4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Strategic priority</w:t>
            </w:r>
          </w:p>
        </w:tc>
      </w:tr>
      <w:tr w:rsidR="0024798C" w:rsidRPr="00FB6EB3" w14:paraId="75493273" w14:textId="77777777" w:rsidTr="00D3409D">
        <w:tc>
          <w:tcPr>
            <w:tcW w:w="3708" w:type="dxa"/>
          </w:tcPr>
          <w:p w14:paraId="4A36D9D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GPP2 and associated NGL capture</w:t>
            </w:r>
          </w:p>
        </w:tc>
        <w:tc>
          <w:tcPr>
            <w:tcW w:w="1890" w:type="dxa"/>
          </w:tcPr>
          <w:p w14:paraId="354F7E0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800" w:type="dxa"/>
          </w:tcPr>
          <w:p w14:paraId="45A358A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890" w:type="dxa"/>
          </w:tcPr>
          <w:p w14:paraId="268C73F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1</w:t>
            </w:r>
          </w:p>
        </w:tc>
      </w:tr>
      <w:tr w:rsidR="0024798C" w:rsidRPr="00FB6EB3" w14:paraId="3F8CCDDD" w14:textId="77777777" w:rsidTr="00D3409D">
        <w:tc>
          <w:tcPr>
            <w:tcW w:w="3708" w:type="dxa"/>
          </w:tcPr>
          <w:p w14:paraId="14216BA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Tema LNG / city-gate commissioning</w:t>
            </w:r>
          </w:p>
        </w:tc>
        <w:tc>
          <w:tcPr>
            <w:tcW w:w="1890" w:type="dxa"/>
          </w:tcPr>
          <w:p w14:paraId="612C961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800" w:type="dxa"/>
          </w:tcPr>
          <w:p w14:paraId="06873D8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Medium-Low</w:t>
            </w:r>
          </w:p>
        </w:tc>
        <w:tc>
          <w:tcPr>
            <w:tcW w:w="1890" w:type="dxa"/>
          </w:tcPr>
          <w:p w14:paraId="0D4F8AC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2</w:t>
            </w:r>
          </w:p>
        </w:tc>
      </w:tr>
      <w:tr w:rsidR="0024798C" w:rsidRPr="00FB6EB3" w14:paraId="55A0C22A" w14:textId="77777777" w:rsidTr="00D3409D">
        <w:tc>
          <w:tcPr>
            <w:tcW w:w="3708" w:type="dxa"/>
          </w:tcPr>
          <w:p w14:paraId="17C266A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Tema industrial gas network and gas-to-industry switching</w:t>
            </w:r>
          </w:p>
        </w:tc>
        <w:tc>
          <w:tcPr>
            <w:tcW w:w="1890" w:type="dxa"/>
          </w:tcPr>
          <w:p w14:paraId="17E83C6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800" w:type="dxa"/>
          </w:tcPr>
          <w:p w14:paraId="4362164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890" w:type="dxa"/>
          </w:tcPr>
          <w:p w14:paraId="24FE94D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3</w:t>
            </w:r>
          </w:p>
        </w:tc>
      </w:tr>
      <w:tr w:rsidR="0024798C" w:rsidRPr="00FB6EB3" w14:paraId="7366BED1" w14:textId="77777777" w:rsidTr="00D3409D">
        <w:tc>
          <w:tcPr>
            <w:tcW w:w="3708" w:type="dxa"/>
          </w:tcPr>
          <w:p w14:paraId="134598B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Economic dispatch, dual-fuel optimization, and BESS-supported flexibility</w:t>
            </w:r>
          </w:p>
        </w:tc>
        <w:tc>
          <w:tcPr>
            <w:tcW w:w="1890" w:type="dxa"/>
          </w:tcPr>
          <w:p w14:paraId="7000FEB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1800" w:type="dxa"/>
          </w:tcPr>
          <w:p w14:paraId="7139C3C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890" w:type="dxa"/>
          </w:tcPr>
          <w:p w14:paraId="50193DD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4</w:t>
            </w:r>
          </w:p>
        </w:tc>
      </w:tr>
      <w:tr w:rsidR="0024798C" w:rsidRPr="00FB6EB3" w14:paraId="0E6ADACA" w14:textId="77777777" w:rsidTr="00D3409D">
        <w:tc>
          <w:tcPr>
            <w:tcW w:w="3708" w:type="dxa"/>
          </w:tcPr>
          <w:p w14:paraId="47B343F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Regional electricity trade via WAPP / Ghana-Côte d’Ivoire reinforcement</w:t>
            </w:r>
          </w:p>
        </w:tc>
        <w:tc>
          <w:tcPr>
            <w:tcW w:w="1890" w:type="dxa"/>
          </w:tcPr>
          <w:p w14:paraId="43437E9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1800" w:type="dxa"/>
          </w:tcPr>
          <w:p w14:paraId="0F5C96F1"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890" w:type="dxa"/>
          </w:tcPr>
          <w:p w14:paraId="6E17497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5</w:t>
            </w:r>
          </w:p>
        </w:tc>
      </w:tr>
      <w:tr w:rsidR="0024798C" w:rsidRPr="00FB6EB3" w14:paraId="6AF2E47F" w14:textId="77777777" w:rsidTr="00D3409D">
        <w:tc>
          <w:tcPr>
            <w:tcW w:w="3708" w:type="dxa"/>
          </w:tcPr>
          <w:p w14:paraId="3458287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Transition-aligned gas monetization (flare reduction, industrial decarbonization support)</w:t>
            </w:r>
          </w:p>
        </w:tc>
        <w:tc>
          <w:tcPr>
            <w:tcW w:w="1890" w:type="dxa"/>
          </w:tcPr>
          <w:p w14:paraId="35150FB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800" w:type="dxa"/>
          </w:tcPr>
          <w:p w14:paraId="0409631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890" w:type="dxa"/>
          </w:tcPr>
          <w:p w14:paraId="772BEB6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6</w:t>
            </w:r>
          </w:p>
        </w:tc>
      </w:tr>
    </w:tbl>
    <w:p w14:paraId="0334D5C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Source: Author opportunity matrix based on Ministry of Energy and Green Transition 2025, World Bank 2025,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xml:space="preserve"> 2025, </w:t>
      </w: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xml:space="preserve"> 2025, and GNPC 2025.</w:t>
      </w:r>
    </w:p>
    <w:p w14:paraId="2331F6EB" w14:textId="77777777" w:rsidR="00D3409D" w:rsidRDefault="00D3409D" w:rsidP="00FB6EB3">
      <w:pPr>
        <w:jc w:val="both"/>
        <w:rPr>
          <w:rFonts w:ascii="Times New Roman" w:hAnsi="Times New Roman" w:cs="Times New Roman"/>
          <w:b/>
          <w:bCs/>
          <w:sz w:val="24"/>
          <w:szCs w:val="24"/>
        </w:rPr>
      </w:pPr>
    </w:p>
    <w:p w14:paraId="6328A995" w14:textId="79E00BCF" w:rsidR="0024798C" w:rsidRPr="00D3409D" w:rsidRDefault="00000000" w:rsidP="00FB6EB3">
      <w:pPr>
        <w:jc w:val="both"/>
        <w:rPr>
          <w:rFonts w:ascii="Times New Roman" w:hAnsi="Times New Roman" w:cs="Times New Roman"/>
          <w:b/>
          <w:bCs/>
          <w:sz w:val="24"/>
          <w:szCs w:val="24"/>
        </w:rPr>
      </w:pPr>
      <w:r w:rsidRPr="00D3409D">
        <w:rPr>
          <w:rFonts w:ascii="Times New Roman" w:hAnsi="Times New Roman" w:cs="Times New Roman"/>
          <w:b/>
          <w:bCs/>
          <w:sz w:val="24"/>
          <w:szCs w:val="24"/>
        </w:rPr>
        <w:t>5. Benchmarking Ghana Against Regional Peers</w:t>
      </w:r>
    </w:p>
    <w:p w14:paraId="29FEA04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Ghana compares favorably on political stability, market access, and the existence of an integrated west-east gas transport corridor, but it lags Egypt in infrastructure depth, Nigeria in resource scale, and Côte d’Ivoire in the consistency with which domestic gas is tied to regional power trade. Mozambique is the opposite case: enormous gas potential, but much </w:t>
      </w:r>
      <w:r w:rsidRPr="00FB6EB3">
        <w:rPr>
          <w:rFonts w:ascii="Times New Roman" w:hAnsi="Times New Roman" w:cs="Times New Roman"/>
          <w:sz w:val="24"/>
          <w:szCs w:val="24"/>
        </w:rPr>
        <w:lastRenderedPageBreak/>
        <w:t>weaker domestic gas-to-power utilization and electrification. Ghana’s comparative advantage is therefore not size; it is the possibility of becoming West Africa’s most balanced gas-to-power and gas-to-industry platform if payment and redundancy problems are solved.</w:t>
      </w:r>
    </w:p>
    <w:tbl>
      <w:tblPr>
        <w:tblStyle w:val="TableGrid"/>
        <w:tblW w:w="0" w:type="auto"/>
        <w:tblLayout w:type="fixed"/>
        <w:tblLook w:val="04A0" w:firstRow="1" w:lastRow="0" w:firstColumn="1" w:lastColumn="0" w:noHBand="0" w:noVBand="1"/>
      </w:tblPr>
      <w:tblGrid>
        <w:gridCol w:w="1098"/>
        <w:gridCol w:w="1710"/>
        <w:gridCol w:w="1350"/>
        <w:gridCol w:w="1710"/>
        <w:gridCol w:w="1440"/>
        <w:gridCol w:w="1934"/>
      </w:tblGrid>
      <w:tr w:rsidR="00E11C01" w:rsidRPr="00FB6EB3" w14:paraId="46ABA078" w14:textId="77777777" w:rsidTr="00E11C01">
        <w:tc>
          <w:tcPr>
            <w:tcW w:w="1098" w:type="dxa"/>
          </w:tcPr>
          <w:p w14:paraId="2858AEBF"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Country</w:t>
            </w:r>
          </w:p>
        </w:tc>
        <w:tc>
          <w:tcPr>
            <w:tcW w:w="1710" w:type="dxa"/>
          </w:tcPr>
          <w:p w14:paraId="6D34AA21"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Gas infrastructure</w:t>
            </w:r>
          </w:p>
        </w:tc>
        <w:tc>
          <w:tcPr>
            <w:tcW w:w="1350" w:type="dxa"/>
          </w:tcPr>
          <w:p w14:paraId="186F9E8A"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Gas-fired generation</w:t>
            </w:r>
          </w:p>
        </w:tc>
        <w:tc>
          <w:tcPr>
            <w:tcW w:w="1710" w:type="dxa"/>
          </w:tcPr>
          <w:p w14:paraId="0D21D300"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Regulatory / market environment</w:t>
            </w:r>
          </w:p>
        </w:tc>
        <w:tc>
          <w:tcPr>
            <w:tcW w:w="1440" w:type="dxa"/>
          </w:tcPr>
          <w:p w14:paraId="65A869AF"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Energy security / domestic utilization</w:t>
            </w:r>
          </w:p>
        </w:tc>
        <w:tc>
          <w:tcPr>
            <w:tcW w:w="1934" w:type="dxa"/>
          </w:tcPr>
          <w:p w14:paraId="08EB51BE" w14:textId="77777777" w:rsidR="0024798C" w:rsidRPr="00E11C01" w:rsidRDefault="00000000" w:rsidP="00E11C01">
            <w:pPr>
              <w:rPr>
                <w:rFonts w:ascii="Times New Roman" w:hAnsi="Times New Roman" w:cs="Times New Roman"/>
                <w:b/>
                <w:bCs/>
                <w:sz w:val="24"/>
                <w:szCs w:val="24"/>
              </w:rPr>
            </w:pPr>
            <w:r w:rsidRPr="00E11C01">
              <w:rPr>
                <w:rFonts w:ascii="Times New Roman" w:hAnsi="Times New Roman" w:cs="Times New Roman"/>
                <w:b/>
                <w:bCs/>
                <w:sz w:val="24"/>
                <w:szCs w:val="24"/>
              </w:rPr>
              <w:t>Comparative intelligence takeaway</w:t>
            </w:r>
          </w:p>
        </w:tc>
      </w:tr>
      <w:tr w:rsidR="00E11C01" w:rsidRPr="00FB6EB3" w14:paraId="1F1416E8" w14:textId="77777777" w:rsidTr="00E11C01">
        <w:tc>
          <w:tcPr>
            <w:tcW w:w="1098" w:type="dxa"/>
          </w:tcPr>
          <w:p w14:paraId="4137E92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Ghana</w:t>
            </w:r>
          </w:p>
        </w:tc>
        <w:tc>
          <w:tcPr>
            <w:tcW w:w="1710" w:type="dxa"/>
          </w:tcPr>
          <w:p w14:paraId="18F80A3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Medium: functioning but thin redundancy; WAGP + TTIP +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base</w:t>
            </w:r>
          </w:p>
        </w:tc>
        <w:tc>
          <w:tcPr>
            <w:tcW w:w="1350" w:type="dxa"/>
          </w:tcPr>
          <w:p w14:paraId="7EAC5DF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 dependence</w:t>
            </w:r>
          </w:p>
        </w:tc>
        <w:tc>
          <w:tcPr>
            <w:tcW w:w="1710" w:type="dxa"/>
          </w:tcPr>
          <w:p w14:paraId="359D5D8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 reforming, but payment risk remains</w:t>
            </w:r>
          </w:p>
        </w:tc>
        <w:tc>
          <w:tcPr>
            <w:tcW w:w="1440" w:type="dxa"/>
          </w:tcPr>
          <w:p w14:paraId="71195EC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 domestic gas strong, backup weak</w:t>
            </w:r>
          </w:p>
        </w:tc>
        <w:tc>
          <w:tcPr>
            <w:tcW w:w="1934" w:type="dxa"/>
          </w:tcPr>
          <w:p w14:paraId="7556D41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Best positioned for targeted midstream upgrades and regional trade leverage, but not yet fully bankable.</w:t>
            </w:r>
          </w:p>
        </w:tc>
      </w:tr>
      <w:tr w:rsidR="00E11C01" w:rsidRPr="00FB6EB3" w14:paraId="08BD4FBC" w14:textId="77777777" w:rsidTr="00E11C01">
        <w:tc>
          <w:tcPr>
            <w:tcW w:w="1098" w:type="dxa"/>
          </w:tcPr>
          <w:p w14:paraId="60BF88F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Nigeria</w:t>
            </w:r>
          </w:p>
        </w:tc>
        <w:tc>
          <w:tcPr>
            <w:tcW w:w="1710" w:type="dxa"/>
          </w:tcPr>
          <w:p w14:paraId="2EF5440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 scale, uneven domestic delivery</w:t>
            </w:r>
          </w:p>
        </w:tc>
        <w:tc>
          <w:tcPr>
            <w:tcW w:w="1350" w:type="dxa"/>
          </w:tcPr>
          <w:p w14:paraId="1240203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1710" w:type="dxa"/>
          </w:tcPr>
          <w:p w14:paraId="41204C4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Medium-Low to Medium</w:t>
            </w:r>
          </w:p>
        </w:tc>
        <w:tc>
          <w:tcPr>
            <w:tcW w:w="1440" w:type="dxa"/>
          </w:tcPr>
          <w:p w14:paraId="0F1BDE8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Medium-Low despite huge reserves</w:t>
            </w:r>
          </w:p>
        </w:tc>
        <w:tc>
          <w:tcPr>
            <w:tcW w:w="1934" w:type="dxa"/>
          </w:tcPr>
          <w:p w14:paraId="3B3559A8"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Resource superpower with persistent delivery and market-structure frictions; scale advantage, reliability disadvantage.</w:t>
            </w:r>
          </w:p>
        </w:tc>
      </w:tr>
      <w:tr w:rsidR="00E11C01" w:rsidRPr="00FB6EB3" w14:paraId="27671A28" w14:textId="77777777" w:rsidTr="00E11C01">
        <w:tc>
          <w:tcPr>
            <w:tcW w:w="1098" w:type="dxa"/>
          </w:tcPr>
          <w:p w14:paraId="61A8A0A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Côte d’Ivoire</w:t>
            </w:r>
          </w:p>
        </w:tc>
        <w:tc>
          <w:tcPr>
            <w:tcW w:w="1710" w:type="dxa"/>
          </w:tcPr>
          <w:p w14:paraId="1D274FA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 coastal gas-power system</w:t>
            </w:r>
          </w:p>
        </w:tc>
        <w:tc>
          <w:tcPr>
            <w:tcW w:w="1350" w:type="dxa"/>
          </w:tcPr>
          <w:p w14:paraId="08287E1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1710" w:type="dxa"/>
          </w:tcPr>
          <w:p w14:paraId="147ABEFB"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1440" w:type="dxa"/>
          </w:tcPr>
          <w:p w14:paraId="43FD6F9C"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1934" w:type="dxa"/>
          </w:tcPr>
          <w:p w14:paraId="6CAF980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Smaller resource base but strong power-trade orientation and relatively coherent gas-to-power utilization.</w:t>
            </w:r>
          </w:p>
        </w:tc>
      </w:tr>
      <w:tr w:rsidR="00E11C01" w:rsidRPr="00FB6EB3" w14:paraId="405E57B0" w14:textId="77777777" w:rsidTr="00E11C01">
        <w:tc>
          <w:tcPr>
            <w:tcW w:w="1098" w:type="dxa"/>
          </w:tcPr>
          <w:p w14:paraId="39634893"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Egypt</w:t>
            </w:r>
          </w:p>
        </w:tc>
        <w:tc>
          <w:tcPr>
            <w:tcW w:w="1710" w:type="dxa"/>
          </w:tcPr>
          <w:p w14:paraId="30E3F34A"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 mature gas and LNG/import-export infrastructure</w:t>
            </w:r>
          </w:p>
        </w:tc>
        <w:tc>
          <w:tcPr>
            <w:tcW w:w="1350" w:type="dxa"/>
          </w:tcPr>
          <w:p w14:paraId="33F9271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1710" w:type="dxa"/>
          </w:tcPr>
          <w:p w14:paraId="785D629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440" w:type="dxa"/>
          </w:tcPr>
          <w:p w14:paraId="319C0E67"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 gas remains dominant but balance has tightened</w:t>
            </w:r>
          </w:p>
        </w:tc>
        <w:tc>
          <w:tcPr>
            <w:tcW w:w="1934" w:type="dxa"/>
          </w:tcPr>
          <w:p w14:paraId="4AE14D46"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Benchmark for infrastructure depth, but recent gas tightness shows scale alone does not eliminate security risk.</w:t>
            </w:r>
          </w:p>
        </w:tc>
      </w:tr>
      <w:tr w:rsidR="00E11C01" w:rsidRPr="00FB6EB3" w14:paraId="4F8EC13C" w14:textId="77777777" w:rsidTr="00E11C01">
        <w:tc>
          <w:tcPr>
            <w:tcW w:w="1098" w:type="dxa"/>
          </w:tcPr>
          <w:p w14:paraId="7E56CBE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Mozambique</w:t>
            </w:r>
          </w:p>
        </w:tc>
        <w:tc>
          <w:tcPr>
            <w:tcW w:w="1710" w:type="dxa"/>
          </w:tcPr>
          <w:p w14:paraId="62DA7739"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High upstream/LNG potential, lower domestic power integration</w:t>
            </w:r>
          </w:p>
        </w:tc>
        <w:tc>
          <w:tcPr>
            <w:tcW w:w="1350" w:type="dxa"/>
          </w:tcPr>
          <w:p w14:paraId="721CB90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Low-Medium domestically</w:t>
            </w:r>
          </w:p>
        </w:tc>
        <w:tc>
          <w:tcPr>
            <w:tcW w:w="1710" w:type="dxa"/>
          </w:tcPr>
          <w:p w14:paraId="52F2E38F"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w:t>
            </w:r>
          </w:p>
        </w:tc>
        <w:tc>
          <w:tcPr>
            <w:tcW w:w="1440" w:type="dxa"/>
          </w:tcPr>
          <w:p w14:paraId="4B10D0C5"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Medium-Low domestically</w:t>
            </w:r>
          </w:p>
        </w:tc>
        <w:tc>
          <w:tcPr>
            <w:tcW w:w="1934" w:type="dxa"/>
          </w:tcPr>
          <w:p w14:paraId="5F25FE04"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Huge resource base, but export orientation and lower domestic utilization make it a poor near-term template for Ghana’s power strategy.</w:t>
            </w:r>
          </w:p>
        </w:tc>
      </w:tr>
    </w:tbl>
    <w:p w14:paraId="3297F636" w14:textId="77777777" w:rsidR="0024798C"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Source: Analyst synthesis using IEA country pages for Ghana, Nigeria, Côte d’Ivoire, Egypt, and Mozambique; IEA Mozambique 2024; EIA country analysis/search results for Ghana, Nigeria, Egypt, and Mozambique; WAPP and World Bank regional power-trade materials.</w:t>
      </w:r>
    </w:p>
    <w:p w14:paraId="01705BBC" w14:textId="77777777" w:rsidR="00E11C01" w:rsidRPr="00FB6EB3" w:rsidRDefault="00E11C01" w:rsidP="00FB6EB3">
      <w:pPr>
        <w:jc w:val="both"/>
        <w:rPr>
          <w:rFonts w:ascii="Times New Roman" w:hAnsi="Times New Roman" w:cs="Times New Roman"/>
          <w:sz w:val="24"/>
          <w:szCs w:val="24"/>
        </w:rPr>
      </w:pPr>
    </w:p>
    <w:p w14:paraId="0ACD402D" w14:textId="77777777" w:rsidR="0024798C" w:rsidRPr="00E11C01" w:rsidRDefault="00000000" w:rsidP="00FB6EB3">
      <w:pPr>
        <w:jc w:val="both"/>
        <w:rPr>
          <w:rFonts w:ascii="Times New Roman" w:hAnsi="Times New Roman" w:cs="Times New Roman"/>
          <w:b/>
          <w:bCs/>
          <w:sz w:val="24"/>
          <w:szCs w:val="24"/>
        </w:rPr>
      </w:pPr>
      <w:r w:rsidRPr="00E11C01">
        <w:rPr>
          <w:rFonts w:ascii="Times New Roman" w:hAnsi="Times New Roman" w:cs="Times New Roman"/>
          <w:b/>
          <w:bCs/>
          <w:sz w:val="24"/>
          <w:szCs w:val="24"/>
        </w:rPr>
        <w:t>6. Strategic Recommendations and Intelligence Outlook</w:t>
      </w:r>
    </w:p>
    <w:p w14:paraId="7F23A78E"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Overall assessment: Ghana is investable for selective gas-to-power and gas-to-industry projects, but not yet for a complacent build-and-forget strategy. The country’s readiness for sustainable gas-to-power development is best described as conditional. The condition is straightforward: physical redundancy must catch up with policy ambition, and payment discipline must catch up with system dependence on private and quasi-private fuel suppliers.</w:t>
      </w:r>
    </w:p>
    <w:tbl>
      <w:tblPr>
        <w:tblStyle w:val="TableGrid"/>
        <w:tblW w:w="0" w:type="auto"/>
        <w:tblLayout w:type="fixed"/>
        <w:tblLook w:val="04A0" w:firstRow="1" w:lastRow="0" w:firstColumn="1" w:lastColumn="0" w:noHBand="0" w:noVBand="1"/>
      </w:tblPr>
      <w:tblGrid>
        <w:gridCol w:w="2988"/>
        <w:gridCol w:w="2070"/>
        <w:gridCol w:w="1440"/>
        <w:gridCol w:w="2700"/>
      </w:tblGrid>
      <w:tr w:rsidR="005A50A6" w:rsidRPr="00FB6EB3" w14:paraId="45EFD80F" w14:textId="77777777" w:rsidTr="005A50A6">
        <w:tc>
          <w:tcPr>
            <w:tcW w:w="2988" w:type="dxa"/>
          </w:tcPr>
          <w:p w14:paraId="15DFEF0B"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Recommendation</w:t>
            </w:r>
          </w:p>
        </w:tc>
        <w:tc>
          <w:tcPr>
            <w:tcW w:w="2070" w:type="dxa"/>
          </w:tcPr>
          <w:p w14:paraId="4AE24798"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Responsible institution</w:t>
            </w:r>
          </w:p>
        </w:tc>
        <w:tc>
          <w:tcPr>
            <w:tcW w:w="1440" w:type="dxa"/>
          </w:tcPr>
          <w:p w14:paraId="1717894D"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Priority</w:t>
            </w:r>
          </w:p>
        </w:tc>
        <w:tc>
          <w:tcPr>
            <w:tcW w:w="2700" w:type="dxa"/>
          </w:tcPr>
          <w:p w14:paraId="7CFB0B5D"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Expected outcome</w:t>
            </w:r>
          </w:p>
        </w:tc>
      </w:tr>
      <w:tr w:rsidR="005A50A6" w:rsidRPr="00FB6EB3" w14:paraId="617E4269" w14:textId="77777777" w:rsidTr="005A50A6">
        <w:tc>
          <w:tcPr>
            <w:tcW w:w="2988" w:type="dxa"/>
          </w:tcPr>
          <w:p w14:paraId="1D40993C"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Reach financial close and EPC launch for GPP2, including reliability upgrades at existing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 xml:space="preserve"> facilities</w:t>
            </w:r>
          </w:p>
        </w:tc>
        <w:tc>
          <w:tcPr>
            <w:tcW w:w="2070" w:type="dxa"/>
          </w:tcPr>
          <w:p w14:paraId="524347D8"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Government of Ghana / Ministry / GNPC / Ghana Gas</w:t>
            </w:r>
          </w:p>
        </w:tc>
        <w:tc>
          <w:tcPr>
            <w:tcW w:w="1440" w:type="dxa"/>
          </w:tcPr>
          <w:p w14:paraId="6F891789"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2700" w:type="dxa"/>
          </w:tcPr>
          <w:p w14:paraId="7958DF5F"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Reduces single-point failure risk and increases gas availability and NGL recovery.</w:t>
            </w:r>
          </w:p>
        </w:tc>
      </w:tr>
      <w:tr w:rsidR="005A50A6" w:rsidRPr="00FB6EB3" w14:paraId="4A5039A8" w14:textId="77777777" w:rsidTr="005A50A6">
        <w:tc>
          <w:tcPr>
            <w:tcW w:w="2988" w:type="dxa"/>
          </w:tcPr>
          <w:p w14:paraId="43C69C92"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Publish a bankable Tema LNG-city gate-network roadmap with milestones, risk allocation, and integration plan</w:t>
            </w:r>
          </w:p>
        </w:tc>
        <w:tc>
          <w:tcPr>
            <w:tcW w:w="2070" w:type="dxa"/>
          </w:tcPr>
          <w:p w14:paraId="3571727E"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Ministry / GNPC / private sponsors</w:t>
            </w:r>
          </w:p>
        </w:tc>
        <w:tc>
          <w:tcPr>
            <w:tcW w:w="1440" w:type="dxa"/>
          </w:tcPr>
          <w:p w14:paraId="70538D96"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2700" w:type="dxa"/>
          </w:tcPr>
          <w:p w14:paraId="506B956C"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Creates credible supply redundancy for Tema power and industry.</w:t>
            </w:r>
          </w:p>
        </w:tc>
      </w:tr>
      <w:tr w:rsidR="005A50A6" w:rsidRPr="00FB6EB3" w14:paraId="4F02B0AA" w14:textId="77777777" w:rsidTr="005A50A6">
        <w:tc>
          <w:tcPr>
            <w:tcW w:w="2988" w:type="dxa"/>
          </w:tcPr>
          <w:p w14:paraId="02C0D1AE"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Ring-fence payment waterfalls for gas suppliers and IPPs under ESRP / MYTO discipline</w:t>
            </w:r>
          </w:p>
        </w:tc>
        <w:tc>
          <w:tcPr>
            <w:tcW w:w="2070" w:type="dxa"/>
          </w:tcPr>
          <w:p w14:paraId="3A38A60D"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MoF / PURC / ECG / sector agencies</w:t>
            </w:r>
          </w:p>
        </w:tc>
        <w:tc>
          <w:tcPr>
            <w:tcW w:w="1440" w:type="dxa"/>
          </w:tcPr>
          <w:p w14:paraId="034360F8"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Very high</w:t>
            </w:r>
          </w:p>
        </w:tc>
        <w:tc>
          <w:tcPr>
            <w:tcW w:w="2700" w:type="dxa"/>
          </w:tcPr>
          <w:p w14:paraId="4AEBB16E"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Improves bankability and lowers financing cost.</w:t>
            </w:r>
          </w:p>
        </w:tc>
      </w:tr>
      <w:tr w:rsidR="005A50A6" w:rsidRPr="00FB6EB3" w14:paraId="3C7D971E" w14:textId="77777777" w:rsidTr="005A50A6">
        <w:tc>
          <w:tcPr>
            <w:tcW w:w="2988" w:type="dxa"/>
          </w:tcPr>
          <w:p w14:paraId="35404339"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Accelerate security-constrained economic dispatch, SCADA upgrades, and operational transparency</w:t>
            </w:r>
          </w:p>
        </w:tc>
        <w:tc>
          <w:tcPr>
            <w:tcW w:w="2070" w:type="dxa"/>
          </w:tcPr>
          <w:p w14:paraId="7D5FB6E6" w14:textId="77777777" w:rsidR="005A50A6" w:rsidRPr="00FB6EB3" w:rsidRDefault="005A50A6" w:rsidP="00FB6EB3">
            <w:pPr>
              <w:jc w:val="both"/>
              <w:rPr>
                <w:rFonts w:ascii="Times New Roman" w:hAnsi="Times New Roman" w:cs="Times New Roman"/>
                <w:sz w:val="24"/>
                <w:szCs w:val="24"/>
              </w:rPr>
            </w:pPr>
            <w:proofErr w:type="spellStart"/>
            <w:r w:rsidRPr="00FB6EB3">
              <w:rPr>
                <w:rFonts w:ascii="Times New Roman" w:hAnsi="Times New Roman" w:cs="Times New Roman"/>
                <w:sz w:val="24"/>
                <w:szCs w:val="24"/>
              </w:rPr>
              <w:t>GRIDCo</w:t>
            </w:r>
            <w:proofErr w:type="spellEnd"/>
            <w:r w:rsidRPr="00FB6EB3">
              <w:rPr>
                <w:rFonts w:ascii="Times New Roman" w:hAnsi="Times New Roman" w:cs="Times New Roman"/>
                <w:sz w:val="24"/>
                <w:szCs w:val="24"/>
              </w:rPr>
              <w:t xml:space="preserve"> / PURC / Energy Commission</w:t>
            </w:r>
          </w:p>
        </w:tc>
        <w:tc>
          <w:tcPr>
            <w:tcW w:w="1440" w:type="dxa"/>
          </w:tcPr>
          <w:p w14:paraId="67DB8493"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2700" w:type="dxa"/>
          </w:tcPr>
          <w:p w14:paraId="6B79D8C3"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Cuts avoidable fuel costs and improves thermal efficiency.</w:t>
            </w:r>
          </w:p>
        </w:tc>
      </w:tr>
      <w:tr w:rsidR="005A50A6" w:rsidRPr="00FB6EB3" w14:paraId="6103CFC8" w14:textId="77777777" w:rsidTr="005A50A6">
        <w:tc>
          <w:tcPr>
            <w:tcW w:w="2988" w:type="dxa"/>
          </w:tcPr>
          <w:p w14:paraId="391B317E"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Co-finance battery storage and reserve services at critical grid nodes</w:t>
            </w:r>
          </w:p>
        </w:tc>
        <w:tc>
          <w:tcPr>
            <w:tcW w:w="2070" w:type="dxa"/>
          </w:tcPr>
          <w:p w14:paraId="63466F36"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Government / DFIs / private investors</w:t>
            </w:r>
          </w:p>
        </w:tc>
        <w:tc>
          <w:tcPr>
            <w:tcW w:w="1440" w:type="dxa"/>
          </w:tcPr>
          <w:p w14:paraId="51F68035"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2700" w:type="dxa"/>
          </w:tcPr>
          <w:p w14:paraId="78A159ED"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Reduces the need for costly liquid-fuel backup and supports renewable integration.</w:t>
            </w:r>
          </w:p>
        </w:tc>
      </w:tr>
      <w:tr w:rsidR="005A50A6" w:rsidRPr="00FB6EB3" w14:paraId="77777D25" w14:textId="77777777" w:rsidTr="005A50A6">
        <w:tc>
          <w:tcPr>
            <w:tcW w:w="2988" w:type="dxa"/>
          </w:tcPr>
          <w:p w14:paraId="6A472111"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Complete Tema industrial gas distribution projects and anchor gas-to-industry demand</w:t>
            </w:r>
          </w:p>
        </w:tc>
        <w:tc>
          <w:tcPr>
            <w:tcW w:w="2070" w:type="dxa"/>
          </w:tcPr>
          <w:p w14:paraId="45CC7B37"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Ghana Gas / GNPC / industrial enclave developers</w:t>
            </w:r>
          </w:p>
        </w:tc>
        <w:tc>
          <w:tcPr>
            <w:tcW w:w="1440" w:type="dxa"/>
          </w:tcPr>
          <w:p w14:paraId="1F3BD9B3"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High</w:t>
            </w:r>
          </w:p>
        </w:tc>
        <w:tc>
          <w:tcPr>
            <w:tcW w:w="2700" w:type="dxa"/>
          </w:tcPr>
          <w:p w14:paraId="561B7C2C"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Diversifies gas offtake beyond power and strengthens industrialization.</w:t>
            </w:r>
          </w:p>
        </w:tc>
      </w:tr>
      <w:tr w:rsidR="005A50A6" w:rsidRPr="00FB6EB3" w14:paraId="223EE34C" w14:textId="77777777" w:rsidTr="005A50A6">
        <w:tc>
          <w:tcPr>
            <w:tcW w:w="2988" w:type="dxa"/>
          </w:tcPr>
          <w:p w14:paraId="3E08FA7D"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Tie gas investment approvals to flare reduction, compressor reliability, and emissions-performance covenants</w:t>
            </w:r>
          </w:p>
        </w:tc>
        <w:tc>
          <w:tcPr>
            <w:tcW w:w="2070" w:type="dxa"/>
          </w:tcPr>
          <w:p w14:paraId="797E6599"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Petroleum regulator / GNPC / partners</w:t>
            </w:r>
          </w:p>
        </w:tc>
        <w:tc>
          <w:tcPr>
            <w:tcW w:w="1440" w:type="dxa"/>
          </w:tcPr>
          <w:p w14:paraId="5B00C487"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Medium-High</w:t>
            </w:r>
          </w:p>
        </w:tc>
        <w:tc>
          <w:tcPr>
            <w:tcW w:w="2700" w:type="dxa"/>
          </w:tcPr>
          <w:p w14:paraId="47805B64"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Improves transition compatibility and access to blended capital.</w:t>
            </w:r>
          </w:p>
        </w:tc>
      </w:tr>
      <w:tr w:rsidR="005A50A6" w:rsidRPr="00FB6EB3" w14:paraId="6C7A9595" w14:textId="77777777" w:rsidTr="005A50A6">
        <w:tc>
          <w:tcPr>
            <w:tcW w:w="2988" w:type="dxa"/>
          </w:tcPr>
          <w:p w14:paraId="61A29786"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t>Use WAPP and the Ghana-</w:t>
            </w:r>
            <w:r w:rsidRPr="00FB6EB3">
              <w:rPr>
                <w:rFonts w:ascii="Times New Roman" w:hAnsi="Times New Roman" w:cs="Times New Roman"/>
                <w:sz w:val="24"/>
                <w:szCs w:val="24"/>
              </w:rPr>
              <w:lastRenderedPageBreak/>
              <w:t>Côte d’Ivoire reinforcement as part of a regional reliability strategy</w:t>
            </w:r>
          </w:p>
        </w:tc>
        <w:tc>
          <w:tcPr>
            <w:tcW w:w="2070" w:type="dxa"/>
          </w:tcPr>
          <w:p w14:paraId="359BE35F" w14:textId="77777777" w:rsidR="005A50A6" w:rsidRPr="00FB6EB3" w:rsidRDefault="005A50A6" w:rsidP="00FB6EB3">
            <w:pPr>
              <w:jc w:val="both"/>
              <w:rPr>
                <w:rFonts w:ascii="Times New Roman" w:hAnsi="Times New Roman" w:cs="Times New Roman"/>
                <w:sz w:val="24"/>
                <w:szCs w:val="24"/>
              </w:rPr>
            </w:pPr>
            <w:proofErr w:type="spellStart"/>
            <w:r w:rsidRPr="00FB6EB3">
              <w:rPr>
                <w:rFonts w:ascii="Times New Roman" w:hAnsi="Times New Roman" w:cs="Times New Roman"/>
                <w:sz w:val="24"/>
                <w:szCs w:val="24"/>
              </w:rPr>
              <w:lastRenderedPageBreak/>
              <w:t>GRIDCo</w:t>
            </w:r>
            <w:proofErr w:type="spellEnd"/>
            <w:r w:rsidRPr="00FB6EB3">
              <w:rPr>
                <w:rFonts w:ascii="Times New Roman" w:hAnsi="Times New Roman" w:cs="Times New Roman"/>
                <w:sz w:val="24"/>
                <w:szCs w:val="24"/>
              </w:rPr>
              <w:t xml:space="preserve"> / WAPP / </w:t>
            </w:r>
            <w:r w:rsidRPr="00FB6EB3">
              <w:rPr>
                <w:rFonts w:ascii="Times New Roman" w:hAnsi="Times New Roman" w:cs="Times New Roman"/>
                <w:sz w:val="24"/>
                <w:szCs w:val="24"/>
              </w:rPr>
              <w:lastRenderedPageBreak/>
              <w:t>ECOWAS / Government</w:t>
            </w:r>
          </w:p>
        </w:tc>
        <w:tc>
          <w:tcPr>
            <w:tcW w:w="1440" w:type="dxa"/>
          </w:tcPr>
          <w:p w14:paraId="010CAB95"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Medium-</w:t>
            </w:r>
            <w:r w:rsidRPr="00FB6EB3">
              <w:rPr>
                <w:rFonts w:ascii="Times New Roman" w:hAnsi="Times New Roman" w:cs="Times New Roman"/>
                <w:sz w:val="24"/>
                <w:szCs w:val="24"/>
              </w:rPr>
              <w:lastRenderedPageBreak/>
              <w:t>High</w:t>
            </w:r>
          </w:p>
        </w:tc>
        <w:tc>
          <w:tcPr>
            <w:tcW w:w="2700" w:type="dxa"/>
          </w:tcPr>
          <w:p w14:paraId="5E1F2927" w14:textId="77777777" w:rsidR="005A50A6" w:rsidRPr="00FB6EB3" w:rsidRDefault="005A50A6"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Turns Ghana’s gas-</w:t>
            </w:r>
            <w:r w:rsidRPr="00FB6EB3">
              <w:rPr>
                <w:rFonts w:ascii="Times New Roman" w:hAnsi="Times New Roman" w:cs="Times New Roman"/>
                <w:sz w:val="24"/>
                <w:szCs w:val="24"/>
              </w:rPr>
              <w:lastRenderedPageBreak/>
              <w:t>backed system into a regional trading platform.</w:t>
            </w:r>
          </w:p>
        </w:tc>
      </w:tr>
    </w:tbl>
    <w:p w14:paraId="35C96752"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lastRenderedPageBreak/>
        <w:t>Source: Author action plan based on the full evidence base cited in this note.</w:t>
      </w:r>
    </w:p>
    <w:p w14:paraId="0A8D87BD"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Early warning indicators</w:t>
      </w:r>
    </w:p>
    <w:p w14:paraId="729D140E"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GPP2 slips beyond committee stage without financing closure or EPC award.</w:t>
      </w:r>
    </w:p>
    <w:p w14:paraId="0F175859"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Tema LNG remains non-operational after 2026 or lacks integrated city-gate/network commissioning.</w:t>
      </w:r>
    </w:p>
    <w:p w14:paraId="0DA4FA2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ECG loss-reduction and collection targets under the ESRP materially underperform.</w:t>
      </w:r>
    </w:p>
    <w:p w14:paraId="0D1E0111"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Gas deficits during maintenance windows continue to trigger elevated liquid-fuel burn in 2026-2027.</w:t>
      </w:r>
    </w:p>
    <w:p w14:paraId="531B9A8D"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Reserve margins remain below 10% during peak months or major thermal units face prolonged gas curtailment.</w:t>
      </w:r>
    </w:p>
    <w:p w14:paraId="482C22F8" w14:textId="460658AD" w:rsidR="005A50A6" w:rsidRPr="005A50A6"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Tariff adjustments are delayed or WACOG discipline is diluted for political reasons.</w:t>
      </w:r>
    </w:p>
    <w:p w14:paraId="1063D6D1" w14:textId="77777777" w:rsidR="005A50A6" w:rsidRDefault="005A50A6" w:rsidP="00FB6EB3">
      <w:pPr>
        <w:jc w:val="both"/>
        <w:rPr>
          <w:rFonts w:ascii="Times New Roman" w:hAnsi="Times New Roman" w:cs="Times New Roman"/>
          <w:b/>
          <w:bCs/>
          <w:sz w:val="24"/>
          <w:szCs w:val="24"/>
        </w:rPr>
      </w:pPr>
    </w:p>
    <w:p w14:paraId="0D0F420F" w14:textId="206CFE48" w:rsidR="0024798C" w:rsidRPr="005A50A6" w:rsidRDefault="00000000" w:rsidP="00FB6EB3">
      <w:pPr>
        <w:jc w:val="both"/>
        <w:rPr>
          <w:rFonts w:ascii="Times New Roman" w:hAnsi="Times New Roman" w:cs="Times New Roman"/>
          <w:b/>
          <w:bCs/>
          <w:sz w:val="24"/>
          <w:szCs w:val="24"/>
        </w:rPr>
      </w:pPr>
      <w:r w:rsidRPr="005A50A6">
        <w:rPr>
          <w:rFonts w:ascii="Times New Roman" w:hAnsi="Times New Roman" w:cs="Times New Roman"/>
          <w:b/>
          <w:bCs/>
          <w:sz w:val="24"/>
          <w:szCs w:val="24"/>
        </w:rPr>
        <w:t>Strategic outlook, 2026-2035</w:t>
      </w:r>
    </w:p>
    <w:p w14:paraId="1D65FD30" w14:textId="77777777" w:rsidR="0024798C" w:rsidRPr="00FB6EB3" w:rsidRDefault="00000000" w:rsidP="00FB6EB3">
      <w:pPr>
        <w:jc w:val="both"/>
        <w:rPr>
          <w:rFonts w:ascii="Times New Roman" w:hAnsi="Times New Roman" w:cs="Times New Roman"/>
          <w:sz w:val="24"/>
          <w:szCs w:val="24"/>
        </w:rPr>
      </w:pPr>
      <w:r w:rsidRPr="00FB6EB3">
        <w:rPr>
          <w:rFonts w:ascii="Times New Roman" w:hAnsi="Times New Roman" w:cs="Times New Roman"/>
          <w:sz w:val="24"/>
          <w:szCs w:val="24"/>
        </w:rPr>
        <w:t xml:space="preserve">Base case: gas remains the backbone of Ghana’s thermal and industrial energy system through the early 2030s, but its role gradually shifts from pure baseload toward system balancing, industrial fuel switching, and reserve support as grid flexibility and renewables expand. Upside case: GPP2, Tema LNG redundancy, and payment reforms move on schedule, allowing Ghana to emerge as a regional power-trade hub with lower liquid-fuel intensity. Downside case: project slippage and payment stress persist, keeping the country trapped in an expensive cycle of gas shortages, liquid-fuel substitution, and weak investor confidence (Energy Commission of Ghana, 2026; World Bank, 2025; </w:t>
      </w: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2025).</w:t>
      </w:r>
    </w:p>
    <w:p w14:paraId="6CAED5B4" w14:textId="77777777" w:rsidR="0024798C" w:rsidRPr="005A50A6" w:rsidRDefault="00000000" w:rsidP="00FB6EB3">
      <w:pPr>
        <w:jc w:val="both"/>
        <w:rPr>
          <w:rFonts w:ascii="Times New Roman" w:hAnsi="Times New Roman" w:cs="Times New Roman"/>
          <w:b/>
          <w:bCs/>
          <w:sz w:val="24"/>
          <w:szCs w:val="24"/>
        </w:rPr>
      </w:pPr>
      <w:r w:rsidRPr="005A50A6">
        <w:rPr>
          <w:rFonts w:ascii="Times New Roman" w:hAnsi="Times New Roman" w:cs="Times New Roman"/>
          <w:b/>
          <w:bCs/>
          <w:sz w:val="24"/>
          <w:szCs w:val="24"/>
        </w:rPr>
        <w:t>Key investment opportunities</w:t>
      </w:r>
    </w:p>
    <w:p w14:paraId="0A494E3C"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xml:space="preserve">• Second gas processing capacity and reliability retrofits at </w:t>
      </w:r>
      <w:proofErr w:type="spellStart"/>
      <w:r w:rsidRPr="00FB6EB3">
        <w:rPr>
          <w:rFonts w:ascii="Times New Roman" w:hAnsi="Times New Roman" w:cs="Times New Roman"/>
          <w:sz w:val="24"/>
          <w:szCs w:val="24"/>
        </w:rPr>
        <w:t>Atuabo</w:t>
      </w:r>
      <w:proofErr w:type="spellEnd"/>
      <w:r w:rsidRPr="00FB6EB3">
        <w:rPr>
          <w:rFonts w:ascii="Times New Roman" w:hAnsi="Times New Roman" w:cs="Times New Roman"/>
          <w:sz w:val="24"/>
          <w:szCs w:val="24"/>
        </w:rPr>
        <w:t>.</w:t>
      </w:r>
    </w:p>
    <w:p w14:paraId="394B0061"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Tema LNG/city-gate/pipeline integration and industrial enclave gas distribution.</w:t>
      </w:r>
    </w:p>
    <w:p w14:paraId="0D5A6601"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Gas compression, metering, NGL recovery, and outage-mitigation services.</w:t>
      </w:r>
    </w:p>
    <w:p w14:paraId="6007E2E4"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Grid flexibility, reserve services, and battery storage adjacent to gas-heavy thermal nodes.</w:t>
      </w:r>
    </w:p>
    <w:p w14:paraId="29983D51"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Gas-to-industry platforms linked to fertilizers, mining, manufacturing, and export-oriented enclaves.</w:t>
      </w:r>
    </w:p>
    <w:p w14:paraId="06D36865" w14:textId="77777777" w:rsidR="005A50A6" w:rsidRDefault="005A50A6" w:rsidP="005A50A6">
      <w:pPr>
        <w:spacing w:after="0"/>
        <w:jc w:val="both"/>
        <w:rPr>
          <w:rFonts w:ascii="Times New Roman" w:hAnsi="Times New Roman" w:cs="Times New Roman"/>
          <w:sz w:val="24"/>
          <w:szCs w:val="24"/>
        </w:rPr>
      </w:pPr>
    </w:p>
    <w:p w14:paraId="20144E23" w14:textId="77777777" w:rsidR="005A50A6" w:rsidRDefault="005A50A6" w:rsidP="00FB6EB3">
      <w:pPr>
        <w:jc w:val="both"/>
        <w:rPr>
          <w:rFonts w:ascii="Times New Roman" w:hAnsi="Times New Roman" w:cs="Times New Roman"/>
          <w:sz w:val="24"/>
          <w:szCs w:val="24"/>
        </w:rPr>
      </w:pPr>
    </w:p>
    <w:p w14:paraId="0A21684C" w14:textId="77777777" w:rsidR="005A50A6" w:rsidRDefault="005A50A6" w:rsidP="00FB6EB3">
      <w:pPr>
        <w:jc w:val="both"/>
        <w:rPr>
          <w:rFonts w:ascii="Times New Roman" w:hAnsi="Times New Roman" w:cs="Times New Roman"/>
          <w:sz w:val="24"/>
          <w:szCs w:val="24"/>
        </w:rPr>
      </w:pPr>
    </w:p>
    <w:p w14:paraId="68E8842B" w14:textId="77777777" w:rsidR="005A50A6" w:rsidRDefault="005A50A6" w:rsidP="00FB6EB3">
      <w:pPr>
        <w:jc w:val="both"/>
        <w:rPr>
          <w:rFonts w:ascii="Times New Roman" w:hAnsi="Times New Roman" w:cs="Times New Roman"/>
          <w:b/>
          <w:bCs/>
          <w:sz w:val="24"/>
          <w:szCs w:val="24"/>
        </w:rPr>
      </w:pPr>
    </w:p>
    <w:p w14:paraId="52CD9476" w14:textId="77777777" w:rsidR="005A50A6" w:rsidRDefault="005A50A6" w:rsidP="00FB6EB3">
      <w:pPr>
        <w:jc w:val="both"/>
        <w:rPr>
          <w:rFonts w:ascii="Times New Roman" w:hAnsi="Times New Roman" w:cs="Times New Roman"/>
          <w:b/>
          <w:bCs/>
          <w:sz w:val="24"/>
          <w:szCs w:val="24"/>
        </w:rPr>
      </w:pPr>
    </w:p>
    <w:p w14:paraId="37275EDF" w14:textId="77777777" w:rsidR="005A50A6" w:rsidRDefault="005A50A6" w:rsidP="00FB6EB3">
      <w:pPr>
        <w:jc w:val="both"/>
        <w:rPr>
          <w:rFonts w:ascii="Times New Roman" w:hAnsi="Times New Roman" w:cs="Times New Roman"/>
          <w:b/>
          <w:bCs/>
          <w:sz w:val="24"/>
          <w:szCs w:val="24"/>
        </w:rPr>
      </w:pPr>
    </w:p>
    <w:p w14:paraId="507502E6" w14:textId="33C567AE" w:rsidR="0024798C" w:rsidRPr="005A50A6" w:rsidRDefault="00000000" w:rsidP="00FB6EB3">
      <w:pPr>
        <w:jc w:val="both"/>
        <w:rPr>
          <w:rFonts w:ascii="Times New Roman" w:hAnsi="Times New Roman" w:cs="Times New Roman"/>
          <w:b/>
          <w:bCs/>
          <w:sz w:val="24"/>
          <w:szCs w:val="24"/>
        </w:rPr>
      </w:pPr>
      <w:r w:rsidRPr="005A50A6">
        <w:rPr>
          <w:rFonts w:ascii="Times New Roman" w:hAnsi="Times New Roman" w:cs="Times New Roman"/>
          <w:b/>
          <w:bCs/>
          <w:sz w:val="24"/>
          <w:szCs w:val="24"/>
        </w:rPr>
        <w:lastRenderedPageBreak/>
        <w:t>References</w:t>
      </w:r>
    </w:p>
    <w:p w14:paraId="33FD0D6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Energy Commission of Ghana. (2025). Energy outlook for Ghana 2025. https://www.energycom.gov.gh/index.php/planning/sub-codes?download=723:energy-outlook-for-ghana-2025</w:t>
      </w:r>
    </w:p>
    <w:p w14:paraId="0DF88FE0"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Energy Commission of Ghana. (2026). Energy outlook for Ghana 2026. https://www.energycom.gov.gh/index.php/planning/sub-codes?download=849:energy-outlook-for-ghana-2026</w:t>
      </w:r>
    </w:p>
    <w:p w14:paraId="13B43B3A"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Ghana Gas. (2026). Operations. https://www.ghanagas.com.gh/operations</w:t>
      </w:r>
    </w:p>
    <w:p w14:paraId="0450D20D"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Ghana National Petroleum Corporation. (2025a). GNPC reaffirms strategic role in West Africa’s energy future. https://www.gnpcghana.com/news/gnpc-reaffirms-strategic-role-in-west-africas-energy-future</w:t>
      </w:r>
    </w:p>
    <w:p w14:paraId="2B96F61F"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Ghana National Petroleum Corporation. (2025b). 2024 annual report. https://www.gnpcghana.com/download/ar/annual_report2024.pdf</w:t>
      </w:r>
    </w:p>
    <w:p w14:paraId="596CBBF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Ghana National Petroleum Corporation. (2026). GNPC CEO positions Ghana as competitive destination for energy investment at Ghana-UK Investment Summit. https://www.gnpcghana.com/news/gnpc-ceo-positions-ghana-as-competitive-destination-for-energy-investment-at-ghana-uk-investment-summit</w:t>
      </w:r>
    </w:p>
    <w:p w14:paraId="3B747948"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International Energy Agency. (2024). Mozambique 2024: Executive summary. https://www.iea.org/reports/mozambique-2024/executive-summary</w:t>
      </w:r>
    </w:p>
    <w:p w14:paraId="7E5D849C"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International Energy Agency. (2026). Country and regional profiles: Ghana, Nigeria, Côte d’Ivoire, Egypt, and Mozambique. https://www.iea.org/countries</w:t>
      </w:r>
    </w:p>
    <w:p w14:paraId="64B5637C"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Ministry of Energy and Green Transition. (2025a). Government inaugurates second gas processing plant (GPP2) implementation committee. https://www.energymin.gov.gh/government-inaugurates-second-gas-processing-plant-gpp2-implementation-committee</w:t>
      </w:r>
    </w:p>
    <w:p w14:paraId="1DB66DF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 xml:space="preserve">Ministry of Finance, Ghana. (2025). 2025 </w:t>
      </w:r>
      <w:proofErr w:type="spellStart"/>
      <w:proofErr w:type="gramStart"/>
      <w:r w:rsidRPr="00FB6EB3">
        <w:rPr>
          <w:rFonts w:ascii="Times New Roman" w:hAnsi="Times New Roman" w:cs="Times New Roman"/>
          <w:sz w:val="24"/>
          <w:szCs w:val="24"/>
        </w:rPr>
        <w:t>programme</w:t>
      </w:r>
      <w:proofErr w:type="spellEnd"/>
      <w:r w:rsidRPr="00FB6EB3">
        <w:rPr>
          <w:rFonts w:ascii="Times New Roman" w:hAnsi="Times New Roman" w:cs="Times New Roman"/>
          <w:sz w:val="24"/>
          <w:szCs w:val="24"/>
        </w:rPr>
        <w:t xml:space="preserve"> based</w:t>
      </w:r>
      <w:proofErr w:type="gramEnd"/>
      <w:r w:rsidRPr="00FB6EB3">
        <w:rPr>
          <w:rFonts w:ascii="Times New Roman" w:hAnsi="Times New Roman" w:cs="Times New Roman"/>
          <w:sz w:val="24"/>
          <w:szCs w:val="24"/>
        </w:rPr>
        <w:t xml:space="preserve"> budget estimates: Ministry of Energy and Green Transition. https://www.mofep.gov.gh/sites/default/files/pbb-estimates/2025/2025-PBB-MoEn.pdf</w:t>
      </w:r>
    </w:p>
    <w:p w14:paraId="7AA5F92B"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Public Utilities Regulatory Commission. (2026). 2026-2030 major tariff review decision for electricity, natural gas and water. https://www.purc.com.gh/attachment/606618-20260127060104.pdf</w:t>
      </w:r>
    </w:p>
    <w:p w14:paraId="4C54CF4C" w14:textId="77777777" w:rsidR="0024798C" w:rsidRPr="00FB6EB3" w:rsidRDefault="00000000" w:rsidP="005A50A6">
      <w:pPr>
        <w:spacing w:after="0"/>
        <w:jc w:val="both"/>
        <w:rPr>
          <w:rFonts w:ascii="Times New Roman" w:hAnsi="Times New Roman" w:cs="Times New Roman"/>
          <w:sz w:val="24"/>
          <w:szCs w:val="24"/>
        </w:rPr>
      </w:pPr>
      <w:proofErr w:type="spellStart"/>
      <w:r w:rsidRPr="00FB6EB3">
        <w:rPr>
          <w:rFonts w:ascii="Times New Roman" w:hAnsi="Times New Roman" w:cs="Times New Roman"/>
          <w:sz w:val="24"/>
          <w:szCs w:val="24"/>
        </w:rPr>
        <w:t>Reganosa</w:t>
      </w:r>
      <w:proofErr w:type="spellEnd"/>
      <w:r w:rsidRPr="00FB6EB3">
        <w:rPr>
          <w:rFonts w:ascii="Times New Roman" w:hAnsi="Times New Roman" w:cs="Times New Roman"/>
          <w:sz w:val="24"/>
          <w:szCs w:val="24"/>
        </w:rPr>
        <w:t xml:space="preserve">. (2021). </w:t>
      </w:r>
      <w:proofErr w:type="spellStart"/>
      <w:r w:rsidRPr="00FB6EB3">
        <w:rPr>
          <w:rFonts w:ascii="Times New Roman" w:hAnsi="Times New Roman" w:cs="Times New Roman"/>
          <w:sz w:val="24"/>
          <w:szCs w:val="24"/>
        </w:rPr>
        <w:t>Reganosa</w:t>
      </w:r>
      <w:proofErr w:type="spellEnd"/>
      <w:r w:rsidRPr="00FB6EB3">
        <w:rPr>
          <w:rFonts w:ascii="Times New Roman" w:hAnsi="Times New Roman" w:cs="Times New Roman"/>
          <w:sz w:val="24"/>
          <w:szCs w:val="24"/>
        </w:rPr>
        <w:t xml:space="preserve"> to operate and maintain sub-Saharan Africa’s first offshore LNG receiving terminal in Ghana. https://www.reganosa.com/en/reganosa-to-operate-and-mantain-sub-saharan-africas-first-offshore-lng-receiving-terminal-in-ghana/</w:t>
      </w:r>
    </w:p>
    <w:p w14:paraId="6CA16701" w14:textId="77777777" w:rsidR="0024798C" w:rsidRPr="00FB6EB3" w:rsidRDefault="00000000" w:rsidP="005A50A6">
      <w:pPr>
        <w:spacing w:after="0"/>
        <w:jc w:val="both"/>
        <w:rPr>
          <w:rFonts w:ascii="Times New Roman" w:hAnsi="Times New Roman" w:cs="Times New Roman"/>
          <w:sz w:val="24"/>
          <w:szCs w:val="24"/>
        </w:rPr>
      </w:pPr>
      <w:proofErr w:type="spellStart"/>
      <w:r w:rsidRPr="00FB6EB3">
        <w:rPr>
          <w:rFonts w:ascii="Times New Roman" w:hAnsi="Times New Roman" w:cs="Times New Roman"/>
          <w:sz w:val="24"/>
          <w:szCs w:val="24"/>
        </w:rPr>
        <w:t>SEforALL</w:t>
      </w:r>
      <w:proofErr w:type="spellEnd"/>
      <w:r w:rsidRPr="00FB6EB3">
        <w:rPr>
          <w:rFonts w:ascii="Times New Roman" w:hAnsi="Times New Roman" w:cs="Times New Roman"/>
          <w:sz w:val="24"/>
          <w:szCs w:val="24"/>
        </w:rPr>
        <w:t>. (2025). Ghana energy transition and investment plan. https://www.seforall.org/system/files/2025-05/Ghana-ETIP.pdf</w:t>
      </w:r>
    </w:p>
    <w:p w14:paraId="06F98DC0"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Volta River Authority. (2026). Power generation: Facts &amp; figures. https://www.vra.com/resources/facts.php</w:t>
      </w:r>
    </w:p>
    <w:p w14:paraId="2EBF9FF2" w14:textId="77777777" w:rsidR="0024798C" w:rsidRPr="00FB6EB3" w:rsidRDefault="00000000" w:rsidP="005A50A6">
      <w:pPr>
        <w:spacing w:after="0"/>
        <w:jc w:val="both"/>
        <w:rPr>
          <w:rFonts w:ascii="Times New Roman" w:hAnsi="Times New Roman" w:cs="Times New Roman"/>
          <w:sz w:val="24"/>
          <w:szCs w:val="24"/>
        </w:rPr>
      </w:pPr>
      <w:proofErr w:type="spellStart"/>
      <w:r w:rsidRPr="00FB6EB3">
        <w:rPr>
          <w:rFonts w:ascii="Times New Roman" w:hAnsi="Times New Roman" w:cs="Times New Roman"/>
          <w:sz w:val="24"/>
          <w:szCs w:val="24"/>
        </w:rPr>
        <w:t>WAPCo</w:t>
      </w:r>
      <w:proofErr w:type="spellEnd"/>
      <w:r w:rsidRPr="00FB6EB3">
        <w:rPr>
          <w:rFonts w:ascii="Times New Roman" w:hAnsi="Times New Roman" w:cs="Times New Roman"/>
          <w:sz w:val="24"/>
          <w:szCs w:val="24"/>
        </w:rPr>
        <w:t>. (2025). Sustainability report 2024. https://www.wagpco.com/wp-content/uploads/2025/05/WAPCo-Sustainability-Report-2024f.pdf</w:t>
      </w:r>
    </w:p>
    <w:p w14:paraId="0867CC4D"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West African Power Pool. (2025). Ghana and Côte d’Ivoire strengthen regional power connectivity with 330 kV interconnection reinforcement project. https://www.ecowapp.org/sites/default/files/press_release_gridco_25_06_2025_eng.pdf</w:t>
      </w:r>
    </w:p>
    <w:p w14:paraId="11156118"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lastRenderedPageBreak/>
        <w:t>World Bank. (2024a). World Bank supports policy reform of Ghana’s energy sector and access to clean cooking. https://www.worldbank.org/en/news/press-release/2024/06/13/afw-world-bank-supports-policy-reform-ghana-energy-sector-and-access-to-clean-cooking</w:t>
      </w:r>
    </w:p>
    <w:p w14:paraId="7C3A9541"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World Bank. (2024b). Ghana Energy Sector Recovery Program appraisal document. https://documents1.worldbank.org/curated/en/099052924124034430/pdf/BOSIB1f865195001b1904710ac9e0be6c95.pdf</w:t>
      </w:r>
    </w:p>
    <w:p w14:paraId="6E7CE003"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World Bank. (2025). Enhancing regional power trade and energy access in West Africa. https://www.worldbank.org/en/news/press-release/2025/01/24/enhancing-regional-power-trade-and-energy-access-in-west-africa</w:t>
      </w:r>
    </w:p>
    <w:p w14:paraId="47AAC79A"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World Bank. (2026). Ghana National Energy Compact (Mission 300). https://www.worldbank.org/content/dam/theworldbankgroupasset/document/2026/m300-energy-compacts/Ghana-National-Energy-Compact-Mission-300.pdf</w:t>
      </w:r>
    </w:p>
    <w:p w14:paraId="7DB84A2A" w14:textId="77777777" w:rsidR="0024798C" w:rsidRPr="00FB6EB3" w:rsidRDefault="00000000" w:rsidP="005A50A6">
      <w:pPr>
        <w:spacing w:after="0"/>
        <w:jc w:val="both"/>
        <w:rPr>
          <w:rFonts w:ascii="Times New Roman" w:hAnsi="Times New Roman" w:cs="Times New Roman"/>
          <w:sz w:val="24"/>
          <w:szCs w:val="24"/>
        </w:rPr>
      </w:pPr>
      <w:r w:rsidRPr="00FB6EB3">
        <w:rPr>
          <w:rFonts w:ascii="Times New Roman" w:hAnsi="Times New Roman" w:cs="Times New Roman"/>
          <w:sz w:val="24"/>
          <w:szCs w:val="24"/>
        </w:rPr>
        <w:t>U.S. Energy Information Administration. (2026). Country analysis and overview pages for Ghana, Nigeria, Egypt, and Mozambique. https://www.eia.gov/international/analysis/world</w:t>
      </w:r>
    </w:p>
    <w:sectPr w:rsidR="0024798C" w:rsidRPr="00FB6EB3" w:rsidSect="00FB6EB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528347">
    <w:abstractNumId w:val="8"/>
  </w:num>
  <w:num w:numId="2" w16cid:durableId="23478943">
    <w:abstractNumId w:val="6"/>
  </w:num>
  <w:num w:numId="3" w16cid:durableId="22217527">
    <w:abstractNumId w:val="5"/>
  </w:num>
  <w:num w:numId="4" w16cid:durableId="1662387852">
    <w:abstractNumId w:val="4"/>
  </w:num>
  <w:num w:numId="5" w16cid:durableId="2011716864">
    <w:abstractNumId w:val="7"/>
  </w:num>
  <w:num w:numId="6" w16cid:durableId="1207255985">
    <w:abstractNumId w:val="3"/>
  </w:num>
  <w:num w:numId="7" w16cid:durableId="1793093441">
    <w:abstractNumId w:val="2"/>
  </w:num>
  <w:num w:numId="8" w16cid:durableId="2052803499">
    <w:abstractNumId w:val="1"/>
  </w:num>
  <w:num w:numId="9" w16cid:durableId="36753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798C"/>
    <w:rsid w:val="0029639D"/>
    <w:rsid w:val="00326F90"/>
    <w:rsid w:val="005A50A6"/>
    <w:rsid w:val="00856451"/>
    <w:rsid w:val="00AA1D8D"/>
    <w:rsid w:val="00B47730"/>
    <w:rsid w:val="00CB0664"/>
    <w:rsid w:val="00CB2CCE"/>
    <w:rsid w:val="00CF455F"/>
    <w:rsid w:val="00D3409D"/>
    <w:rsid w:val="00E11C01"/>
    <w:rsid w:val="00FB6E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1A1835"/>
  <w14:defaultImageDpi w14:val="300"/>
  <w15:docId w15:val="{9E80B056-F2F1-4264-AC2D-4A88ED12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3887</Words>
  <Characters>22162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5</cp:revision>
  <dcterms:created xsi:type="dcterms:W3CDTF">2013-12-23T23:15:00Z</dcterms:created>
  <dcterms:modified xsi:type="dcterms:W3CDTF">2026-07-15T08:40:00Z</dcterms:modified>
  <cp:category/>
</cp:coreProperties>
</file>