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38"/>
          <w:szCs w:val="38"/>
          <w:rtl w:val="0"/>
        </w:rPr>
        <w:t xml:space="preserve">Algeria’s Energy Evolution: Modernising Infrastructure and Diversifying Markets for a Sustainable Gas Future </w:t>
      </w:r>
      <w:r w:rsidDel="00000000" w:rsidR="00000000" w:rsidRPr="00000000">
        <w:rPr>
          <w:rtl w:val="0"/>
        </w:rPr>
      </w:r>
    </w:p>
    <w:p w:rsidR="00000000" w:rsidDel="00000000" w:rsidP="00000000" w:rsidRDefault="00000000" w:rsidRPr="00000000" w14:paraId="00000002">
      <w:pPr>
        <w:spacing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 </w:t>
      </w:r>
    </w:p>
    <w:p w:rsidR="00000000" w:rsidDel="00000000" w:rsidP="00000000" w:rsidRDefault="00000000" w:rsidRPr="00000000" w14:paraId="00000003">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position as North Africa's premier natural gas producer and exporter has been built on decades of investment in conventional gas production, cross-border pipeline infrastructure, liquefied natural gas (LNG) facilities, and long-standing commercial relationships with European energy markets. However, the global gas industry is entering a period of profound transformation driven by the energy transition, evolving geopolitical dynamics, technological innovation, and intensified competition among gas-exporting nations. These developments are compelling Algeria to redefine its gas monetisation strategy beyond its traditional reliance on pipeline exports to Europe.</w:t>
      </w:r>
    </w:p>
    <w:p w:rsidR="00000000" w:rsidDel="00000000" w:rsidP="00000000" w:rsidRDefault="00000000" w:rsidRPr="00000000" w14:paraId="00000004">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Three forces are shaping Sonatrach's strategy through 2035:</w:t>
      </w:r>
    </w:p>
    <w:p w:rsidR="00000000" w:rsidDel="00000000" w:rsidP="00000000" w:rsidRDefault="00000000" w:rsidRPr="00000000" w14:paraId="00000005">
      <w:pPr>
        <w:numPr>
          <w:ilvl w:val="0"/>
          <w:numId w:val="11"/>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need to replace and grow reserves as conventional fields mature, principally through an ambitious but still nascent shale gas programme</w:t>
      </w:r>
    </w:p>
    <w:p w:rsidR="00000000" w:rsidDel="00000000" w:rsidP="00000000" w:rsidRDefault="00000000" w:rsidRPr="00000000" w14:paraId="00000006">
      <w:pPr>
        <w:numPr>
          <w:ilvl w:val="0"/>
          <w:numId w:val="11"/>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imperative to modernise ageing LNG and pipeline assets so that effective capacity converges with nameplate capacity</w:t>
      </w:r>
    </w:p>
    <w:p w:rsidR="00000000" w:rsidDel="00000000" w:rsidP="00000000" w:rsidRDefault="00000000" w:rsidRPr="00000000" w14:paraId="00000007">
      <w:pPr>
        <w:numPr>
          <w:ilvl w:val="0"/>
          <w:numId w:val="11"/>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requirement to diversify beyond a Europe-concentrated export base into new markets and new molecules, including hydrogen.</w:t>
      </w:r>
    </w:p>
    <w:p w:rsidR="00000000" w:rsidDel="00000000" w:rsidP="00000000" w:rsidRDefault="00000000" w:rsidRPr="00000000" w14:paraId="00000008">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research examines Algeria's exploration and reserve-replacement strategy, emerging monetisation technologies (floating LNG, digitalisation, carbon management and hydrogen readiness), the post-2019 fiscal and investment framework, and regional integration through projects such as the Trans-Saharan Gas Pipeline, domestic industrial gas utilisation, and.</w:t>
      </w:r>
    </w:p>
    <w:p w:rsidR="00000000" w:rsidDel="00000000" w:rsidP="00000000" w:rsidRDefault="00000000" w:rsidRPr="00000000" w14:paraId="00000009">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spacing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Future Reserve Replacement and Exploration Strategy</w:t>
      </w:r>
    </w:p>
    <w:p w:rsidR="00000000" w:rsidDel="00000000" w:rsidP="00000000" w:rsidRDefault="00000000" w:rsidRPr="00000000" w14:paraId="0000000B">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few untapped conventional prospects remaining in its core producing basins, Algeria's reserve-replacement strategy is increasingly weighted toward frontier exploration and the systematic derisking of its unconventional resource base. ALNAFT, the hydrocarbons regulator, has stated its objective is to reach the full potential of the country's reserves through a combination of frontier-zone exploration, offshore exploration, and shale gas appraisal. </w:t>
      </w:r>
    </w:p>
    <w:p w:rsidR="00000000" w:rsidDel="00000000" w:rsidP="00000000" w:rsidRDefault="00000000" w:rsidRPr="00000000" w14:paraId="0000000C">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Eight new hydrocarbon contracts were signed in 2025, and the Algeria Bid Round 2026, launched in April 2026, offered seven new exploration zones to international bidders, the clearest signal yet that Algeria is actively working to rebuild its exploration inventory after a decade of comparatively limited drilling activity outside the south-west development wave.</w:t>
      </w:r>
    </w:p>
    <w:p w:rsidR="00000000" w:rsidDel="00000000" w:rsidP="00000000" w:rsidRDefault="00000000" w:rsidRPr="00000000" w14:paraId="0000000D">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reserve-replacement strategy is deliberately paired with the fiscal reforms introduced under the 2019 Hydrocarbons Law, which sought to make higher-risk frontier and offshore acreage commercially attractive to international partners after several bid rounds in the 2010s drew limited interest. </w:t>
      </w:r>
    </w:p>
    <w:p w:rsidR="00000000" w:rsidDel="00000000" w:rsidP="00000000" w:rsidRDefault="00000000" w:rsidRPr="00000000" w14:paraId="0000000E">
      <w:pPr>
        <w:spacing w:line="24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F">
      <w:pPr>
        <w:spacing w:after="200"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Emerging Gas Monetisation Technologies</w:t>
      </w:r>
    </w:p>
    <w:p w:rsidR="00000000" w:rsidDel="00000000" w:rsidP="00000000" w:rsidRDefault="00000000" w:rsidRPr="00000000" w14:paraId="00000010">
      <w:pPr>
        <w:numPr>
          <w:ilvl w:val="0"/>
          <w:numId w:val="8"/>
        </w:numPr>
        <w:spacing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FLNG</w:t>
      </w:r>
    </w:p>
    <w:p w:rsidR="00000000" w:rsidDel="00000000" w:rsidP="00000000" w:rsidRDefault="00000000" w:rsidRPr="00000000" w14:paraId="00000011">
      <w:pPr>
        <w:spacing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Unlike offshore gas producers such as Mozambique, Senegal, and Mauritania, Algeria's gas production is predominantly onshore. Consequently, the immediate commercial case for Floating LNG (FLNG) is limited.</w:t>
      </w:r>
    </w:p>
    <w:p w:rsidR="00000000" w:rsidDel="00000000" w:rsidP="00000000" w:rsidRDefault="00000000" w:rsidRPr="00000000" w14:paraId="00000012">
      <w:pPr>
        <w:spacing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FLNG remains strategically relevant for several reasons:</w:t>
      </w:r>
    </w:p>
    <w:p w:rsidR="00000000" w:rsidDel="00000000" w:rsidP="00000000" w:rsidRDefault="00000000" w:rsidRPr="00000000" w14:paraId="00000013">
      <w:pPr>
        <w:numPr>
          <w:ilvl w:val="0"/>
          <w:numId w:val="9"/>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Potential development of isolated offshore discoveries.</w:t>
      </w:r>
    </w:p>
    <w:p w:rsidR="00000000" w:rsidDel="00000000" w:rsidP="00000000" w:rsidRDefault="00000000" w:rsidRPr="00000000" w14:paraId="00000014">
      <w:pPr>
        <w:numPr>
          <w:ilvl w:val="0"/>
          <w:numId w:val="9"/>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Access to stranded gas resources.</w:t>
      </w:r>
    </w:p>
    <w:p w:rsidR="00000000" w:rsidDel="00000000" w:rsidP="00000000" w:rsidRDefault="00000000" w:rsidRPr="00000000" w14:paraId="00000015">
      <w:pPr>
        <w:numPr>
          <w:ilvl w:val="0"/>
          <w:numId w:val="9"/>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Flexible production without major onshore infrastructure.</w:t>
      </w:r>
    </w:p>
    <w:p w:rsidR="00000000" w:rsidDel="00000000" w:rsidP="00000000" w:rsidRDefault="00000000" w:rsidRPr="00000000" w14:paraId="00000016">
      <w:pPr>
        <w:numPr>
          <w:ilvl w:val="0"/>
          <w:numId w:val="9"/>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Export diversification.</w:t>
      </w:r>
    </w:p>
    <w:p w:rsidR="00000000" w:rsidDel="00000000" w:rsidP="00000000" w:rsidRDefault="00000000" w:rsidRPr="00000000" w14:paraId="00000017">
      <w:pPr>
        <w:spacing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 present, Algeria's existing onshore LNG infrastructure at Arzew and Skikda provides a more cost-effective monetisation pathway. Nevertheless, technological developments and future offshore discoveries could alter this assessment over the longer term.</w:t>
      </w:r>
    </w:p>
    <w:p w:rsidR="00000000" w:rsidDel="00000000" w:rsidP="00000000" w:rsidRDefault="00000000" w:rsidRPr="00000000" w14:paraId="00000018">
      <w:pPr>
        <w:numPr>
          <w:ilvl w:val="0"/>
          <w:numId w:val="10"/>
        </w:numPr>
        <w:spacing w:before="20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Digitalisation</w:t>
      </w:r>
    </w:p>
    <w:p w:rsidR="00000000" w:rsidDel="00000000" w:rsidP="00000000" w:rsidRDefault="00000000" w:rsidRPr="00000000" w14:paraId="00000019">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Digital transformation has become one of Sonatrach's highest strategic priorities. The company is investing in digital technologies that integrate upstream, midstream, and downstream operations into a single data-driven operating environment. Key Applications include:</w:t>
      </w:r>
    </w:p>
    <w:p w:rsidR="00000000" w:rsidDel="00000000" w:rsidP="00000000" w:rsidRDefault="00000000" w:rsidRPr="00000000" w14:paraId="0000001A">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Artificial intelligence for production forecasting.</w:t>
      </w:r>
    </w:p>
    <w:p w:rsidR="00000000" w:rsidDel="00000000" w:rsidP="00000000" w:rsidRDefault="00000000" w:rsidRPr="00000000" w14:paraId="0000001B">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Machine learning for predictive maintenance.</w:t>
      </w:r>
    </w:p>
    <w:p w:rsidR="00000000" w:rsidDel="00000000" w:rsidP="00000000" w:rsidRDefault="00000000" w:rsidRPr="00000000" w14:paraId="0000001C">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Digital twins of major production facilities.</w:t>
      </w:r>
    </w:p>
    <w:p w:rsidR="00000000" w:rsidDel="00000000" w:rsidP="00000000" w:rsidRDefault="00000000" w:rsidRPr="00000000" w14:paraId="0000001D">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Automated drilling optimization.</w:t>
      </w:r>
    </w:p>
    <w:p w:rsidR="00000000" w:rsidDel="00000000" w:rsidP="00000000" w:rsidRDefault="00000000" w:rsidRPr="00000000" w14:paraId="0000001E">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Integrated operations centres.</w:t>
      </w:r>
    </w:p>
    <w:p w:rsidR="00000000" w:rsidDel="00000000" w:rsidP="00000000" w:rsidRDefault="00000000" w:rsidRPr="00000000" w14:paraId="0000001F">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Cloud-based reservoir management.</w:t>
      </w:r>
    </w:p>
    <w:p w:rsidR="00000000" w:rsidDel="00000000" w:rsidP="00000000" w:rsidRDefault="00000000" w:rsidRPr="00000000" w14:paraId="00000020">
      <w:pPr>
        <w:numPr>
          <w:ilvl w:val="0"/>
          <w:numId w:val="2"/>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Real-time production surveillance.</w:t>
      </w:r>
    </w:p>
    <w:p w:rsidR="00000000" w:rsidDel="00000000" w:rsidP="00000000" w:rsidRDefault="00000000" w:rsidRPr="00000000" w14:paraId="00000021">
      <w:pPr>
        <w:spacing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Strategic Benefits</w:t>
      </w:r>
    </w:p>
    <w:p w:rsidR="00000000" w:rsidDel="00000000" w:rsidP="00000000" w:rsidRDefault="00000000" w:rsidRPr="00000000" w14:paraId="00000022">
      <w:pPr>
        <w:spacing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Digitalisation enables operators to:</w:t>
      </w:r>
    </w:p>
    <w:p w:rsidR="00000000" w:rsidDel="00000000" w:rsidP="00000000" w:rsidRDefault="00000000" w:rsidRPr="00000000" w14:paraId="00000023">
      <w:pPr>
        <w:numPr>
          <w:ilvl w:val="0"/>
          <w:numId w:val="1"/>
        </w:numPr>
        <w:spacing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Reduce unplanned shutdowns.</w:t>
      </w:r>
    </w:p>
    <w:p w:rsidR="00000000" w:rsidDel="00000000" w:rsidP="00000000" w:rsidRDefault="00000000" w:rsidRPr="00000000" w14:paraId="00000024">
      <w:pPr>
        <w:numPr>
          <w:ilvl w:val="0"/>
          <w:numId w:val="1"/>
        </w:numPr>
        <w:spacing w:after="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Improve reservoir performance.</w:t>
      </w:r>
    </w:p>
    <w:p w:rsidR="00000000" w:rsidDel="00000000" w:rsidP="00000000" w:rsidRDefault="00000000" w:rsidRPr="00000000" w14:paraId="00000025">
      <w:pPr>
        <w:numPr>
          <w:ilvl w:val="0"/>
          <w:numId w:val="1"/>
        </w:numPr>
        <w:spacing w:after="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Increase equipment reliability.</w:t>
      </w:r>
    </w:p>
    <w:p w:rsidR="00000000" w:rsidDel="00000000" w:rsidP="00000000" w:rsidRDefault="00000000" w:rsidRPr="00000000" w14:paraId="00000026">
      <w:pPr>
        <w:numPr>
          <w:ilvl w:val="0"/>
          <w:numId w:val="1"/>
        </w:numPr>
        <w:spacing w:after="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Lower operating expenditure (OPEX).</w:t>
      </w:r>
    </w:p>
    <w:p w:rsidR="00000000" w:rsidDel="00000000" w:rsidP="00000000" w:rsidRDefault="00000000" w:rsidRPr="00000000" w14:paraId="00000027">
      <w:pPr>
        <w:numPr>
          <w:ilvl w:val="0"/>
          <w:numId w:val="1"/>
        </w:numPr>
        <w:spacing w:after="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Improve safety performance.</w:t>
      </w:r>
    </w:p>
    <w:p w:rsidR="00000000" w:rsidDel="00000000" w:rsidP="00000000" w:rsidRDefault="00000000" w:rsidRPr="00000000" w14:paraId="00000028">
      <w:pPr>
        <w:numPr>
          <w:ilvl w:val="0"/>
          <w:numId w:val="1"/>
        </w:numPr>
        <w:spacing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Accelerate operational decision-making.</w:t>
      </w:r>
    </w:p>
    <w:p w:rsidR="00000000" w:rsidDel="00000000" w:rsidP="00000000" w:rsidRDefault="00000000" w:rsidRPr="00000000" w14:paraId="00000029">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numPr>
          <w:ilvl w:val="0"/>
          <w:numId w:val="4"/>
        </w:numPr>
        <w:spacing w:after="200" w:before="200" w:line="240"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Carbon Capture, Utilisation and Storage (CCUS)</w:t>
      </w:r>
    </w:p>
    <w:p w:rsidR="00000000" w:rsidDel="00000000" w:rsidP="00000000" w:rsidRDefault="00000000" w:rsidRPr="00000000" w14:paraId="0000002B">
      <w:pPr>
        <w:spacing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Europe's growing emphasis on low-carbon energy imports has prompted Algeria to evaluate carbon management technologies as a means of preserving the competitiveness of its gas exports. Potential CCUS applications include:</w:t>
      </w:r>
    </w:p>
    <w:p w:rsidR="00000000" w:rsidDel="00000000" w:rsidP="00000000" w:rsidRDefault="00000000" w:rsidRPr="00000000" w14:paraId="0000002C">
      <w:pPr>
        <w:numPr>
          <w:ilvl w:val="0"/>
          <w:numId w:val="6"/>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Capturing carbon dioxide from gas processing facilities.</w:t>
      </w:r>
    </w:p>
    <w:p w:rsidR="00000000" w:rsidDel="00000000" w:rsidP="00000000" w:rsidRDefault="00000000" w:rsidRPr="00000000" w14:paraId="0000002D">
      <w:pPr>
        <w:numPr>
          <w:ilvl w:val="0"/>
          <w:numId w:val="6"/>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Injection of captured CO₂ into depleted reservoirs.</w:t>
      </w:r>
    </w:p>
    <w:p w:rsidR="00000000" w:rsidDel="00000000" w:rsidP="00000000" w:rsidRDefault="00000000" w:rsidRPr="00000000" w14:paraId="0000002E">
      <w:pPr>
        <w:numPr>
          <w:ilvl w:val="0"/>
          <w:numId w:val="6"/>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Enhanced gas recovery using CO₂ injection.</w:t>
      </w:r>
    </w:p>
    <w:p w:rsidR="00000000" w:rsidDel="00000000" w:rsidP="00000000" w:rsidRDefault="00000000" w:rsidRPr="00000000" w14:paraId="0000002F">
      <w:pPr>
        <w:numPr>
          <w:ilvl w:val="0"/>
          <w:numId w:val="6"/>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Industrial carbon storage hubs.</w:t>
      </w:r>
    </w:p>
    <w:p w:rsidR="00000000" w:rsidDel="00000000" w:rsidP="00000000" w:rsidRDefault="00000000" w:rsidRPr="00000000" w14:paraId="00000030">
      <w:pPr>
        <w:numPr>
          <w:ilvl w:val="0"/>
          <w:numId w:val="6"/>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Carbon management services for heavy industry.</w:t>
      </w:r>
    </w:p>
    <w:p w:rsidR="00000000" w:rsidDel="00000000" w:rsidP="00000000" w:rsidRDefault="00000000" w:rsidRPr="00000000" w14:paraId="00000031">
      <w:pPr>
        <w:spacing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Existing geological formations associated with mature gas fields may provide favourable storage opportunities. While commercial deployment remains limited, CCUS could become increasingly important as European carbon regulations tighten.</w:t>
      </w:r>
    </w:p>
    <w:p w:rsidR="00000000" w:rsidDel="00000000" w:rsidP="00000000" w:rsidRDefault="00000000" w:rsidRPr="00000000" w14:paraId="00000032">
      <w:pPr>
        <w:spacing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numPr>
          <w:ilvl w:val="0"/>
          <w:numId w:val="7"/>
        </w:numPr>
        <w:spacing w:after="20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Hydrogen Readiness</w:t>
      </w:r>
    </w:p>
    <w:p w:rsidR="00000000" w:rsidDel="00000000" w:rsidP="00000000" w:rsidRDefault="00000000" w:rsidRPr="00000000" w14:paraId="00000034">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Hydrogen readiness is the most strategically ambitious of the emerging pathways. Algeria's abundant natural gas resources, renewable energy potential, and proximity to Europe position it to participate in future hydrogen value chains.</w:t>
      </w:r>
    </w:p>
    <w:p w:rsidR="00000000" w:rsidDel="00000000" w:rsidP="00000000" w:rsidRDefault="00000000" w:rsidRPr="00000000" w14:paraId="00000035">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Current areas of assessment include:</w:t>
      </w:r>
    </w:p>
    <w:p w:rsidR="00000000" w:rsidDel="00000000" w:rsidP="00000000" w:rsidRDefault="00000000" w:rsidRPr="00000000" w14:paraId="00000036">
      <w:pPr>
        <w:numPr>
          <w:ilvl w:val="0"/>
          <w:numId w:val="12"/>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Blue hydrogen production using natural gas with CCUS.</w:t>
      </w:r>
    </w:p>
    <w:p w:rsidR="00000000" w:rsidDel="00000000" w:rsidP="00000000" w:rsidRDefault="00000000" w:rsidRPr="00000000" w14:paraId="00000037">
      <w:pPr>
        <w:numPr>
          <w:ilvl w:val="0"/>
          <w:numId w:val="12"/>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Green hydrogen opportunities supported by solar power.</w:t>
      </w:r>
    </w:p>
    <w:p w:rsidR="00000000" w:rsidDel="00000000" w:rsidP="00000000" w:rsidRDefault="00000000" w:rsidRPr="00000000" w14:paraId="00000038">
      <w:pPr>
        <w:numPr>
          <w:ilvl w:val="0"/>
          <w:numId w:val="12"/>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Hydrogen blending within existing gas pipelines.</w:t>
      </w:r>
    </w:p>
    <w:p w:rsidR="00000000" w:rsidDel="00000000" w:rsidP="00000000" w:rsidRDefault="00000000" w:rsidRPr="00000000" w14:paraId="00000039">
      <w:pPr>
        <w:numPr>
          <w:ilvl w:val="0"/>
          <w:numId w:val="12"/>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Export infrastructure compatibility.</w:t>
      </w:r>
    </w:p>
    <w:p w:rsidR="00000000" w:rsidDel="00000000" w:rsidP="00000000" w:rsidRDefault="00000000" w:rsidRPr="00000000" w14:paraId="0000003A">
      <w:pPr>
        <w:numPr>
          <w:ilvl w:val="0"/>
          <w:numId w:val="12"/>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Industrial hydrogen applications.   </w:t>
      </w:r>
    </w:p>
    <w:p w:rsidR="00000000" w:rsidDel="00000000" w:rsidP="00000000" w:rsidRDefault="00000000" w:rsidRPr="00000000" w14:paraId="0000003B">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spacing w:after="200"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Modern Exploration Technologies</w:t>
      </w:r>
    </w:p>
    <w:p w:rsidR="00000000" w:rsidDel="00000000" w:rsidP="00000000" w:rsidRDefault="00000000" w:rsidRPr="00000000" w14:paraId="0000003D">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exploration strategy is increasingly technology-driven. Sonatrach and its partners are adopting advanced geoscience tools to improve exploration success rates and reduce drilling risk. Key technologies include:</w:t>
      </w:r>
    </w:p>
    <w:p w:rsidR="00000000" w:rsidDel="00000000" w:rsidP="00000000" w:rsidRDefault="00000000" w:rsidRPr="00000000" w14:paraId="0000003E">
      <w:pPr>
        <w:numPr>
          <w:ilvl w:val="0"/>
          <w:numId w:val="3"/>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Broadband and high-density 3D seismic acquisition.</w:t>
      </w:r>
    </w:p>
    <w:p w:rsidR="00000000" w:rsidDel="00000000" w:rsidP="00000000" w:rsidRDefault="00000000" w:rsidRPr="00000000" w14:paraId="0000003F">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Full-waveform inversion (FWI) for enhanced subsurface imaging.</w:t>
      </w:r>
    </w:p>
    <w:p w:rsidR="00000000" w:rsidDel="00000000" w:rsidP="00000000" w:rsidRDefault="00000000" w:rsidRPr="00000000" w14:paraId="00000040">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Machine learning algorithms for prospect ranking.</w:t>
      </w:r>
    </w:p>
    <w:p w:rsidR="00000000" w:rsidDel="00000000" w:rsidP="00000000" w:rsidRDefault="00000000" w:rsidRPr="00000000" w14:paraId="00000041">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Artificial intelligence-assisted seismic interpretation.</w:t>
      </w:r>
    </w:p>
    <w:p w:rsidR="00000000" w:rsidDel="00000000" w:rsidP="00000000" w:rsidRDefault="00000000" w:rsidRPr="00000000" w14:paraId="00000042">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Integrated geological and reservoir modelling.</w:t>
      </w:r>
    </w:p>
    <w:p w:rsidR="00000000" w:rsidDel="00000000" w:rsidP="00000000" w:rsidRDefault="00000000" w:rsidRPr="00000000" w14:paraId="00000043">
      <w:pPr>
        <w:numPr>
          <w:ilvl w:val="0"/>
          <w:numId w:val="3"/>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Remote sensing and satellite-based geological mapping.</w:t>
      </w:r>
    </w:p>
    <w:p w:rsidR="00000000" w:rsidDel="00000000" w:rsidP="00000000" w:rsidRDefault="00000000" w:rsidRPr="00000000" w14:paraId="00000044">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These technologies are expected to shorten exploration cycles, improve reserve estimation, and optimize drilling decisions.</w:t>
      </w:r>
    </w:p>
    <w:p w:rsidR="00000000" w:rsidDel="00000000" w:rsidP="00000000" w:rsidRDefault="00000000" w:rsidRPr="00000000" w14:paraId="00000045">
      <w:pPr>
        <w:spacing w:line="24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6">
      <w:pPr>
        <w:spacing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Foreign Investment and Fiscal Reforms</w:t>
      </w:r>
    </w:p>
    <w:p w:rsidR="00000000" w:rsidDel="00000000" w:rsidP="00000000" w:rsidRDefault="00000000" w:rsidRPr="00000000" w14:paraId="00000047">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2019 Hydrocarbons Law remains the foundation of Algeria's investment climate for gas, replacing a more restrictive prior regime with more flexible contract types, reduced royalty rates for higher-risk and unconventional acreage, and clearer arbitration and repatriation provisions aimed at addressing longstanding investor concerns. Subsequent implementing regulations and ALNAFT's licensing-round design have continued to refine these terms, and officials point to the volume of contract signings in 2025 (eight new agreements) and continued interest in Bid Round 2026 as evidence that the reformed framework is succeeding in attracting capital, albeit from a low base relative to the 2000s investment cycle. Sonatrach's own five-year, US$50 billion capital programme (2024–2028) both funds the majority of near-term upstream and infrastructure investment directly and signals continued state commitment to the sector, which international partners typically view as a precondition for their own co-investment. The table below shows Foreign Investors in Algeria's Gas Sector.</w:t>
      </w:r>
    </w:p>
    <w:p w:rsidR="00000000" w:rsidDel="00000000" w:rsidP="00000000" w:rsidRDefault="00000000" w:rsidRPr="00000000" w14:paraId="00000048">
      <w:pPr>
        <w:spacing w:line="240" w:lineRule="auto"/>
        <w:jc w:val="both"/>
        <w:rPr>
          <w:rFonts w:ascii="Century Gothic" w:cs="Century Gothic" w:eastAsia="Century Gothic" w:hAnsi="Century Gothic"/>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Investor</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Country</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Focus Area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TFT field JV; LNG offtake; renewables cooperation with Sonatrach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Italy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TransMed co-operation (TMPC); upstream JV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Chevron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States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Unconventional/shale gas evaluation (2024 MOU)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ExxonMobil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States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Unconventional/shale gas evaluation (2024 MOU)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Cepsa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Green hydrogen feasibility study (2024 MOU)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Snam / SeaCorridor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SoutH2 Corridor hydrogen pipeline feasibility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Naturgy / Enagas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Medgaz co-ownership and long-term gas offtake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Sinopec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LNG storage/jetty infrastructure contracting</w:t>
            </w:r>
          </w:p>
        </w:tc>
      </w:tr>
    </w:tbl>
    <w:p w:rsidR="00000000" w:rsidDel="00000000" w:rsidP="00000000" w:rsidRDefault="00000000" w:rsidRPr="00000000" w14:paraId="00000064">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spacing w:after="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6"/>
          <w:szCs w:val="26"/>
          <w:rtl w:val="0"/>
        </w:rPr>
        <w:t xml:space="preserve">Outlook (2026–2035)</w:t>
      </w:r>
      <w:r w:rsidDel="00000000" w:rsidR="00000000" w:rsidRPr="00000000">
        <w:rPr>
          <w:rtl w:val="0"/>
        </w:rPr>
      </w:r>
    </w:p>
    <w:p w:rsidR="00000000" w:rsidDel="00000000" w:rsidP="00000000" w:rsidRDefault="00000000" w:rsidRPr="00000000" w14:paraId="00000066">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medium-term trajectory hinges on the successful conversion of upstream investment into sustained production growth. If Sonatrach's compression programme and south-west project pipeline deliver as planned, marketed output could plausibly reach the 130–150 bcm/year range by the early 2030s, still short of the government's 200 bcm/year aspiration but sufficient to grow exportable surplus meaningfully once rising domestic demand is accounted for. </w:t>
      </w:r>
    </w:p>
    <w:p w:rsidR="00000000" w:rsidDel="00000000" w:rsidP="00000000" w:rsidRDefault="00000000" w:rsidRPr="00000000" w14:paraId="00000067">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the demand side, European pipeline and LNG offtake is expected to remain broadly stable to modestly growing through 2030 as part of continued post-Russia diversification, before facing a longer-run structural ceiling from EU decarbonisation policy in the 2030s.</w:t>
      </w:r>
    </w:p>
    <w:p w:rsidR="00000000" w:rsidDel="00000000" w:rsidP="00000000" w:rsidRDefault="00000000" w:rsidRPr="00000000" w14:paraId="00000068">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spacing w:after="200"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Strategic Recommendations</w:t>
      </w:r>
    </w:p>
    <w:p w:rsidR="00000000" w:rsidDel="00000000" w:rsidP="00000000" w:rsidRDefault="00000000" w:rsidRPr="00000000" w14:paraId="0000006A">
      <w:pPr>
        <w:numPr>
          <w:ilvl w:val="0"/>
          <w:numId w:val="5"/>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Prioritise timely delivery of the Hassi R'Mel compression programme and south-west project completions, since upstream deliverability not export infrastructure is the binding constraint on near-term monetisation.</w:t>
      </w:r>
    </w:p>
    <w:p w:rsidR="00000000" w:rsidDel="00000000" w:rsidP="00000000" w:rsidRDefault="00000000" w:rsidRPr="00000000" w14:paraId="0000006B">
      <w:pPr>
        <w:numPr>
          <w:ilvl w:val="0"/>
          <w:numId w:val="5"/>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Near-term risk-adjusted returns are likely most attractive in LNG reliability/life-extension work and Hassi R'Mel-area compression and enhanced recovery lower-risk, faster-payback investments relative to frontier shale exploration.</w:t>
      </w:r>
    </w:p>
    <w:p w:rsidR="00000000" w:rsidDel="00000000" w:rsidP="00000000" w:rsidRDefault="00000000" w:rsidRPr="00000000" w14:paraId="0000006C">
      <w:pPr>
        <w:numPr>
          <w:ilvl w:val="0"/>
          <w:numId w:val="5"/>
        </w:numPr>
        <w:spacing w:after="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Track the Algeria–Morocco relationship and broader Sahel security dynamics as the key geopolitical variables capable of either unlocking (GME reopening, TSGP delivery) or further constraining (renewed regional tension) Algeria's export flexibility.</w:t>
      </w:r>
    </w:p>
    <w:p w:rsidR="00000000" w:rsidDel="00000000" w:rsidP="00000000" w:rsidRDefault="00000000" w:rsidRPr="00000000" w14:paraId="0000006D">
      <w:pPr>
        <w:spacing w:after="200" w:line="24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E">
      <w:pPr>
        <w:spacing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Conclusion </w:t>
      </w:r>
    </w:p>
    <w:p w:rsidR="00000000" w:rsidDel="00000000" w:rsidP="00000000" w:rsidRDefault="00000000" w:rsidRPr="00000000" w14:paraId="0000006F">
      <w:pPr>
        <w:spacing w:after="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 has already established itself as a regional natural gas supplier through decades of investment in upstream production, pipeline infrastructure, LNG facilities, and long-term export relationships. However, sustaining this position in an increasingly competitive and decarbonising global energy market will require a strategic evolution rather than a continuation of past practices.</w:t>
      </w:r>
    </w:p>
    <w:p w:rsidR="00000000" w:rsidDel="00000000" w:rsidP="00000000" w:rsidRDefault="00000000" w:rsidRPr="00000000" w14:paraId="00000070">
      <w:pPr>
        <w:spacing w:after="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country's future competitiveness will depend on its ability to replace declining reserves, modernise infrastructure, adopt advanced technologies, strengthen environmental performance, and diversify both its investment base and export markets. Sonatrach will remain central to this transformation, but long-term success will also rely on continued collaboration with international partners capable of providing capital, technology, and operational expertise.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