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C6BE8">
      <w:pPr>
        <w:spacing w:after="120" w:line="360" w:lineRule="auto"/>
        <w:jc w:val="both"/>
        <w:rPr>
          <w:rFonts w:hint="default" w:ascii="Times New Roman" w:hAnsi="Times New Roman" w:eastAsia="Calibri" w:cs="Times New Roman"/>
          <w:b/>
          <w:bCs/>
          <w:i w:val="0"/>
          <w:color w:val="auto"/>
          <w:sz w:val="24"/>
          <w:szCs w:val="24"/>
          <w:lang w:val="en-US"/>
        </w:rPr>
      </w:pPr>
      <w:bookmarkStart w:id="0" w:name="_GoBack"/>
      <w:r>
        <w:rPr>
          <w:rFonts w:hint="default" w:ascii="Times New Roman" w:hAnsi="Times New Roman" w:eastAsia="Calibri" w:cs="Times New Roman"/>
          <w:b/>
          <w:bCs/>
          <w:i w:val="0"/>
          <w:color w:val="auto"/>
          <w:sz w:val="24"/>
          <w:szCs w:val="24"/>
          <w:lang w:val="en-US"/>
        </w:rPr>
        <w:t>ANGOLA’S GAS BUSINESS OPERATORS AND THEIR ROLE IN LNG-LED GAS MONETIZATION</w:t>
      </w:r>
    </w:p>
    <w:bookmarkEnd w:id="0"/>
    <w:p w14:paraId="5296B190">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Executive Summary</w:t>
      </w:r>
    </w:p>
    <w:p w14:paraId="53AEDCF1">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Angola's gas strategy is no longer a peripheral adjunct to oil production; it is becoming a distinct pillar of export competitiveness, flaring reduction, and industrial policy. The Soyo-based Angola LNG complex remains the centre of that strategy, with design capacity of 1.1 billion cubic feet per day and 5.2 million tonnes per annum (mtpa). The project's strategic value lies in converting associated gas that would otherwise be reinjected or flared into export LNG, domestic gas, and natural gas liquids, thereby linking upstream oil activity to foreign exchange earnings and lower emissions (World Bank, 2025). In 2024 Angola exported 3.81 million tonnes of LNG, up slightly from 3.70 million tonnes in 2023, and ranked among Africa's leading LNG exporters, while its cargo allocation shifted with global market conditions toward both Europe and Asia (International Gas Union, 2025; U.S. Energy Information Administration, 2025).</w:t>
      </w:r>
    </w:p>
    <w:p w14:paraId="6CA34D54">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The operator landscape is strategically concentrated. Sonangol anchors national control and domestic gas offtake; Chevron remains the largest Angola LNG shareholder and a critical feed-gas enabler through Block 0 and the Sanha Lean Gas Connection; Azule Energy has emerged as the pivotal growth operator through the New Gas Consortium (NGC); TotalEnergies adds capital, offshore execution capability, and methane-management collaboration; Eni influences the sector largely through Azule and technology transfer; and ExxonMobil remains important upstream but only indirectly linked to LNG monetisation. The decisive turning point is the move from declining associated-gas feedstock toward dedicated non-associated gas. Quiluma and Maboqueiro, Angola's first non-associated gas development, began supplying gas in 2026, with initial export volumes of 150 million standard cubic feet per day (mmscfd) expected to rise to 314 mmscfd by year-end, materially improving plant utilisation and supply security (ANPG, 2026).</w:t>
      </w:r>
    </w:p>
    <w:p w14:paraId="25A1F1CF">
      <w:pPr>
        <w:spacing w:after="120" w:line="360" w:lineRule="auto"/>
        <w:jc w:val="both"/>
        <w:rPr>
          <w:rFonts w:hint="default" w:ascii="Times New Roman" w:hAnsi="Times New Roman" w:eastAsia="Calibri" w:cs="Times New Roman"/>
          <w:b w:val="0"/>
          <w:i w:val="0"/>
          <w:color w:val="auto"/>
          <w:sz w:val="24"/>
          <w:szCs w:val="24"/>
        </w:rPr>
      </w:pPr>
      <w:r>
        <w:rPr>
          <w:rFonts w:hint="default" w:ascii="Times New Roman" w:hAnsi="Times New Roman" w:eastAsia="Calibri" w:cs="Times New Roman"/>
          <w:b w:val="0"/>
          <w:i w:val="0"/>
          <w:color w:val="auto"/>
          <w:sz w:val="24"/>
          <w:szCs w:val="24"/>
        </w:rPr>
        <w:t>The main risks are reserve uncertainty, declining mature oil-linked gas, infrastructure concentration at Soyo, financing and fiscal competitiveness, and tighter carbon standards in LNG markets. The main opportunity is that Angola can reposition itself from an associated-gas salvage story to a more resilient gas-export model if it accelerates reserve replacement, expands domestic gas demand, and embeds lower-carbon operating standards. The priority recommendations are to deepen gas-focused exploration, sustain contractual stability, expand midstream redundancy, scale methane-abatement and flare-recovery technologies, and link LNG growth to domestic industry rather than treating exports as the sole monetisation pathway.</w:t>
      </w:r>
    </w:p>
    <w:p w14:paraId="3B676E36">
      <w:pPr>
        <w:spacing w:after="120" w:line="360" w:lineRule="auto"/>
        <w:jc w:val="both"/>
        <w:rPr>
          <w:rFonts w:hint="default" w:ascii="Times New Roman" w:hAnsi="Times New Roman" w:eastAsia="Calibri" w:cs="Times New Roman"/>
          <w:b/>
          <w:bCs/>
          <w:color w:val="auto"/>
          <w:sz w:val="24"/>
          <w:szCs w:val="24"/>
        </w:rPr>
      </w:pPr>
    </w:p>
    <w:p w14:paraId="575C39EA">
      <w:pPr>
        <w:spacing w:after="120" w:line="360" w:lineRule="auto"/>
        <w:jc w:val="both"/>
        <w:rPr>
          <w:rFonts w:hint="default" w:ascii="Times New Roman" w:hAnsi="Times New Roman" w:cs="Times New Roman"/>
          <w:b/>
          <w:bCs/>
          <w:color w:val="auto"/>
          <w:sz w:val="24"/>
          <w:szCs w:val="24"/>
        </w:rPr>
      </w:pPr>
      <w:r>
        <w:rPr>
          <w:rFonts w:hint="default" w:ascii="Times New Roman" w:hAnsi="Times New Roman" w:eastAsia="Calibri" w:cs="Times New Roman"/>
          <w:b/>
          <w:bCs/>
          <w:color w:val="auto"/>
          <w:sz w:val="24"/>
          <w:szCs w:val="24"/>
        </w:rPr>
        <w:t xml:space="preserve"> INTRODUCTION</w:t>
      </w:r>
    </w:p>
    <w:p w14:paraId="3D99B842">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For most of the post-war period, Angola's hydrocarbons strategy was dominated by crude oil. Gas was commercially secondary, largely produced as associated gas from offshore oil fields and either reinjected, flared, or only partially monetised. Angola LNG changed that logic by creating an export market for associated gas where domestic demand was initially too small to absorb volumes at scale (World Bank, 2025).</w:t>
      </w:r>
    </w:p>
    <w:p w14:paraId="79A58CD1">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The strategic question is no longer whether Angola can export LNG, but whether its operator ecosystem can sustain feed-gas availability, attract fresh capital, and convert gas into wider national value. This note therefore examines the domestic and international operators shaping Angola's gas economy, with emphasis on how they support LNG exports, government revenues, local capability development, energy security, and long-term economic diversification.</w:t>
      </w:r>
    </w:p>
    <w:p w14:paraId="4666D1C7">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 xml:space="preserve">OVERVIEW OF ANGOLA'S GAS </w:t>
      </w:r>
      <w:r>
        <w:rPr>
          <w:rFonts w:hint="default" w:ascii="Times New Roman" w:hAnsi="Times New Roman" w:eastAsia="Calibri" w:cs="Times New Roman"/>
          <w:color w:val="auto"/>
          <w:sz w:val="24"/>
          <w:szCs w:val="24"/>
          <w:lang w:val="en-US"/>
        </w:rPr>
        <w:t>MONETIZATION</w:t>
      </w:r>
      <w:r>
        <w:rPr>
          <w:rFonts w:hint="default" w:ascii="Times New Roman" w:hAnsi="Times New Roman" w:eastAsia="Calibri" w:cs="Times New Roman"/>
          <w:color w:val="auto"/>
          <w:sz w:val="24"/>
          <w:szCs w:val="24"/>
        </w:rPr>
        <w:t xml:space="preserve"> STRATEGY</w:t>
      </w:r>
    </w:p>
    <w:p w14:paraId="5309444A">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Angola's gas </w:t>
      </w:r>
      <w:r>
        <w:rPr>
          <w:rFonts w:hint="default" w:ascii="Times New Roman" w:hAnsi="Times New Roman" w:cs="Times New Roman"/>
          <w:b w:val="0"/>
          <w:i w:val="0"/>
          <w:color w:val="auto"/>
          <w:sz w:val="24"/>
          <w:szCs w:val="24"/>
          <w:lang w:val="en-US"/>
        </w:rPr>
        <w:t>monetization</w:t>
      </w:r>
      <w:r>
        <w:rPr>
          <w:rFonts w:hint="default" w:ascii="Times New Roman" w:hAnsi="Times New Roman" w:eastAsia="Calibri" w:cs="Times New Roman"/>
          <w:b w:val="0"/>
          <w:i w:val="0"/>
          <w:color w:val="auto"/>
          <w:sz w:val="24"/>
          <w:szCs w:val="24"/>
        </w:rPr>
        <w:t xml:space="preserve"> strategy rests on three linked propositions. First, gas reduces waste and emissions by capturing associated gas that historically had limited commercial outlets. Second, LNG provides the export anchor needed to justify offshore gathering, processing, and transportation infrastructure. Third, domestic gas supply can support power generation and selected industries once export-linked infrastructure is in place. Official and industry sources indicate that Angola's reserve base is meaningful but not large by global LNG standards, which makes commercial discipline critical. OPEC reports proven gas reserves of 301 billion cubic metres at end-2024, while the EIA estimates proved reserves at 4.6 trillion cubic feet at the beginning of 2025; the divergence reflects differing reserve definitions, but both point to the need for reserve replacement rather than complacency (EIA, 2025; OPEC, 2025).</w:t>
      </w:r>
    </w:p>
    <w:p w14:paraId="537BB798">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Recent policy messaging shows that government strategy is aimed at preserving Angola LNG throughput while opening a second phase of gas development. ANPG and the Ministry of Mineral Resources, Petroleum and Gas have repeatedly framed the 2018 gas law and related investment incentives as the legal basis for non-associated gas development, culminating in the NGC investment and the 2026 start-up of Quiluma gas deliveries (ANPG, 2023; ANPG, 2025; ANPG, 2026). LNG remains the cornerstone because it </w:t>
      </w:r>
      <w:r>
        <w:rPr>
          <w:rFonts w:hint="default" w:ascii="Times New Roman" w:hAnsi="Times New Roman" w:cs="Times New Roman"/>
          <w:b w:val="0"/>
          <w:i w:val="0"/>
          <w:color w:val="auto"/>
          <w:sz w:val="24"/>
          <w:szCs w:val="24"/>
          <w:lang w:val="en-US"/>
        </w:rPr>
        <w:t>monetizes</w:t>
      </w:r>
      <w:r>
        <w:rPr>
          <w:rFonts w:hint="default" w:ascii="Times New Roman" w:hAnsi="Times New Roman" w:eastAsia="Calibri" w:cs="Times New Roman"/>
          <w:b w:val="0"/>
          <w:i w:val="0"/>
          <w:color w:val="auto"/>
          <w:sz w:val="24"/>
          <w:szCs w:val="24"/>
        </w:rPr>
        <w:t xml:space="preserve"> offshore gas at hard-currency export prices, but the economics increasingly depend on connecting upstream gas developments to both export and domestic demand </w:t>
      </w:r>
      <w:r>
        <w:rPr>
          <w:rFonts w:hint="default" w:ascii="Times New Roman" w:hAnsi="Times New Roman" w:cs="Times New Roman"/>
          <w:b w:val="0"/>
          <w:i w:val="0"/>
          <w:color w:val="auto"/>
          <w:sz w:val="24"/>
          <w:szCs w:val="24"/>
          <w:lang w:val="en-US"/>
        </w:rPr>
        <w:t>centers</w:t>
      </w:r>
      <w:r>
        <w:rPr>
          <w:rFonts w:hint="default" w:ascii="Times New Roman" w:hAnsi="Times New Roman" w:eastAsia="Calibri" w:cs="Times New Roman"/>
          <w:b w:val="0"/>
          <w:i w:val="0"/>
          <w:color w:val="auto"/>
          <w:sz w:val="24"/>
          <w:szCs w:val="24"/>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1"/>
        <w:gridCol w:w="2825"/>
        <w:gridCol w:w="3386"/>
      </w:tblGrid>
      <w:tr w14:paraId="3333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1E2DD03B">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color w:val="auto"/>
                <w:sz w:val="24"/>
                <w:szCs w:val="24"/>
              </w:rPr>
              <w:t>Selected indicator</w:t>
            </w:r>
          </w:p>
        </w:tc>
        <w:tc>
          <w:tcPr>
            <w:tcW w:w="3168" w:type="dxa"/>
          </w:tcPr>
          <w:p w14:paraId="49F1755B">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color w:val="auto"/>
                <w:sz w:val="24"/>
                <w:szCs w:val="24"/>
              </w:rPr>
              <w:t>Latest evidence</w:t>
            </w:r>
          </w:p>
        </w:tc>
        <w:tc>
          <w:tcPr>
            <w:tcW w:w="3816" w:type="dxa"/>
          </w:tcPr>
          <w:p w14:paraId="1A3F2B08">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color w:val="auto"/>
                <w:sz w:val="24"/>
                <w:szCs w:val="24"/>
              </w:rPr>
              <w:t>Strategic implication</w:t>
            </w:r>
          </w:p>
        </w:tc>
      </w:tr>
      <w:tr w14:paraId="0B22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7965FB7E">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Angola LNG design capacity</w:t>
            </w:r>
          </w:p>
        </w:tc>
        <w:tc>
          <w:tcPr>
            <w:tcW w:w="3168" w:type="dxa"/>
          </w:tcPr>
          <w:p w14:paraId="3E18EB6B">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1.1 bcf/d feed-gas processing and 5.2 mtpa LNG</w:t>
            </w:r>
          </w:p>
        </w:tc>
        <w:tc>
          <w:tcPr>
            <w:tcW w:w="3816" w:type="dxa"/>
          </w:tcPr>
          <w:p w14:paraId="4DFBA6D8">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 xml:space="preserve">Defines the ceiling for export </w:t>
            </w:r>
            <w:r>
              <w:rPr>
                <w:rFonts w:hint="default" w:ascii="Times New Roman" w:hAnsi="Times New Roman" w:cs="Times New Roman"/>
                <w:b w:val="0"/>
                <w:color w:val="auto"/>
                <w:sz w:val="24"/>
                <w:szCs w:val="24"/>
                <w:lang w:val="en-US"/>
              </w:rPr>
              <w:t>monetization</w:t>
            </w:r>
            <w:r>
              <w:rPr>
                <w:rFonts w:hint="default" w:ascii="Times New Roman" w:hAnsi="Times New Roman" w:eastAsia="Calibri" w:cs="Times New Roman"/>
                <w:b w:val="0"/>
                <w:color w:val="auto"/>
                <w:sz w:val="24"/>
                <w:szCs w:val="24"/>
              </w:rPr>
              <w:t xml:space="preserve"> and the scale of feed-gas risk.</w:t>
            </w:r>
          </w:p>
        </w:tc>
      </w:tr>
      <w:tr w14:paraId="6249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0FD03C56">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2024 LNG exports</w:t>
            </w:r>
          </w:p>
        </w:tc>
        <w:tc>
          <w:tcPr>
            <w:tcW w:w="3168" w:type="dxa"/>
          </w:tcPr>
          <w:p w14:paraId="287C4E38">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3.81 mt (vs. 3.70 mt in 2023)</w:t>
            </w:r>
          </w:p>
        </w:tc>
        <w:tc>
          <w:tcPr>
            <w:tcW w:w="3816" w:type="dxa"/>
          </w:tcPr>
          <w:p w14:paraId="7F60C617">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Shows Angola remained operationally relevant despite feed-gas constraints.</w:t>
            </w:r>
          </w:p>
        </w:tc>
      </w:tr>
      <w:tr w14:paraId="1E4D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6B64C555">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2023 export destination split</w:t>
            </w:r>
          </w:p>
        </w:tc>
        <w:tc>
          <w:tcPr>
            <w:tcW w:w="3168" w:type="dxa"/>
          </w:tcPr>
          <w:p w14:paraId="432BF062">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Europe received 75% of exports in 2023</w:t>
            </w:r>
          </w:p>
        </w:tc>
        <w:tc>
          <w:tcPr>
            <w:tcW w:w="3816" w:type="dxa"/>
          </w:tcPr>
          <w:p w14:paraId="72122F16">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Illustrates Angola's ability to arbitrage market dislocation after the European gas shock.</w:t>
            </w:r>
          </w:p>
        </w:tc>
      </w:tr>
      <w:tr w14:paraId="6799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15DBE559">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2024 Asian trade</w:t>
            </w:r>
          </w:p>
        </w:tc>
        <w:tc>
          <w:tcPr>
            <w:tcW w:w="3168" w:type="dxa"/>
          </w:tcPr>
          <w:p w14:paraId="5AF6B519">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Angola shipped 2.01 mt to Asia in 2024</w:t>
            </w:r>
          </w:p>
        </w:tc>
        <w:tc>
          <w:tcPr>
            <w:tcW w:w="3816" w:type="dxa"/>
          </w:tcPr>
          <w:p w14:paraId="02413F6E">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Signals renewed flexibility toward growth markets in Asia.</w:t>
            </w:r>
          </w:p>
        </w:tc>
      </w:tr>
      <w:tr w14:paraId="697D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6F851426">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Sanha Lean Gas Connection</w:t>
            </w:r>
          </w:p>
        </w:tc>
        <w:tc>
          <w:tcPr>
            <w:tcW w:w="3168" w:type="dxa"/>
          </w:tcPr>
          <w:p w14:paraId="6E1C2660">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First gas in Dec. 2024; +80 mmscfd in phase one, up to 600 mmscfd CRX pipeline capacity</w:t>
            </w:r>
          </w:p>
        </w:tc>
        <w:tc>
          <w:tcPr>
            <w:tcW w:w="3816" w:type="dxa"/>
          </w:tcPr>
          <w:p w14:paraId="3C4351ED">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 xml:space="preserve">Extends the life of associated-gas </w:t>
            </w:r>
            <w:r>
              <w:rPr>
                <w:rFonts w:hint="default" w:ascii="Times New Roman" w:hAnsi="Times New Roman" w:cs="Times New Roman"/>
                <w:b w:val="0"/>
                <w:color w:val="auto"/>
                <w:sz w:val="24"/>
                <w:szCs w:val="24"/>
                <w:lang w:val="en-US"/>
              </w:rPr>
              <w:t>monetization</w:t>
            </w:r>
            <w:r>
              <w:rPr>
                <w:rFonts w:hint="default" w:ascii="Times New Roman" w:hAnsi="Times New Roman" w:eastAsia="Calibri" w:cs="Times New Roman"/>
                <w:b w:val="0"/>
                <w:color w:val="auto"/>
                <w:sz w:val="24"/>
                <w:szCs w:val="24"/>
              </w:rPr>
              <w:t xml:space="preserve"> and improves reliability.</w:t>
            </w:r>
          </w:p>
        </w:tc>
      </w:tr>
      <w:tr w14:paraId="0610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Pr>
          <w:p w14:paraId="5B3D9557">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NGC / Quiluma-Maboqueiro</w:t>
            </w:r>
          </w:p>
        </w:tc>
        <w:tc>
          <w:tcPr>
            <w:tcW w:w="3168" w:type="dxa"/>
          </w:tcPr>
          <w:p w14:paraId="438AB09A">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Design range of c.350-400 mmscfd gas processing; initial 150 mmscfd in 2026, rising to 314 mmscfd</w:t>
            </w:r>
          </w:p>
        </w:tc>
        <w:tc>
          <w:tcPr>
            <w:tcW w:w="3816" w:type="dxa"/>
          </w:tcPr>
          <w:p w14:paraId="1FD38C60">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Marks the transition to non-associated gas as a structural LNG supply source.</w:t>
            </w:r>
          </w:p>
        </w:tc>
      </w:tr>
    </w:tbl>
    <w:p w14:paraId="2D31B7EA">
      <w:pPr>
        <w:spacing w:after="120" w:line="360" w:lineRule="auto"/>
        <w:jc w:val="both"/>
        <w:rPr>
          <w:rFonts w:hint="default" w:ascii="Times New Roman" w:hAnsi="Times New Roman" w:eastAsia="Calibri" w:cs="Times New Roman"/>
          <w:b w:val="0"/>
          <w:i/>
          <w:color w:val="auto"/>
          <w:sz w:val="24"/>
          <w:szCs w:val="24"/>
        </w:rPr>
      </w:pPr>
      <w:r>
        <w:rPr>
          <w:rFonts w:hint="default" w:ascii="Times New Roman" w:hAnsi="Times New Roman" w:eastAsia="Calibri" w:cs="Times New Roman"/>
          <w:b w:val="0"/>
          <w:i/>
          <w:color w:val="auto"/>
          <w:sz w:val="24"/>
          <w:szCs w:val="24"/>
        </w:rPr>
        <w:t>Sources:  ANPG (2023, 2026); Chevron (2024); EIA (2025); IGU (2025).</w:t>
      </w:r>
    </w:p>
    <w:p w14:paraId="7BFB28AB">
      <w:pPr>
        <w:spacing w:after="120" w:line="360" w:lineRule="auto"/>
        <w:jc w:val="both"/>
        <w:rPr>
          <w:rFonts w:hint="default" w:ascii="Times New Roman" w:hAnsi="Times New Roman" w:eastAsia="Calibri" w:cs="Times New Roman"/>
          <w:color w:val="auto"/>
          <w:sz w:val="24"/>
          <w:szCs w:val="24"/>
        </w:rPr>
      </w:pPr>
      <w:r>
        <w:rPr>
          <w:rFonts w:hint="default" w:ascii="Times New Roman" w:hAnsi="Times New Roman" w:eastAsia="Calibri" w:cs="Times New Roman"/>
          <w:color w:val="auto"/>
          <w:sz w:val="24"/>
          <w:szCs w:val="24"/>
        </w:rPr>
        <w:t xml:space="preserve"> </w:t>
      </w:r>
    </w:p>
    <w:p w14:paraId="536155B5">
      <w:pPr>
        <w:spacing w:after="120" w:line="360" w:lineRule="auto"/>
        <w:jc w:val="both"/>
        <w:rPr>
          <w:rFonts w:hint="default" w:ascii="Times New Roman" w:hAnsi="Times New Roman" w:cs="Times New Roman"/>
          <w:b/>
          <w:bCs/>
          <w:color w:val="auto"/>
          <w:sz w:val="24"/>
          <w:szCs w:val="24"/>
        </w:rPr>
      </w:pPr>
      <w:r>
        <w:rPr>
          <w:rFonts w:hint="default" w:ascii="Times New Roman" w:hAnsi="Times New Roman" w:eastAsia="Calibri" w:cs="Times New Roman"/>
          <w:b/>
          <w:bCs/>
          <w:color w:val="auto"/>
          <w:sz w:val="24"/>
          <w:szCs w:val="24"/>
        </w:rPr>
        <w:t>MAJOR GAS BUSINESS OPERATORS IN ANGOLA</w:t>
      </w:r>
    </w:p>
    <w:p w14:paraId="307E97F1">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Angola's gas sector is not a fragmented competitive market; it is an interdependent system in which a small group of operators controls feed gas, liquefaction access, pipelines, marketing, and project development. Strategic leverage therefore depends less on the number of firms than on where each firm sits in the value chain and whether it can solve Angola's core constraint: sustained feed gas for Angola LNG.</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5"/>
        <w:gridCol w:w="2372"/>
        <w:gridCol w:w="2391"/>
        <w:gridCol w:w="2144"/>
      </w:tblGrid>
      <w:tr w14:paraId="2FFB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6" w:type="dxa"/>
          </w:tcPr>
          <w:p w14:paraId="2EE448AF">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color w:val="auto"/>
                <w:sz w:val="24"/>
                <w:szCs w:val="24"/>
              </w:rPr>
              <w:t>Operator</w:t>
            </w:r>
          </w:p>
        </w:tc>
        <w:tc>
          <w:tcPr>
            <w:tcW w:w="3024" w:type="dxa"/>
          </w:tcPr>
          <w:p w14:paraId="2A260FDF">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color w:val="auto"/>
                <w:sz w:val="24"/>
                <w:szCs w:val="24"/>
              </w:rPr>
              <w:t>Ownership / asset position</w:t>
            </w:r>
          </w:p>
        </w:tc>
        <w:tc>
          <w:tcPr>
            <w:tcW w:w="3096" w:type="dxa"/>
          </w:tcPr>
          <w:p w14:paraId="33BB4D0A">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color w:val="auto"/>
                <w:sz w:val="24"/>
                <w:szCs w:val="24"/>
              </w:rPr>
              <w:t>Role in the gas-LNG value chain</w:t>
            </w:r>
          </w:p>
        </w:tc>
        <w:tc>
          <w:tcPr>
            <w:tcW w:w="2592" w:type="dxa"/>
          </w:tcPr>
          <w:p w14:paraId="46FE6FA1">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color w:val="auto"/>
                <w:sz w:val="24"/>
                <w:szCs w:val="24"/>
              </w:rPr>
              <w:t>Strategic assessment</w:t>
            </w:r>
          </w:p>
        </w:tc>
      </w:tr>
      <w:tr w14:paraId="4B94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6" w:type="dxa"/>
          </w:tcPr>
          <w:p w14:paraId="449CD667">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Sonangol</w:t>
            </w:r>
          </w:p>
        </w:tc>
        <w:tc>
          <w:tcPr>
            <w:tcW w:w="3024" w:type="dxa"/>
          </w:tcPr>
          <w:p w14:paraId="4CECC6E6">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State-owned national company; 22.8% in Angola LNG; interests in Sonagás, ALM and pipeline entities</w:t>
            </w:r>
          </w:p>
        </w:tc>
        <w:tc>
          <w:tcPr>
            <w:tcW w:w="3096" w:type="dxa"/>
          </w:tcPr>
          <w:p w14:paraId="42903B94">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 xml:space="preserve">National anchor across upstream participation, domestic gas </w:t>
            </w:r>
            <w:r>
              <w:rPr>
                <w:rFonts w:hint="default" w:ascii="Times New Roman" w:hAnsi="Times New Roman" w:cs="Times New Roman"/>
                <w:b w:val="0"/>
                <w:color w:val="auto"/>
                <w:sz w:val="24"/>
                <w:szCs w:val="24"/>
                <w:lang w:val="en-US"/>
              </w:rPr>
              <w:t>off take</w:t>
            </w:r>
            <w:r>
              <w:rPr>
                <w:rFonts w:hint="default" w:ascii="Times New Roman" w:hAnsi="Times New Roman" w:eastAsia="Calibri" w:cs="Times New Roman"/>
                <w:b w:val="0"/>
                <w:color w:val="auto"/>
                <w:sz w:val="24"/>
                <w:szCs w:val="24"/>
              </w:rPr>
              <w:t>, LNG marketing interface, and policy alignment</w:t>
            </w:r>
          </w:p>
        </w:tc>
        <w:tc>
          <w:tcPr>
            <w:tcW w:w="2592" w:type="dxa"/>
          </w:tcPr>
          <w:p w14:paraId="2586537E">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 xml:space="preserve">Essential for state control, domestic market development, and revenue capture; also a transmission belt between LNG </w:t>
            </w:r>
            <w:r>
              <w:rPr>
                <w:rFonts w:hint="default" w:ascii="Times New Roman" w:hAnsi="Times New Roman" w:cs="Times New Roman"/>
                <w:b w:val="0"/>
                <w:color w:val="auto"/>
                <w:sz w:val="24"/>
                <w:szCs w:val="24"/>
                <w:lang w:val="en-US"/>
              </w:rPr>
              <w:t>monetization</w:t>
            </w:r>
            <w:r>
              <w:rPr>
                <w:rFonts w:hint="default" w:ascii="Times New Roman" w:hAnsi="Times New Roman" w:eastAsia="Calibri" w:cs="Times New Roman"/>
                <w:b w:val="0"/>
                <w:color w:val="auto"/>
                <w:sz w:val="24"/>
                <w:szCs w:val="24"/>
              </w:rPr>
              <w:t xml:space="preserve"> and public policy.</w:t>
            </w:r>
          </w:p>
        </w:tc>
      </w:tr>
      <w:tr w14:paraId="6971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6" w:type="dxa"/>
          </w:tcPr>
          <w:p w14:paraId="1CCBEFB1">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Angola LNG Limited</w:t>
            </w:r>
          </w:p>
        </w:tc>
        <w:tc>
          <w:tcPr>
            <w:tcW w:w="3024" w:type="dxa"/>
          </w:tcPr>
          <w:p w14:paraId="6EDBD693">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Consortium vehicle; shareholders include Chevron 36.4%, Sonangol 22.8%, Azule affiliates 27.2%, TotalEnergies 13.6%</w:t>
            </w:r>
          </w:p>
        </w:tc>
        <w:tc>
          <w:tcPr>
            <w:tcW w:w="3096" w:type="dxa"/>
          </w:tcPr>
          <w:p w14:paraId="0E8D719C">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Owns assets, buys gas, sells LNG and liquids, and supplies domestic gas; supported by operating, pipeline, and marketing subsidiaries</w:t>
            </w:r>
          </w:p>
        </w:tc>
        <w:tc>
          <w:tcPr>
            <w:tcW w:w="2592" w:type="dxa"/>
          </w:tcPr>
          <w:p w14:paraId="2CBC10E8">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 xml:space="preserve">The institutional core of Angola's gas </w:t>
            </w:r>
            <w:r>
              <w:rPr>
                <w:rFonts w:hint="default" w:ascii="Times New Roman" w:hAnsi="Times New Roman" w:cs="Times New Roman"/>
                <w:b w:val="0"/>
                <w:color w:val="auto"/>
                <w:sz w:val="24"/>
                <w:szCs w:val="24"/>
                <w:lang w:val="en-US"/>
              </w:rPr>
              <w:t>monetization</w:t>
            </w:r>
            <w:r>
              <w:rPr>
                <w:rFonts w:hint="default" w:ascii="Times New Roman" w:hAnsi="Times New Roman" w:eastAsia="Calibri" w:cs="Times New Roman"/>
                <w:b w:val="0"/>
                <w:color w:val="auto"/>
                <w:sz w:val="24"/>
                <w:szCs w:val="24"/>
              </w:rPr>
              <w:t xml:space="preserve"> model; its corporate structure reduces coordination risk across operations, transport, and sales.</w:t>
            </w:r>
          </w:p>
        </w:tc>
      </w:tr>
      <w:tr w14:paraId="17D1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6" w:type="dxa"/>
          </w:tcPr>
          <w:p w14:paraId="14200A92">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Azule Energy</w:t>
            </w:r>
          </w:p>
        </w:tc>
        <w:tc>
          <w:tcPr>
            <w:tcW w:w="3024" w:type="dxa"/>
          </w:tcPr>
          <w:p w14:paraId="0AA8CE15">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50:50 bp-Eni joint venture; 27.2% in Angola LNG; operator of NGC with 37.4% stake</w:t>
            </w:r>
          </w:p>
        </w:tc>
        <w:tc>
          <w:tcPr>
            <w:tcW w:w="3096" w:type="dxa"/>
          </w:tcPr>
          <w:p w14:paraId="3ED3BB68">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Key growth operator in upstream gas development, especially Quiluma-Maboqueiro and gas exploration in Block 1/14</w:t>
            </w:r>
          </w:p>
        </w:tc>
        <w:tc>
          <w:tcPr>
            <w:tcW w:w="2592" w:type="dxa"/>
          </w:tcPr>
          <w:p w14:paraId="1BB883FD">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Most important incremental operator for future LNG throughput because it is leading non-associated gas supply growth.</w:t>
            </w:r>
          </w:p>
        </w:tc>
      </w:tr>
      <w:tr w14:paraId="0692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6" w:type="dxa"/>
          </w:tcPr>
          <w:p w14:paraId="768A9F20">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Chevron / CABGOC</w:t>
            </w:r>
          </w:p>
        </w:tc>
        <w:tc>
          <w:tcPr>
            <w:tcW w:w="3024" w:type="dxa"/>
          </w:tcPr>
          <w:p w14:paraId="5E233DA6">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Largest Angola LNG shareholder at 36.4%; 39.2% of Block 0; 31% in NGC</w:t>
            </w:r>
          </w:p>
        </w:tc>
        <w:tc>
          <w:tcPr>
            <w:tcW w:w="3096" w:type="dxa"/>
          </w:tcPr>
          <w:p w14:paraId="0BA9E33C">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Major supplier of associated gas; delivered Sanha Lean Gas Connection; longstanding operator and infrastructure investor</w:t>
            </w:r>
          </w:p>
        </w:tc>
        <w:tc>
          <w:tcPr>
            <w:tcW w:w="2592" w:type="dxa"/>
          </w:tcPr>
          <w:p w14:paraId="39F333B1">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Still the backbone of Angola's associated-gas export model and operational reliability.</w:t>
            </w:r>
          </w:p>
        </w:tc>
      </w:tr>
      <w:tr w14:paraId="5000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6" w:type="dxa"/>
          </w:tcPr>
          <w:p w14:paraId="3842BBD4">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TotalEnergies</w:t>
            </w:r>
          </w:p>
        </w:tc>
        <w:tc>
          <w:tcPr>
            <w:tcW w:w="3024" w:type="dxa"/>
          </w:tcPr>
          <w:p w14:paraId="03328F1C">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13.6% in Angola LNG; 11.8% in NGC; operator in major deepwater oil blocks</w:t>
            </w:r>
          </w:p>
        </w:tc>
        <w:tc>
          <w:tcPr>
            <w:tcW w:w="3096" w:type="dxa"/>
          </w:tcPr>
          <w:p w14:paraId="2A33969B">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Capital provider, non-operated LNG shareholder, offshore development partner, methane-tech collaborator with Sonangol</w:t>
            </w:r>
          </w:p>
        </w:tc>
        <w:tc>
          <w:tcPr>
            <w:tcW w:w="2592" w:type="dxa"/>
          </w:tcPr>
          <w:p w14:paraId="7C5D7F1D">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Influential as a disciplined portfolio investor and emissions-performance partner, though not the central gas operator.</w:t>
            </w:r>
          </w:p>
        </w:tc>
      </w:tr>
      <w:tr w14:paraId="5A38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6" w:type="dxa"/>
          </w:tcPr>
          <w:p w14:paraId="23B95B68">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Eni</w:t>
            </w:r>
          </w:p>
        </w:tc>
        <w:tc>
          <w:tcPr>
            <w:tcW w:w="3024" w:type="dxa"/>
          </w:tcPr>
          <w:p w14:paraId="6897EDF1">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Influence mainly via 50% ownership of Azule and earlier NGC participation</w:t>
            </w:r>
          </w:p>
        </w:tc>
        <w:tc>
          <w:tcPr>
            <w:tcW w:w="3096" w:type="dxa"/>
          </w:tcPr>
          <w:p w14:paraId="1C6AB5F4">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Shapes strategy through Azule, methane-management know-how, and Angola gas development partnerships</w:t>
            </w:r>
          </w:p>
        </w:tc>
        <w:tc>
          <w:tcPr>
            <w:tcW w:w="2592" w:type="dxa"/>
          </w:tcPr>
          <w:p w14:paraId="598C0369">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Material technology and capital contributor, but operational influence is increasingly channelled through Azule rather than standalone branding.</w:t>
            </w:r>
          </w:p>
        </w:tc>
      </w:tr>
      <w:tr w14:paraId="09BE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6" w:type="dxa"/>
          </w:tcPr>
          <w:p w14:paraId="45058597">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ExxonMobil</w:t>
            </w:r>
          </w:p>
        </w:tc>
        <w:tc>
          <w:tcPr>
            <w:tcW w:w="3024" w:type="dxa"/>
          </w:tcPr>
          <w:p w14:paraId="29A6663A">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Upstream interests in Blocks 15, 17 and 32; 100 kb/d net Angolan production in 2024</w:t>
            </w:r>
          </w:p>
        </w:tc>
        <w:tc>
          <w:tcPr>
            <w:tcW w:w="3096" w:type="dxa"/>
          </w:tcPr>
          <w:p w14:paraId="145A2F9F">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Indirect contribution via offshore upstream activity and potential associated-gas capture, but no direct Angola LNG equity stake identified</w:t>
            </w:r>
          </w:p>
        </w:tc>
        <w:tc>
          <w:tcPr>
            <w:tcW w:w="2592" w:type="dxa"/>
          </w:tcPr>
          <w:p w14:paraId="2120E1F5">
            <w:pPr>
              <w:spacing w:after="0" w:line="24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color w:val="auto"/>
                <w:sz w:val="24"/>
                <w:szCs w:val="24"/>
              </w:rPr>
              <w:t>Important to Angola's wider hydrocarbon base, but comparatively peripheral to LNG monetisation unless future gas-focused acreage expands its role.</w:t>
            </w:r>
          </w:p>
        </w:tc>
      </w:tr>
    </w:tbl>
    <w:p w14:paraId="5E5B67FB">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color w:val="auto"/>
          <w:sz w:val="24"/>
          <w:szCs w:val="24"/>
        </w:rPr>
        <w:t>Sources: ANPG (2024, 2025, 2026); Azule Energy Holdings Limited (2025); Chevron (2024, 2025)</w:t>
      </w:r>
    </w:p>
    <w:p w14:paraId="74A28BFC">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Two operator dynamics merit emphasis. First, Sonangol is not merely a shareholder. In 2024 it received roughly USD 314.8 million in Angola LNG dividends and purchased around USD 127.4 million of gas from Angola LNG for the national market, underlining its dual role as fiscal beneficiary and domestic gas market builder (Sonangol, 2025). Second, Azule has become strategically pivotal because reserve replacement now matters more than legacy shareholder position. Its annual report confirms a 27.2% Angola LNG interest, 36.0 thousand barrels of oil equivalent per day attributable from Angola LNG in 2024, and operator responsibility for the approximately USD 2.2 billion NGC project, alongside a broader plan to invest about USD 6 billion over five years in Angola (Azule Energy Holdings Limited, 2025).</w:t>
      </w:r>
    </w:p>
    <w:p w14:paraId="225A5A26">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 xml:space="preserve">CONTRIBUTION OF OPERATORS TO LNG-LED GAS </w:t>
      </w:r>
      <w:r>
        <w:rPr>
          <w:rFonts w:hint="default" w:ascii="Times New Roman" w:hAnsi="Times New Roman" w:eastAsia="Calibri" w:cs="Times New Roman"/>
          <w:color w:val="auto"/>
          <w:sz w:val="24"/>
          <w:szCs w:val="24"/>
          <w:lang w:val="en-US"/>
        </w:rPr>
        <w:t>MONETIZATION</w:t>
      </w:r>
    </w:p>
    <w:p w14:paraId="79E4DDD0">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Operator contributions can be assessed across ten </w:t>
      </w:r>
      <w:r>
        <w:rPr>
          <w:rFonts w:hint="default" w:ascii="Times New Roman" w:hAnsi="Times New Roman" w:cs="Times New Roman"/>
          <w:b w:val="0"/>
          <w:i w:val="0"/>
          <w:color w:val="auto"/>
          <w:sz w:val="24"/>
          <w:szCs w:val="24"/>
          <w:lang w:val="en-US"/>
        </w:rPr>
        <w:t>monetization</w:t>
      </w:r>
      <w:r>
        <w:rPr>
          <w:rFonts w:hint="default" w:ascii="Times New Roman" w:hAnsi="Times New Roman" w:eastAsia="Calibri" w:cs="Times New Roman"/>
          <w:b w:val="0"/>
          <w:i w:val="0"/>
          <w:color w:val="auto"/>
          <w:sz w:val="24"/>
          <w:szCs w:val="24"/>
        </w:rPr>
        <w:t xml:space="preserve"> channels. On feed gas, Chevron and its Block 0 partners stabilized short-cycle supply through the Sanha Lean Gas Connection, while Azule and NGC partners are creating Angola's first structural source of non-associated gas. This distinction is critical: associated gas preserves value from oil production, but non-associated gas provides a clearer basis for dedicated LNG planning. NGC's 2026 start-up therefore has significance far beyond a single project; it is proof that Angola can move from opportunistic gas recovery to project-led gas development (Chevron, 2024; ANPG, 2026).</w:t>
      </w:r>
    </w:p>
    <w:p w14:paraId="3A323F5F">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On infrastructure and investment, Angola LNG's integrated architecture remains the decisive platform. More than 500 kilometres of pipelines connect offshore fields to Soyo, while the plant's ownership, operating, pipeline, and marketing subsidiaries align production, transport, liquefaction, shipping, and domestic supply. That architecture lowers coordination costs for investors and is one reason Angola has been able to </w:t>
      </w:r>
      <w:r>
        <w:rPr>
          <w:rFonts w:hint="default" w:ascii="Times New Roman" w:hAnsi="Times New Roman" w:cs="Times New Roman"/>
          <w:b w:val="0"/>
          <w:i w:val="0"/>
          <w:color w:val="auto"/>
          <w:sz w:val="24"/>
          <w:szCs w:val="24"/>
          <w:lang w:val="en-US"/>
        </w:rPr>
        <w:t>monetize</w:t>
      </w:r>
      <w:r>
        <w:rPr>
          <w:rFonts w:hint="default" w:ascii="Times New Roman" w:hAnsi="Times New Roman" w:eastAsia="Calibri" w:cs="Times New Roman"/>
          <w:b w:val="0"/>
          <w:i w:val="0"/>
          <w:color w:val="auto"/>
          <w:sz w:val="24"/>
          <w:szCs w:val="24"/>
        </w:rPr>
        <w:t xml:space="preserve"> gas despite a relatively limited domestic market. NGC deepens this ecosystem with offshore platforms, a roughly 50-kilometre transport system, and an onshore gas treatment plant. ANPG stated in 2023 that around USD 1 billion of project spending would be directed to services contracted in Angola, while peak activity </w:t>
      </w:r>
      <w:r>
        <w:rPr>
          <w:rFonts w:hint="default" w:ascii="Times New Roman" w:hAnsi="Times New Roman" w:cs="Times New Roman"/>
          <w:b w:val="0"/>
          <w:i w:val="0"/>
          <w:color w:val="auto"/>
          <w:sz w:val="24"/>
          <w:szCs w:val="24"/>
          <w:lang w:val="en-US"/>
        </w:rPr>
        <w:t>mobilized</w:t>
      </w:r>
      <w:r>
        <w:rPr>
          <w:rFonts w:hint="default" w:ascii="Times New Roman" w:hAnsi="Times New Roman" w:eastAsia="Calibri" w:cs="Times New Roman"/>
          <w:b w:val="0"/>
          <w:i w:val="0"/>
          <w:color w:val="auto"/>
          <w:sz w:val="24"/>
          <w:szCs w:val="24"/>
        </w:rPr>
        <w:t xml:space="preserve"> more than 4,500 workers, rising to over 5,000 Angolans across construction sites by early production in 2026 (ANPG, 2023; ANPG, 2025; ANPG, 2026).</w:t>
      </w:r>
    </w:p>
    <w:p w14:paraId="21F44BEF">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On public value creation, the record is positive but still incomplete. LNG exports generate foreign exchange and dividends, while domestic gas supply supports Soyo power generation and reduces reliance on more carbon-intensive fuels. Angola has also used LNG infrastructure to reduce flaring: the World Bank identifies the country as having cut flare volumes by 37% since 2012 largely by building a liquefaction plant supplied exclusively by associated gas (World Bank, 2025). Yet economic diversification gains remain narrower than the export story. </w:t>
      </w:r>
      <w:r>
        <w:rPr>
          <w:rFonts w:hint="default" w:ascii="Times New Roman" w:hAnsi="Times New Roman" w:cs="Times New Roman"/>
          <w:b w:val="0"/>
          <w:i w:val="0"/>
          <w:color w:val="auto"/>
          <w:sz w:val="24"/>
          <w:szCs w:val="24"/>
          <w:lang w:val="en-US"/>
        </w:rPr>
        <w:t>Fertilizer</w:t>
      </w:r>
      <w:r>
        <w:rPr>
          <w:rFonts w:hint="default" w:ascii="Times New Roman" w:hAnsi="Times New Roman" w:eastAsia="Calibri" w:cs="Times New Roman"/>
          <w:b w:val="0"/>
          <w:i w:val="0"/>
          <w:color w:val="auto"/>
          <w:sz w:val="24"/>
          <w:szCs w:val="24"/>
        </w:rPr>
        <w:t xml:space="preserve">, petrochemicals, and gas-based industrial development are still more prospective than </w:t>
      </w:r>
      <w:r>
        <w:rPr>
          <w:rFonts w:hint="default" w:ascii="Times New Roman" w:hAnsi="Times New Roman" w:cs="Times New Roman"/>
          <w:b w:val="0"/>
          <w:i w:val="0"/>
          <w:color w:val="auto"/>
          <w:sz w:val="24"/>
          <w:szCs w:val="24"/>
          <w:lang w:val="en-US"/>
        </w:rPr>
        <w:t>transformative</w:t>
      </w:r>
      <w:r>
        <w:rPr>
          <w:rFonts w:hint="default" w:ascii="Times New Roman" w:hAnsi="Times New Roman" w:eastAsia="Calibri" w:cs="Times New Roman"/>
          <w:b w:val="0"/>
          <w:i w:val="0"/>
          <w:color w:val="auto"/>
          <w:sz w:val="24"/>
          <w:szCs w:val="24"/>
        </w:rPr>
        <w:t xml:space="preserve">, meaning operators have created a </w:t>
      </w:r>
      <w:r>
        <w:rPr>
          <w:rFonts w:hint="default" w:ascii="Times New Roman" w:hAnsi="Times New Roman" w:cs="Times New Roman"/>
          <w:b w:val="0"/>
          <w:i w:val="0"/>
          <w:color w:val="auto"/>
          <w:sz w:val="24"/>
          <w:szCs w:val="24"/>
          <w:lang w:val="en-US"/>
        </w:rPr>
        <w:t>monetization</w:t>
      </w:r>
      <w:r>
        <w:rPr>
          <w:rFonts w:hint="default" w:ascii="Times New Roman" w:hAnsi="Times New Roman" w:eastAsia="Calibri" w:cs="Times New Roman"/>
          <w:b w:val="0"/>
          <w:i w:val="0"/>
          <w:color w:val="auto"/>
          <w:sz w:val="24"/>
          <w:szCs w:val="24"/>
        </w:rPr>
        <w:t xml:space="preserve"> platform whose full developmental dividend has not yet been captured.</w:t>
      </w:r>
    </w:p>
    <w:p w14:paraId="7526C86F">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KEY CHALLENGES</w:t>
      </w:r>
    </w:p>
    <w:p w14:paraId="5139CA95">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The first challenge is structural feed-gas risk. Mature oil fields eventually weaken the associated-gas stream that has historically sustained Angola LNG. Recent policy and project announcements have framed NGC as essential to sustaining continuous gas supply to Angola LNG, while OPEC data show a modest decline in marketed gas production in 2024 versus 2023 (ANPG, 2023; OPEC, 2025). Angola's LNG model therefore remains vulnerable to upstream oil decline unless non-associated gas and gas-focused exploration scale up quickly.</w:t>
      </w:r>
    </w:p>
    <w:p w14:paraId="389F906D">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The second challenge is competitiveness under tighter capital and carbon discipline. Angola has one LNG plant and a concentrated logistics base at Soyo, which creates efficiency but also single-site concentration risk. International financiers and buyers increasingly price in methane performance, flaring intensity, and project emissions. Angola has reduced total flaring, but the World Bank notes it has not reduced flaring intensity as strongly as some peers, implying that future commercial advantage will depend not only on volumes but on cleaner molecules and stronger measurement systems (World Bank, 2025).</w:t>
      </w:r>
    </w:p>
    <w:p w14:paraId="4C4B379A">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The third challenge is institutional execution. Angola has made the gas legal framework more investable, but investors still watch fiscal durability, contract sanctity, foreign-exchange management, and local content implementation. Local content has expanded in construction and employment, yet technology transfer and domestic supplier deepening remain shallower than employment statistics suggest. Without stronger technical capability accumulation, local participation risks remaining transactional rather than transformative.</w:t>
      </w:r>
    </w:p>
    <w:p w14:paraId="3B607F0B">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EMERGING OPPORTUNITIES</w:t>
      </w:r>
    </w:p>
    <w:p w14:paraId="6D490A71">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Three opportunities are strategically important. The first is reserve renewal through gas-focused exploration and appraisal. Azule's Block 1/14 programme, including the country's first dedicated gas exploration well, and licensing rounds prioritising gas can help extend the LNG system beyond legacy oil-linked feedstock (Azule Energy Holdings Limited, 2025; GECF, 2026).</w:t>
      </w:r>
    </w:p>
    <w:p w14:paraId="394E8A80">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The second is diversification of monetisation routes. NGC explicitly improves both Angola LNG supply and domestic gas availability, and political statements around the project have tied gas development to combined-cycle power, fertilisers, and petrochemicals. If Angola uses LNG as the anchor but not the only outlet, it can increase resilience to export market volatility and capture more domestic value-added (ANPG, 2023; TotalEnergies, 2022).</w:t>
      </w:r>
    </w:p>
    <w:p w14:paraId="652B00C6">
      <w:pPr>
        <w:spacing w:after="120" w:line="360" w:lineRule="auto"/>
        <w:jc w:val="both"/>
        <w:rPr>
          <w:rFonts w:hint="default" w:ascii="Times New Roman" w:hAnsi="Times New Roman" w:eastAsia="Calibri" w:cs="Times New Roman"/>
          <w:b w:val="0"/>
          <w:i w:val="0"/>
          <w:color w:val="auto"/>
          <w:sz w:val="24"/>
          <w:szCs w:val="24"/>
        </w:rPr>
      </w:pPr>
      <w:r>
        <w:rPr>
          <w:rFonts w:hint="default" w:ascii="Times New Roman" w:hAnsi="Times New Roman" w:eastAsia="Calibri" w:cs="Times New Roman"/>
          <w:b w:val="0"/>
          <w:i w:val="0"/>
          <w:color w:val="auto"/>
          <w:sz w:val="24"/>
          <w:szCs w:val="24"/>
        </w:rPr>
        <w:t>The third is reputational advantage from lower-flaring and lower-methane production. Angola's legacy associated-gas model already has a compelling decarbonisation narrative compared with simple flaring. If operators now scale methane measurement, flare recovery, and lower-carbon gas processing, Angola can compete not just as an African LNG exporter, but as a comparatively lower-emissions supplier in a market increasingly screened by buyers and lenders.</w:t>
      </w:r>
    </w:p>
    <w:p w14:paraId="6D142366">
      <w:pPr>
        <w:spacing w:after="120" w:line="360" w:lineRule="auto"/>
        <w:jc w:val="both"/>
        <w:rPr>
          <w:rFonts w:hint="default" w:ascii="Times New Roman" w:hAnsi="Times New Roman" w:cs="Times New Roman"/>
          <w:b/>
          <w:bCs/>
          <w:color w:val="auto"/>
          <w:sz w:val="24"/>
          <w:szCs w:val="24"/>
        </w:rPr>
      </w:pPr>
      <w:r>
        <w:rPr>
          <w:rFonts w:hint="default" w:ascii="Times New Roman" w:hAnsi="Times New Roman" w:eastAsia="Calibri" w:cs="Times New Roman"/>
          <w:b/>
          <w:bCs/>
          <w:color w:val="auto"/>
          <w:sz w:val="24"/>
          <w:szCs w:val="24"/>
        </w:rPr>
        <w:t xml:space="preserve"> STRATEGIC OUTLOOK</w:t>
      </w:r>
    </w:p>
    <w:p w14:paraId="214C0825">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Angola's LNG competitiveness over the next decade will depend less on whether global LNG demand exists and more on whether the country can secure enough commercially robust feed gas at acceptable carbon intensity. The demand environment is still constructive. IGU recorded 411.24 million tonnes of global LNG trade in 2024, and Angola maintained exports of 3.81 million tonnes, while GECF notes strong 2025 growth in Angola's LNG shipments and recovery in gas production after the Sanha connection and new gas developments (GECF, 2026; IGU, 2025).</w:t>
      </w:r>
    </w:p>
    <w:p w14:paraId="721015A5">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 xml:space="preserve">The most plausible base-case scenario is moderate expansion without a near-term </w:t>
      </w:r>
      <w:r>
        <w:rPr>
          <w:rFonts w:hint="default" w:ascii="Times New Roman" w:hAnsi="Times New Roman" w:cs="Times New Roman"/>
          <w:b w:val="0"/>
          <w:i w:val="0"/>
          <w:color w:val="auto"/>
          <w:sz w:val="24"/>
          <w:szCs w:val="24"/>
          <w:lang w:val="en-US"/>
        </w:rPr>
        <w:t>mega project</w:t>
      </w:r>
      <w:r>
        <w:rPr>
          <w:rFonts w:hint="default" w:ascii="Times New Roman" w:hAnsi="Times New Roman" w:eastAsia="Calibri" w:cs="Times New Roman"/>
          <w:b w:val="0"/>
          <w:i w:val="0"/>
          <w:color w:val="auto"/>
          <w:sz w:val="24"/>
          <w:szCs w:val="24"/>
        </w:rPr>
        <w:t xml:space="preserve"> leap: higher </w:t>
      </w:r>
      <w:r>
        <w:rPr>
          <w:rFonts w:hint="default" w:ascii="Times New Roman" w:hAnsi="Times New Roman" w:cs="Times New Roman"/>
          <w:b w:val="0"/>
          <w:i w:val="0"/>
          <w:color w:val="auto"/>
          <w:sz w:val="24"/>
          <w:szCs w:val="24"/>
          <w:lang w:val="en-US"/>
        </w:rPr>
        <w:t>utilization</w:t>
      </w:r>
      <w:r>
        <w:rPr>
          <w:rFonts w:hint="default" w:ascii="Times New Roman" w:hAnsi="Times New Roman" w:eastAsia="Calibri" w:cs="Times New Roman"/>
          <w:b w:val="0"/>
          <w:i w:val="0"/>
          <w:color w:val="auto"/>
          <w:sz w:val="24"/>
          <w:szCs w:val="24"/>
        </w:rPr>
        <w:t xml:space="preserve"> of the existing plant, stronger non-associated gas input, and more deliberate links to domestic gas use. A bullish scenario would add reserve discoveries, further </w:t>
      </w:r>
      <w:r>
        <w:rPr>
          <w:rFonts w:hint="default" w:ascii="Times New Roman" w:hAnsi="Times New Roman" w:cs="Times New Roman"/>
          <w:b w:val="0"/>
          <w:i w:val="0"/>
          <w:color w:val="auto"/>
          <w:sz w:val="24"/>
          <w:szCs w:val="24"/>
          <w:lang w:val="en-US"/>
        </w:rPr>
        <w:t>shuttlecocking</w:t>
      </w:r>
      <w:r>
        <w:rPr>
          <w:rFonts w:hint="default" w:ascii="Times New Roman" w:hAnsi="Times New Roman" w:eastAsia="Calibri" w:cs="Times New Roman"/>
          <w:b w:val="0"/>
          <w:i w:val="0"/>
          <w:color w:val="auto"/>
          <w:sz w:val="24"/>
          <w:szCs w:val="24"/>
        </w:rPr>
        <w:t xml:space="preserve">, and stronger Asian market penetration. A downside scenario would combine weak reserve replacement, infrastructure outages, and carbon-cost escalation. In all three cases, operator quality matters because Angola's system is too concentrated to absorb sustained </w:t>
      </w:r>
      <w:r>
        <w:rPr>
          <w:rFonts w:hint="default" w:ascii="Times New Roman" w:hAnsi="Times New Roman" w:cs="Times New Roman"/>
          <w:b w:val="0"/>
          <w:i w:val="0"/>
          <w:color w:val="auto"/>
          <w:sz w:val="24"/>
          <w:szCs w:val="24"/>
          <w:lang w:val="en-US"/>
        </w:rPr>
        <w:t>under performance</w:t>
      </w:r>
      <w:r>
        <w:rPr>
          <w:rFonts w:hint="default" w:ascii="Times New Roman" w:hAnsi="Times New Roman" w:eastAsia="Calibri" w:cs="Times New Roman"/>
          <w:b w:val="0"/>
          <w:i w:val="0"/>
          <w:color w:val="auto"/>
          <w:sz w:val="24"/>
          <w:szCs w:val="24"/>
        </w:rPr>
        <w:t xml:space="preserve"> by any of its major shareholders or feed-gas suppliers.</w:t>
      </w:r>
    </w:p>
    <w:p w14:paraId="1105722A">
      <w:pPr>
        <w:pStyle w:val="2"/>
        <w:spacing w:line="360" w:lineRule="auto"/>
        <w:jc w:val="both"/>
        <w:rPr>
          <w:rFonts w:hint="default" w:ascii="Times New Roman" w:hAnsi="Times New Roman" w:eastAsia="Calibri" w:cs="Times New Roman"/>
          <w:color w:val="auto"/>
          <w:sz w:val="24"/>
          <w:szCs w:val="24"/>
        </w:rPr>
      </w:pPr>
      <w:r>
        <w:rPr>
          <w:rFonts w:hint="default" w:ascii="Times New Roman" w:hAnsi="Times New Roman" w:eastAsia="Calibri" w:cs="Times New Roman"/>
          <w:color w:val="auto"/>
          <w:sz w:val="24"/>
          <w:szCs w:val="24"/>
        </w:rPr>
        <w:t>STRATEGIC RECOMMENDATIONS</w:t>
      </w:r>
    </w:p>
    <w:p w14:paraId="3501644B">
      <w:pPr>
        <w:rPr>
          <w:rFonts w:hint="default"/>
        </w:rPr>
      </w:pPr>
    </w:p>
    <w:p w14:paraId="6EDF0126">
      <w:pPr>
        <w:pStyle w:val="5"/>
        <w:spacing w:line="360" w:lineRule="auto"/>
        <w:ind w:left="638" w:leftChars="20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Government: preserve fiscal and contractual stability for gas-specific developments, and prioritise licensing and approvals that expand non-associated gas reserves rather than relying predominantly on mature associated gas streams.</w:t>
      </w:r>
    </w:p>
    <w:p w14:paraId="23836D0F">
      <w:pPr>
        <w:pStyle w:val="5"/>
        <w:spacing w:line="360" w:lineRule="auto"/>
        <w:ind w:left="638" w:leftChars="20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Sonangol: use its shareholder, marketing, and domestic supply roles to integrate LNG export growth with local gas demand creation in power, fertilisers, and selected industrial clusters around Soyo and Luanda.</w:t>
      </w:r>
    </w:p>
    <w:p w14:paraId="763070F4">
      <w:pPr>
        <w:pStyle w:val="5"/>
        <w:spacing w:line="360" w:lineRule="auto"/>
        <w:ind w:left="638" w:leftChars="20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Gas business operators: jointly develop a medium-term feed-gas security plan for Angola LNG covering associated gas decline, NGC ramp-up, reserve replacement, and maintenance coordination across pipelines and processing assets.</w:t>
      </w:r>
    </w:p>
    <w:p w14:paraId="3EE7FBBE">
      <w:pPr>
        <w:pStyle w:val="5"/>
        <w:spacing w:line="360" w:lineRule="auto"/>
        <w:ind w:left="638" w:leftChars="20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Investors: view Angola's strongest opportunities in brownfield-linked gas, pipeline optimisation, gas processing, and emissions-performance improvements rather than assuming a near-term greenfield LNG mega-expansion.</w:t>
      </w:r>
    </w:p>
    <w:p w14:paraId="13DAAAA3">
      <w:pPr>
        <w:pStyle w:val="5"/>
        <w:spacing w:line="360" w:lineRule="auto"/>
        <w:ind w:left="638" w:leftChars="20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Regulators: tighten methane, flaring, and measurement requirements in ways that remain bankable, so Angola's LNG exports become more credible in premium markets with stricter environmental scrutiny.</w:t>
      </w:r>
    </w:p>
    <w:p w14:paraId="0E61DEE1">
      <w:pPr>
        <w:pStyle w:val="5"/>
        <w:spacing w:line="360" w:lineRule="auto"/>
        <w:ind w:left="638" w:leftChars="20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Development finance institutions: support credit enhancement and blended finance for domestic gas infrastructure, skills transfer, methane-abatement systems, and industrial offtake projects that broaden monetisation beyond LNG cargo sales.</w:t>
      </w:r>
    </w:p>
    <w:p w14:paraId="0F8FC12B">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CONCLUSION</w:t>
      </w:r>
    </w:p>
    <w:p w14:paraId="3681C73E">
      <w:pPr>
        <w:spacing w:after="120"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Angola's gas business operators are doing more than running projects: they are determining whether the country can convert a historically oil-dependent associated-gas base into a durable LNG-centred development strategy. Chevron and Angola LNG built the original export platform; Sonangol anchored national control and domestic linkage; Azule and its partners are now testing the viability of a second-generation gas model centred on non-associated supply. If Angola can pair that shift with better reserve replacement, lower-emissions operations, and stronger domestic gas utilisation, it can remain one of Africa's leading LNG exporters while extracting a larger developmental dividend from every molecule monetised.</w:t>
      </w:r>
    </w:p>
    <w:p w14:paraId="36258604">
      <w:pPr>
        <w:pStyle w:val="2"/>
        <w:spacing w:line="360" w:lineRule="auto"/>
        <w:jc w:val="both"/>
        <w:rPr>
          <w:rFonts w:hint="default" w:ascii="Times New Roman" w:hAnsi="Times New Roman" w:eastAsia="Calibri" w:cs="Times New Roman"/>
          <w:color w:val="auto"/>
          <w:sz w:val="24"/>
          <w:szCs w:val="24"/>
        </w:rPr>
      </w:pPr>
    </w:p>
    <w:p w14:paraId="166079AC">
      <w:pPr>
        <w:pStyle w:val="2"/>
        <w:spacing w:line="360" w:lineRule="auto"/>
        <w:jc w:val="both"/>
        <w:rPr>
          <w:rFonts w:hint="default" w:ascii="Times New Roman" w:hAnsi="Times New Roman" w:eastAsia="Calibri" w:cs="Times New Roman"/>
          <w:color w:val="auto"/>
          <w:sz w:val="24"/>
          <w:szCs w:val="24"/>
        </w:rPr>
      </w:pPr>
    </w:p>
    <w:p w14:paraId="1DABC555">
      <w:pPr>
        <w:pStyle w:val="2"/>
        <w:spacing w:line="360" w:lineRule="auto"/>
        <w:jc w:val="both"/>
        <w:rPr>
          <w:rFonts w:hint="default" w:ascii="Times New Roman" w:hAnsi="Times New Roman" w:eastAsia="Calibri" w:cs="Times New Roman"/>
          <w:color w:val="auto"/>
          <w:sz w:val="24"/>
          <w:szCs w:val="24"/>
        </w:rPr>
      </w:pPr>
    </w:p>
    <w:p w14:paraId="5B43FB1D">
      <w:pPr>
        <w:rPr>
          <w:rFonts w:hint="default"/>
        </w:rPr>
      </w:pPr>
    </w:p>
    <w:p w14:paraId="7B4EFC6D">
      <w:pPr>
        <w:pStyle w:val="2"/>
        <w:spacing w:line="360" w:lineRule="auto"/>
        <w:jc w:val="both"/>
        <w:rPr>
          <w:rFonts w:hint="default" w:ascii="Times New Roman" w:hAnsi="Times New Roman" w:cs="Times New Roman"/>
          <w:color w:val="auto"/>
          <w:sz w:val="24"/>
          <w:szCs w:val="24"/>
        </w:rPr>
      </w:pPr>
      <w:r>
        <w:rPr>
          <w:rFonts w:hint="default" w:ascii="Times New Roman" w:hAnsi="Times New Roman" w:eastAsia="Calibri" w:cs="Times New Roman"/>
          <w:color w:val="auto"/>
          <w:sz w:val="24"/>
          <w:szCs w:val="24"/>
        </w:rPr>
        <w:t>References</w:t>
      </w:r>
    </w:p>
    <w:p w14:paraId="6E91EF66">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Agência Nacional de Petróleo, Gás e Biocombustíveis. (2023). ANPG, Azule Energy e parceiros iniciam construção do Novo Consórcio de Gás. https://anpg.co.ao/noticias/anpg-azule-energy-e-parceiros-iniciam-construcao-do-novo-consorcio-de-gas/</w:t>
      </w:r>
    </w:p>
    <w:p w14:paraId="0C9F16BB">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Agência Nacional de Petróleo, Gás e Biocombustíveis. (2024). ANPG e ExxonMobil celebram 30 anos do Bloco 15. https://anpg.co.ao/noticias/anpg-e-exxonmobil-celebram-30-anos-do-bloco-15/</w:t>
      </w:r>
    </w:p>
    <w:p w14:paraId="0224FE1E">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Agência Nacional de Petróleo, Gás e Biocombustíveis. (2025). Presidente da República inaugura fábrica do Novo Consórcio de Gás no Soyo. https://anpg.co.ao/noticias/presidente-da-republica-inaugura-fabrica-do-novo-consorcio-de-gas-no-soyo/</w:t>
      </w:r>
    </w:p>
    <w:p w14:paraId="3434ABB3">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Agência Nacional de Petróleo, Gás e Biocombustíveis. (2026). Angola assinala marco histórico com início do fornecimento de gás do campo Quiluma. https://anpg.co.ao/noticias/angola-assinala-marco-historico-com-inicio-do-fornecimento-de-gas-do-campo-quiluma/</w:t>
      </w:r>
    </w:p>
    <w:p w14:paraId="5D8C49FF">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Azule Energy Holdings Limited. (2025). Annual report and financial statements 2024. https://www.azule-energy.com/wp-content/uploads/2025/05/AEHL_2024_FS-_Final.pdf</w:t>
      </w:r>
    </w:p>
    <w:p w14:paraId="4B75969F">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Chevron. (2024). Sanha Lean Gas Connection achieves first gas. https://angola.chevron.com/en/news/press-releases/2024/sanha-lan-gas-connection-achieves-first-gas</w:t>
      </w:r>
    </w:p>
    <w:p w14:paraId="72A5D345">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Chevron. (2025). Angola LNG asset page. https://www.chevron.com/what-we-do/energy/oil-and-natural-gas/assets/angola-lng</w:t>
      </w:r>
    </w:p>
    <w:p w14:paraId="46FDA1E1">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Gas Exporting Countries Forum. (2026). Annual gas market report 2026. https://www.gecf.org/Portals/0/xBlog/uploads/2026/3/31/GECFAGMR2026-PUBLICVERSION.pdf</w:t>
      </w:r>
    </w:p>
    <w:p w14:paraId="39A0A5BB">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International Gas Union. (2025). World LNG report 2025. https://www.datocms-assets.com/146580/1751026179-igu-world-lng-report-2025-hr_dp_c.pdf</w:t>
      </w:r>
    </w:p>
    <w:p w14:paraId="68A2B7C4">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OPEC. (2025). Annual statistical bulletin 2025. https://www.opec.org/assets/assetdb/asb-2025.pdf</w:t>
      </w:r>
    </w:p>
    <w:p w14:paraId="1CF8454D">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Sonangol E.P. (2025). Consolidated financial statements for the year ended 31 December 2024. https://www.sonangol.co.ao/wp-content/uploads/2025/05/Combinac%CC%A7a%CC%83o-de-2024-RC-Consolidado-EN-translation_V01_DMC-Comments.pdf</w:t>
      </w:r>
    </w:p>
    <w:p w14:paraId="41351298">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TotalEnergies. (2022). Angola: TotalEnergies is rolling out its multi-energy strategy by launching three projects in oil, gas and solar energy. https://totalenergies.com/newsroom/angola-totalenergies-rolling-out-its-multi-energy-strategy-launching-three/?lang=eng</w:t>
      </w:r>
    </w:p>
    <w:p w14:paraId="08DC7C52">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U.S. Energy Information Administration. (2025). Country analysis brief: Angola. https://www.eia.gov/international/content/analysis/countries_long/Angola/angola.pdf</w:t>
      </w:r>
    </w:p>
    <w:p w14:paraId="58084B6A">
      <w:pPr>
        <w:spacing w:after="120" w:line="240" w:lineRule="auto"/>
        <w:ind w:left="218" w:leftChars="0" w:hanging="218" w:hangingChars="91"/>
        <w:jc w:val="both"/>
        <w:rPr>
          <w:rFonts w:hint="default" w:ascii="Times New Roman" w:hAnsi="Times New Roman" w:cs="Times New Roman"/>
          <w:color w:val="auto"/>
          <w:sz w:val="24"/>
          <w:szCs w:val="24"/>
        </w:rPr>
      </w:pPr>
      <w:r>
        <w:rPr>
          <w:rFonts w:hint="default" w:ascii="Times New Roman" w:hAnsi="Times New Roman" w:eastAsia="Calibri" w:cs="Times New Roman"/>
          <w:b w:val="0"/>
          <w:i w:val="0"/>
          <w:color w:val="auto"/>
          <w:sz w:val="24"/>
          <w:szCs w:val="24"/>
        </w:rPr>
        <w:t>World Bank. (2025). Global gas flaring tracker report. https://thedocs.worldbank.org/en/doc/bd2432bbb0e514986f382f61b14b2608-0400072025/original/Global-Gas-Flaring-Tracker-Report-July-2025.pdf</w:t>
      </w:r>
    </w:p>
    <w:p w14:paraId="2BDE22E4">
      <w:pPr>
        <w:spacing w:line="360" w:lineRule="auto"/>
        <w:jc w:val="both"/>
        <w:rPr>
          <w:rFonts w:hint="default" w:ascii="Times New Roman" w:hAnsi="Times New Roman" w:cs="Times New Roman"/>
          <w:color w:val="auto"/>
          <w:sz w:val="24"/>
          <w:szCs w:val="24"/>
        </w:rPr>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Symbol">
    <w:panose1 w:val="05050102010706020507"/>
    <w:charset w:val="02"/>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A204BF"/>
    <w:multiLevelType w:val="singleLevel"/>
    <w:tmpl w:val="EAA204BF"/>
    <w:lvl w:ilvl="0" w:tentative="0">
      <w:start w:val="1"/>
      <w:numFmt w:val="bullet"/>
      <w:pStyle w:val="5"/>
      <w:lvlText w:val=""/>
      <w:lvlJc w:val="left"/>
      <w:pPr>
        <w:tabs>
          <w:tab w:val="left" w:pos="360"/>
        </w:tabs>
        <w:ind w:left="360" w:hanging="360" w:hangingChars="200"/>
      </w:pPr>
      <w:rPr>
        <w:rFonts w:hint="default" w:ascii="Wingdings" w:hAnsi="Wingdings"/>
        <w:sz w:val="16"/>
        <w:szCs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428DE"/>
    <w:rsid w:val="16142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heme="minorBidi"/>
      <w:sz w:val="21"/>
      <w:szCs w:val="22"/>
      <w:lang w:val="en-US" w:eastAsia="en-US"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2E54A1" w:themeColor="accent1" w:themeShade="BF"/>
      <w:sz w:val="28"/>
      <w:szCs w:val="28"/>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List Bullet"/>
    <w:basedOn w:val="1"/>
    <w:uiPriority w:val="0"/>
    <w:pPr>
      <w:numPr>
        <w:ilvl w:val="0"/>
        <w:numId w:val="1"/>
      </w:numPr>
    </w:pPr>
  </w:style>
  <w:style w:type="table" w:styleId="6">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Title"/>
    <w:basedOn w:val="1"/>
    <w:next w:val="1"/>
    <w:qFormat/>
    <w:uiPriority w:val="10"/>
    <w:pPr>
      <w:pBdr>
        <w:bottom w:val="single" w:color="4874CB" w:themeColor="accent1" w:sz="8" w:space="4"/>
      </w:pBdr>
      <w:spacing w:after="300" w:line="240" w:lineRule="auto"/>
      <w:contextualSpacing/>
    </w:pPr>
    <w:rPr>
      <w:rFonts w:asciiTheme="majorHAnsi" w:hAnsiTheme="majorHAnsi" w:eastAsiaTheme="majorEastAsia" w:cstheme="majorBidi"/>
      <w:color w:val="333F50"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14</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2026-07-24T17:23:00Z</dcterms:created>
  <dc:creator>Admin</dc:creator>
  <cp:lastModifiedBy>Admin</cp:lastModifiedBy>
  <dcterms:modified xsi:type="dcterms:W3CDTF">2026-07-24T17:41:40Z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CB52AC1D0DEB4469A4B87F37F81CA3B6_11</vt:lpwstr>
  </property>
  <property fmtid="{D5CDD505-2E9C-101B-9397-08002B2CF9AE}" pid="4" name="KSOTemplateDocerSaveRecord">
    <vt:lpwstr>eyJoZGlkIjoiNjJiN2ZjM2ZkYjRkMjUxNjhkMmQ5YWQ2ODlkY2M4YjEifQ==</vt:lpwstr>
  </property>
</Properties>
</file>