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9BBB0" w14:textId="420184A6" w:rsidR="00804ECE" w:rsidRPr="001470A1" w:rsidRDefault="000133AA" w:rsidP="000133AA">
      <w:pPr>
        <w:spacing w:before="300" w:after="200"/>
        <w:rPr>
          <w:rFonts w:ascii="Times New Roman" w:hAnsi="Times New Roman" w:cs="Times New Roman"/>
          <w:sz w:val="24"/>
          <w:szCs w:val="24"/>
        </w:rPr>
      </w:pPr>
      <w:r w:rsidRPr="001470A1">
        <w:rPr>
          <w:rFonts w:ascii="Times New Roman" w:hAnsi="Times New Roman" w:cs="Times New Roman"/>
          <w:b/>
          <w:bCs/>
          <w:sz w:val="24"/>
          <w:szCs w:val="24"/>
        </w:rPr>
        <w:t>SUDAN'S RED SEA GAS FRONTIER</w:t>
      </w:r>
      <w:r>
        <w:rPr>
          <w:rFonts w:ascii="Times New Roman" w:hAnsi="Times New Roman" w:cs="Times New Roman"/>
          <w:sz w:val="24"/>
          <w:szCs w:val="24"/>
        </w:rPr>
        <w:t xml:space="preserve">: </w:t>
      </w:r>
      <w:r w:rsidRPr="001470A1">
        <w:rPr>
          <w:rFonts w:ascii="Times New Roman" w:hAnsi="Times New Roman" w:cs="Times New Roman"/>
          <w:b/>
          <w:bCs/>
          <w:sz w:val="24"/>
          <w:szCs w:val="24"/>
        </w:rPr>
        <w:t>THE BATTLE FOR UPSTREAM INVESTMENT</w:t>
      </w:r>
    </w:p>
    <w:p w14:paraId="750DC7C4" w14:textId="77777777" w:rsidR="00991B43" w:rsidRDefault="00991B43" w:rsidP="00991B43">
      <w:pPr>
        <w:spacing w:after="110" w:line="260" w:lineRule="auto"/>
        <w:jc w:val="both"/>
        <w:rPr>
          <w:rFonts w:ascii="Times New Roman" w:hAnsi="Times New Roman" w:cs="Times New Roman"/>
          <w:sz w:val="24"/>
          <w:szCs w:val="24"/>
        </w:rPr>
      </w:pPr>
    </w:p>
    <w:p w14:paraId="5D3BFDF9" w14:textId="720CEDDA" w:rsidR="000133AA" w:rsidRPr="00991B43" w:rsidRDefault="000133AA" w:rsidP="00991B43">
      <w:pPr>
        <w:spacing w:after="110" w:line="260" w:lineRule="auto"/>
        <w:jc w:val="both"/>
        <w:rPr>
          <w:rFonts w:ascii="Times New Roman" w:hAnsi="Times New Roman" w:cs="Times New Roman"/>
          <w:b/>
          <w:bCs/>
          <w:sz w:val="24"/>
          <w:szCs w:val="24"/>
        </w:rPr>
      </w:pPr>
      <w:r w:rsidRPr="00991B43">
        <w:rPr>
          <w:rFonts w:ascii="Times New Roman" w:hAnsi="Times New Roman" w:cs="Times New Roman"/>
          <w:b/>
          <w:bCs/>
          <w:sz w:val="24"/>
          <w:szCs w:val="24"/>
        </w:rPr>
        <w:t>Executive Summary</w:t>
      </w:r>
    </w:p>
    <w:p w14:paraId="5F4B1898" w14:textId="2B35C60C" w:rsidR="00804ECE" w:rsidRPr="000133AA" w:rsidRDefault="00000000" w:rsidP="000133AA">
      <w:pPr>
        <w:spacing w:after="110" w:line="260" w:lineRule="auto"/>
        <w:jc w:val="both"/>
        <w:rPr>
          <w:rFonts w:ascii="Times New Roman" w:hAnsi="Times New Roman" w:cs="Times New Roman"/>
          <w:sz w:val="24"/>
          <w:szCs w:val="24"/>
        </w:rPr>
      </w:pPr>
      <w:r w:rsidRPr="000133AA">
        <w:rPr>
          <w:rFonts w:ascii="Times New Roman" w:hAnsi="Times New Roman" w:cs="Times New Roman"/>
          <w:sz w:val="24"/>
          <w:szCs w:val="24"/>
        </w:rPr>
        <w:t xml:space="preserve">Sudan's Red Sea margin is a genuinely under-explored gas-prone basin with encouraging but decades-old technical evidence and no commercially sanctioned discovery. Historical drilling by Agip, Chevron, Total, Sun Oil and Gulf Petroleum between the late 1950s and 2001 produced two gas-condensate shows at Bashayer-1 and Suakin-1 and confirmed source rocks analogous to the prolific Gulf of Suez system, but appraisal was poor and only around 14 wells have ever been drilled across roughly 57,000 square </w:t>
      </w:r>
      <w:proofErr w:type="spellStart"/>
      <w:r w:rsidRPr="000133AA">
        <w:rPr>
          <w:rFonts w:ascii="Times New Roman" w:hAnsi="Times New Roman" w:cs="Times New Roman"/>
          <w:sz w:val="24"/>
          <w:szCs w:val="24"/>
        </w:rPr>
        <w:t>kilometres</w:t>
      </w:r>
      <w:proofErr w:type="spellEnd"/>
      <w:r w:rsidRPr="000133AA">
        <w:rPr>
          <w:rFonts w:ascii="Times New Roman" w:hAnsi="Times New Roman" w:cs="Times New Roman"/>
          <w:sz w:val="24"/>
          <w:szCs w:val="24"/>
        </w:rPr>
        <w:t xml:space="preserve"> of margin. A 2010 U.S. Geological Survey basin-wide assessment estimated a mean of 112 trillion cubic feet of undiscovered, technically recoverable gas across the entire Red Sea Basin Province spanning Egypt, Sudan, Eritrea, Saudi Arabia, Yemen and Jordan a figure that is frequently misquoted as a Sudan-specific number but is not. No independently audited, Sudan-specific contingent or prospective resource estimate for the Red Sea blocks exists in the public domain.</w:t>
      </w:r>
    </w:p>
    <w:p w14:paraId="5EFB590E" w14:textId="1ABDD5ED"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The most advanced acreage, Block 15, was awarded to a PETRONAS-CNPC-SUDAPET consortium (Red Sea Petroleum Operating Company, RSPOC) in the mid-2000s with a modest minimum work </w:t>
      </w:r>
      <w:proofErr w:type="spellStart"/>
      <w:r w:rsidRPr="001470A1">
        <w:rPr>
          <w:rFonts w:ascii="Times New Roman" w:hAnsi="Times New Roman" w:cs="Times New Roman"/>
          <w:sz w:val="24"/>
          <w:szCs w:val="24"/>
        </w:rPr>
        <w:t>programme</w:t>
      </w:r>
      <w:proofErr w:type="spellEnd"/>
      <w:r w:rsidRPr="001470A1">
        <w:rPr>
          <w:rFonts w:ascii="Times New Roman" w:hAnsi="Times New Roman" w:cs="Times New Roman"/>
          <w:sz w:val="24"/>
          <w:szCs w:val="24"/>
        </w:rPr>
        <w:t xml:space="preserve"> of five wildcat wells and roughly 4,000 line-</w:t>
      </w:r>
      <w:proofErr w:type="spellStart"/>
      <w:r w:rsidRPr="001470A1">
        <w:rPr>
          <w:rFonts w:ascii="Times New Roman" w:hAnsi="Times New Roman" w:cs="Times New Roman"/>
          <w:sz w:val="24"/>
          <w:szCs w:val="24"/>
        </w:rPr>
        <w:t>kilometres</w:t>
      </w:r>
      <w:proofErr w:type="spellEnd"/>
      <w:r w:rsidRPr="001470A1">
        <w:rPr>
          <w:rFonts w:ascii="Times New Roman" w:hAnsi="Times New Roman" w:cs="Times New Roman"/>
          <w:sz w:val="24"/>
          <w:szCs w:val="24"/>
        </w:rPr>
        <w:t xml:space="preserve"> of 2D/3D seismic for a committed spend of about US$58 millio</w:t>
      </w:r>
      <w:r w:rsidR="000133AA">
        <w:rPr>
          <w:rFonts w:ascii="Times New Roman" w:hAnsi="Times New Roman" w:cs="Times New Roman"/>
          <w:sz w:val="24"/>
          <w:szCs w:val="24"/>
        </w:rPr>
        <w:t>n</w:t>
      </w:r>
      <w:r w:rsidRPr="001470A1">
        <w:rPr>
          <w:rFonts w:ascii="Times New Roman" w:hAnsi="Times New Roman" w:cs="Times New Roman"/>
          <w:sz w:val="24"/>
          <w:szCs w:val="24"/>
        </w:rPr>
        <w:t xml:space="preserve">. That </w:t>
      </w:r>
      <w:proofErr w:type="spellStart"/>
      <w:r w:rsidRPr="001470A1">
        <w:rPr>
          <w:rFonts w:ascii="Times New Roman" w:hAnsi="Times New Roman" w:cs="Times New Roman"/>
          <w:sz w:val="24"/>
          <w:szCs w:val="24"/>
        </w:rPr>
        <w:t>programme</w:t>
      </w:r>
      <w:proofErr w:type="spellEnd"/>
      <w:r w:rsidRPr="001470A1">
        <w:rPr>
          <w:rFonts w:ascii="Times New Roman" w:hAnsi="Times New Roman" w:cs="Times New Roman"/>
          <w:sz w:val="24"/>
          <w:szCs w:val="24"/>
        </w:rPr>
        <w:t xml:space="preserve"> was substantially under-delivered even before the war, and CNPC</w:t>
      </w:r>
      <w:r w:rsidR="000133AA">
        <w:rPr>
          <w:rFonts w:ascii="Times New Roman" w:hAnsi="Times New Roman" w:cs="Times New Roman"/>
          <w:sz w:val="24"/>
          <w:szCs w:val="24"/>
        </w:rPr>
        <w:t xml:space="preserve"> </w:t>
      </w:r>
      <w:r w:rsidRPr="001470A1">
        <w:rPr>
          <w:rFonts w:ascii="Times New Roman" w:hAnsi="Times New Roman" w:cs="Times New Roman"/>
          <w:sz w:val="24"/>
          <w:szCs w:val="24"/>
        </w:rPr>
        <w:t xml:space="preserve">the most consequential foreign investor in Sudanese hydrocarbons for three decades formally invoked force majeure and withdrew from Sudan's energy sector entirely in late 2025. This is the single most important fact governing the near-term </w:t>
      </w:r>
      <w:proofErr w:type="spellStart"/>
      <w:r w:rsidRPr="001470A1">
        <w:rPr>
          <w:rFonts w:ascii="Times New Roman" w:hAnsi="Times New Roman" w:cs="Times New Roman"/>
          <w:sz w:val="24"/>
          <w:szCs w:val="24"/>
        </w:rPr>
        <w:t>investability</w:t>
      </w:r>
      <w:proofErr w:type="spellEnd"/>
      <w:r w:rsidRPr="001470A1">
        <w:rPr>
          <w:rFonts w:ascii="Times New Roman" w:hAnsi="Times New Roman" w:cs="Times New Roman"/>
          <w:sz w:val="24"/>
          <w:szCs w:val="24"/>
        </w:rPr>
        <w:t xml:space="preserve"> of the Red Sea frontier: the anchor investor in the flagship gas block has exited, and Sudan's civil war, security fragmentation and battered fiscal institutions mean no credible replacement has yet been secured.</w:t>
      </w:r>
    </w:p>
    <w:p w14:paraId="6B94661E" w14:textId="22627C01"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Sudan is not currently investable for greenfield offshore gas exploration by international capital markets standards. The war between the Sudanese Armed Forces (SAF) and the Rapid Support Forces (RSF), ongoing since April 2023, has cut national oil production to below 25,000 barrels per day, destroyed the Khartoum refinery, repeatedly drawn drone strikes on Port Sudan itself the only viable base for offshore logistics and produced a U.S. genocide determination against the RSF in January 2025. No investment-grade offshore drilling campaign is credible while the coastal state capital and export terminal are within range of hostile drone and missile strikes. Sanctions risk is compounding rather than easing: gold-sector sanctions and UAE-Sudan diplomatic estrangement illustrate how quickly a Gulf financial relationship can sour, and this bears directly on which investors will consider the Red Sea before the conflict resolves.</w:t>
      </w:r>
    </w:p>
    <w:p w14:paraId="01257B2E" w14:textId="44193FBB" w:rsidR="00BF3E86" w:rsidRDefault="00000000" w:rsidP="00BF3E86">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The most plausible near-to-medium-term pathway is not LNG export but modest domestic </w:t>
      </w:r>
      <w:proofErr w:type="spellStart"/>
      <w:r w:rsidRPr="001470A1">
        <w:rPr>
          <w:rFonts w:ascii="Times New Roman" w:hAnsi="Times New Roman" w:cs="Times New Roman"/>
          <w:sz w:val="24"/>
          <w:szCs w:val="24"/>
        </w:rPr>
        <w:t>monetisation</w:t>
      </w:r>
      <w:proofErr w:type="spellEnd"/>
      <w:r w:rsidRPr="001470A1">
        <w:rPr>
          <w:rFonts w:ascii="Times New Roman" w:hAnsi="Times New Roman" w:cs="Times New Roman"/>
          <w:sz w:val="24"/>
          <w:szCs w:val="24"/>
        </w:rPr>
        <w:t xml:space="preserve">: gas-to-power and LPG recovery from associated gas, which the Ministry of Energy has already begun on a small scale (about 38 megawatts of associated-gas power and roughly 95 </w:t>
      </w:r>
      <w:proofErr w:type="spellStart"/>
      <w:r w:rsidRPr="001470A1">
        <w:rPr>
          <w:rFonts w:ascii="Times New Roman" w:hAnsi="Times New Roman" w:cs="Times New Roman"/>
          <w:sz w:val="24"/>
          <w:szCs w:val="24"/>
        </w:rPr>
        <w:t>tonnes</w:t>
      </w:r>
      <w:proofErr w:type="spellEnd"/>
      <w:r w:rsidRPr="001470A1">
        <w:rPr>
          <w:rFonts w:ascii="Times New Roman" w:hAnsi="Times New Roman" w:cs="Times New Roman"/>
          <w:sz w:val="24"/>
          <w:szCs w:val="24"/>
        </w:rPr>
        <w:t xml:space="preserve"> per day of LPG as of 2024). A genuine offshore Red Sea gas development remains, at best, a post-conflict, multi-year proposition contingent on a durable ceasefire, contract-sanctity reforms, </w:t>
      </w:r>
      <w:r w:rsidRPr="001470A1">
        <w:rPr>
          <w:rFonts w:ascii="Times New Roman" w:hAnsi="Times New Roman" w:cs="Times New Roman"/>
          <w:sz w:val="24"/>
          <w:szCs w:val="24"/>
        </w:rPr>
        <w:lastRenderedPageBreak/>
        <w:t>and a strategic (not purely commercial) investor willing to accept war-risk pricing. Turkey has emerged since mid-2026 as the most active suitor seeking to fill the vacuum left by CNPC, motivated by reconstruction diplomacy rather than pure resource economics.</w:t>
      </w:r>
    </w:p>
    <w:p w14:paraId="131BE0AF" w14:textId="77777777" w:rsidR="00991B43" w:rsidRDefault="00991B43" w:rsidP="00991B43">
      <w:pPr>
        <w:spacing w:after="110" w:line="260" w:lineRule="auto"/>
        <w:jc w:val="both"/>
        <w:rPr>
          <w:rFonts w:ascii="Times New Roman" w:hAnsi="Times New Roman" w:cs="Times New Roman"/>
          <w:sz w:val="24"/>
          <w:szCs w:val="24"/>
        </w:rPr>
      </w:pPr>
    </w:p>
    <w:p w14:paraId="42767CBD" w14:textId="3BC5174E" w:rsidR="00BF3E86" w:rsidRPr="00991B43" w:rsidRDefault="00BF3E86" w:rsidP="00991B43">
      <w:pPr>
        <w:spacing w:after="110" w:line="260" w:lineRule="auto"/>
        <w:jc w:val="both"/>
        <w:rPr>
          <w:rFonts w:ascii="Times New Roman" w:hAnsi="Times New Roman" w:cs="Times New Roman"/>
          <w:b/>
          <w:bCs/>
          <w:sz w:val="24"/>
          <w:szCs w:val="24"/>
        </w:rPr>
      </w:pPr>
      <w:r w:rsidRPr="00991B43">
        <w:rPr>
          <w:rFonts w:ascii="Times New Roman" w:hAnsi="Times New Roman" w:cs="Times New Roman"/>
          <w:b/>
          <w:bCs/>
          <w:sz w:val="24"/>
          <w:szCs w:val="24"/>
        </w:rPr>
        <w:t>Sudan’s Red Sea Gas Opportunity</w:t>
      </w:r>
    </w:p>
    <w:p w14:paraId="4C3BBBE9" w14:textId="43EB2BAF"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Sudan's Red Sea margin sits on the western flank of a young, still-actively-rifting ocean basin that separates the African and Arabian plates. The geology is genuinely analogous to proven hydrocarbon systems: source rocks identified in Sudanese Red Sea wells resemble those of the Gulf of Suez, one of the most prolific petroleum provinces in the region, and the basin contains syn-rift and pre-rift clastic reservoirs sealed by Miocene-to-Pliocene evaporite (salt) sequences that are structurally comparable to producing systems in Egypt and the Eritrean margin. This is the basis for genuine, geologically grounded optimism about the province but optimism about analogues is not the same as a proven commercial system, and Sudan's margin has never produced a single barrel or cubic foot of hydrocarbons commercially.</w:t>
      </w:r>
    </w:p>
    <w:p w14:paraId="2AA4C551" w14:textId="13AF39C9"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The central and most important qualifier for any investor is the sheer thinness of the data. Only around 14 wells have been drilled across some 57,000 square </w:t>
      </w:r>
      <w:proofErr w:type="spellStart"/>
      <w:r w:rsidRPr="001470A1">
        <w:rPr>
          <w:rFonts w:ascii="Times New Roman" w:hAnsi="Times New Roman" w:cs="Times New Roman"/>
          <w:sz w:val="24"/>
          <w:szCs w:val="24"/>
        </w:rPr>
        <w:t>kilometres</w:t>
      </w:r>
      <w:proofErr w:type="spellEnd"/>
      <w:r w:rsidRPr="001470A1">
        <w:rPr>
          <w:rFonts w:ascii="Times New Roman" w:hAnsi="Times New Roman" w:cs="Times New Roman"/>
          <w:sz w:val="24"/>
          <w:szCs w:val="24"/>
        </w:rPr>
        <w:t xml:space="preserve"> of Sudanese Red Sea margin, and most of these predate modern 3D seismic and were drilled without the benefit of today's imaging of the complex salt tectonics that govern where oil and gas actually migrate and trap. Independent technical commentary (</w:t>
      </w:r>
      <w:proofErr w:type="spellStart"/>
      <w:r w:rsidRPr="001470A1">
        <w:rPr>
          <w:rFonts w:ascii="Times New Roman" w:hAnsi="Times New Roman" w:cs="Times New Roman"/>
          <w:sz w:val="24"/>
          <w:szCs w:val="24"/>
        </w:rPr>
        <w:t>GeoExpro</w:t>
      </w:r>
      <w:proofErr w:type="spellEnd"/>
      <w:r w:rsidRPr="001470A1">
        <w:rPr>
          <w:rFonts w:ascii="Times New Roman" w:hAnsi="Times New Roman" w:cs="Times New Roman"/>
          <w:sz w:val="24"/>
          <w:szCs w:val="24"/>
        </w:rPr>
        <w:t>, drawing on Sudan's Ministry of Energy and Petroleum information packs) concludes that legacy 2D seismic cannot resolve whether the subsurface salt is present as thick, laterally continuous salt walls the geometry associated with the best-documented discovery in the region, the Amber structure offshore Eritrea or as thinner, more complex salt canopies, which would imply a very different, harder-to-predict play. New 3D seismic, some of which was being planned by the seismic contractor Searcher as of 2022-23 to cover the northern Block 13 area, is described as the essential next step to resolve this ambiguity; it is not clear whether this acquisition has since been completed given the intervening civil war.</w:t>
      </w:r>
    </w:p>
    <w:p w14:paraId="3AF81150" w14:textId="77777777" w:rsidR="00991B43" w:rsidRDefault="00991B43">
      <w:pPr>
        <w:pStyle w:val="Heading2"/>
        <w:spacing w:before="160" w:after="80"/>
        <w:rPr>
          <w:rFonts w:ascii="Times New Roman" w:hAnsi="Times New Roman" w:cs="Times New Roman"/>
          <w:b/>
          <w:bCs/>
          <w:color w:val="auto"/>
          <w:sz w:val="24"/>
          <w:szCs w:val="24"/>
        </w:rPr>
      </w:pPr>
    </w:p>
    <w:p w14:paraId="0E328EF1" w14:textId="73FFE4C3" w:rsidR="00804ECE" w:rsidRPr="001470A1" w:rsidRDefault="00000000">
      <w:pPr>
        <w:pStyle w:val="Heading2"/>
        <w:spacing w:before="160" w:after="80"/>
        <w:rPr>
          <w:rFonts w:ascii="Times New Roman" w:hAnsi="Times New Roman" w:cs="Times New Roman"/>
          <w:color w:val="auto"/>
          <w:sz w:val="24"/>
          <w:szCs w:val="24"/>
        </w:rPr>
      </w:pPr>
      <w:r w:rsidRPr="001470A1">
        <w:rPr>
          <w:rFonts w:ascii="Times New Roman" w:hAnsi="Times New Roman" w:cs="Times New Roman"/>
          <w:b/>
          <w:bCs/>
          <w:color w:val="auto"/>
          <w:sz w:val="24"/>
          <w:szCs w:val="24"/>
        </w:rPr>
        <w:t>Exploration History</w:t>
      </w:r>
    </w:p>
    <w:p w14:paraId="44A27736" w14:textId="79016496"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Exploration on the Sudanese Red Sea shelf dates to the Agip campaign of 1959-1962, which drilled the Abu Shagara-1 well and encountered gas shows in syn- and pre-rift sands beneath a thin salt interval an early, genuine indication of an active petroleum system, but not a discovery. Chevron then held the acreage from 1974-1992 and is credited with the two most significant technical results to date: the Bashayer-1 and Suakin-1 gas-condensate discoveries of the 1970s. Both were disappointing on appraisal reservoir quality, connectivity or recoverable volumes were insufficient to justify development at the time and exploration effectively stalled for two decades thereafter. Total (1980), Sun Oil (1982-1990), State Petroleum (1993-1996) and Gulf Petroleum (1995-2001) held various permits in the interim with limited further drilling success reported.</w:t>
      </w:r>
    </w:p>
    <w:p w14:paraId="27C42D48" w14:textId="2A436883"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The modern era begins with the award of Block 15 to PETRONAS in the mid-2000s, described at the time as Sudan's first dedicated gas Exploration and Production Sharing Agreement (EPSA) and PETRONAS's entry into Sudanese offshore operations after nearly a decade of onshore activity. </w:t>
      </w:r>
      <w:r w:rsidRPr="001470A1">
        <w:rPr>
          <w:rFonts w:ascii="Times New Roman" w:hAnsi="Times New Roman" w:cs="Times New Roman"/>
          <w:sz w:val="24"/>
          <w:szCs w:val="24"/>
        </w:rPr>
        <w:lastRenderedPageBreak/>
        <w:t xml:space="preserve">This was followed by later interest in the northern Block 13, where CNPC, Indonesia's Pertamina and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have held interests alongside smaller Sudanese and regional partners, and where satellite-derived oil-slick studies (cited by industry technical literature circa 2021) identified recurring natural seepage over the 'Mountains' prospects a positive, if indirect, indicator of an active petroleum system rather than proof of a commercial accumulation.</w:t>
      </w:r>
    </w:p>
    <w:p w14:paraId="2C09F4C1" w14:textId="65D301DA" w:rsidR="00804ECE" w:rsidRPr="001470A1" w:rsidRDefault="00000000">
      <w:pPr>
        <w:pStyle w:val="Heading2"/>
        <w:spacing w:before="160" w:after="80"/>
        <w:rPr>
          <w:rFonts w:ascii="Times New Roman" w:hAnsi="Times New Roman" w:cs="Times New Roman"/>
          <w:color w:val="auto"/>
          <w:sz w:val="24"/>
          <w:szCs w:val="24"/>
        </w:rPr>
      </w:pPr>
      <w:r w:rsidRPr="001470A1">
        <w:rPr>
          <w:rFonts w:ascii="Times New Roman" w:hAnsi="Times New Roman" w:cs="Times New Roman"/>
          <w:b/>
          <w:bCs/>
          <w:color w:val="auto"/>
          <w:sz w:val="24"/>
          <w:szCs w:val="24"/>
        </w:rPr>
        <w:t>What Is Known Versus What Remains Speculative</w:t>
      </w:r>
    </w:p>
    <w:p w14:paraId="14FF628A" w14:textId="77777777" w:rsidR="00804ECE" w:rsidRPr="001470A1" w:rsidRDefault="00000000" w:rsidP="00BF3E86">
      <w:pPr>
        <w:pStyle w:val="ListParagraph"/>
        <w:numPr>
          <w:ilvl w:val="0"/>
          <w:numId w:val="2"/>
        </w:numPr>
        <w:spacing w:after="60" w:line="250" w:lineRule="auto"/>
        <w:jc w:val="both"/>
        <w:rPr>
          <w:rFonts w:ascii="Times New Roman" w:hAnsi="Times New Roman" w:cs="Times New Roman"/>
          <w:sz w:val="24"/>
          <w:szCs w:val="24"/>
        </w:rPr>
      </w:pPr>
      <w:r w:rsidRPr="001470A1">
        <w:rPr>
          <w:rFonts w:ascii="Times New Roman" w:hAnsi="Times New Roman" w:cs="Times New Roman"/>
          <w:sz w:val="24"/>
          <w:szCs w:val="24"/>
        </w:rPr>
        <w:t>Known: two historical gas-condensate shows (Bashayer-1, Suakin-1); Gulf-of-Suez-analogous source rocks; an active petroleum system evidenced by gas shows in multiple wells and satellite oil-slick studies over Block 13 structures.</w:t>
      </w:r>
    </w:p>
    <w:p w14:paraId="2473F41E" w14:textId="5153F67B" w:rsidR="00804ECE" w:rsidRPr="001470A1" w:rsidRDefault="00000000" w:rsidP="00BF3E86">
      <w:pPr>
        <w:pStyle w:val="ListParagraph"/>
        <w:numPr>
          <w:ilvl w:val="0"/>
          <w:numId w:val="2"/>
        </w:numPr>
        <w:spacing w:after="60" w:line="25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Known: the basin is severely underexplored relative to its size roughly one well per 4,000 square </w:t>
      </w:r>
      <w:proofErr w:type="spellStart"/>
      <w:r w:rsidRPr="001470A1">
        <w:rPr>
          <w:rFonts w:ascii="Times New Roman" w:hAnsi="Times New Roman" w:cs="Times New Roman"/>
          <w:sz w:val="24"/>
          <w:szCs w:val="24"/>
        </w:rPr>
        <w:t>kilometres</w:t>
      </w:r>
      <w:proofErr w:type="spellEnd"/>
      <w:r w:rsidRPr="001470A1">
        <w:rPr>
          <w:rFonts w:ascii="Times New Roman" w:hAnsi="Times New Roman" w:cs="Times New Roman"/>
          <w:sz w:val="24"/>
          <w:szCs w:val="24"/>
        </w:rPr>
        <w:t>, a fraction of well density in mature basins.</w:t>
      </w:r>
    </w:p>
    <w:p w14:paraId="0F68EE48" w14:textId="22C1160E" w:rsidR="00804ECE" w:rsidRPr="001470A1" w:rsidRDefault="00000000" w:rsidP="00BF3E86">
      <w:pPr>
        <w:pStyle w:val="ListParagraph"/>
        <w:numPr>
          <w:ilvl w:val="0"/>
          <w:numId w:val="2"/>
        </w:numPr>
        <w:spacing w:after="60" w:line="250" w:lineRule="auto"/>
        <w:jc w:val="both"/>
        <w:rPr>
          <w:rFonts w:ascii="Times New Roman" w:hAnsi="Times New Roman" w:cs="Times New Roman"/>
          <w:sz w:val="24"/>
          <w:szCs w:val="24"/>
        </w:rPr>
      </w:pPr>
      <w:r w:rsidRPr="001470A1">
        <w:rPr>
          <w:rFonts w:ascii="Times New Roman" w:hAnsi="Times New Roman" w:cs="Times New Roman"/>
          <w:sz w:val="24"/>
          <w:szCs w:val="24"/>
        </w:rPr>
        <w:t>Speculative / unverified: any specific volumetric estimate of gas resources attributable to Sudan's Red Sea blocks. Sudan-wide proven gas reserves are conventionally cited at around 3 trillion cubic feet, but this is a national figure dominated by associated gas in onshore oil provinces (</w:t>
      </w:r>
      <w:proofErr w:type="spellStart"/>
      <w:r w:rsidRPr="001470A1">
        <w:rPr>
          <w:rFonts w:ascii="Times New Roman" w:hAnsi="Times New Roman" w:cs="Times New Roman"/>
          <w:sz w:val="24"/>
          <w:szCs w:val="24"/>
        </w:rPr>
        <w:t>Muglad</w:t>
      </w:r>
      <w:proofErr w:type="spellEnd"/>
      <w:r w:rsidRPr="001470A1">
        <w:rPr>
          <w:rFonts w:ascii="Times New Roman" w:hAnsi="Times New Roman" w:cs="Times New Roman"/>
          <w:sz w:val="24"/>
          <w:szCs w:val="24"/>
        </w:rPr>
        <w:t>, Melut basins), not a Red Sea-specific number.</w:t>
      </w:r>
    </w:p>
    <w:p w14:paraId="4789E94B" w14:textId="3B4EB44F" w:rsidR="00804ECE" w:rsidRPr="001470A1" w:rsidRDefault="00000000" w:rsidP="00BF3E86">
      <w:pPr>
        <w:pStyle w:val="ListParagraph"/>
        <w:numPr>
          <w:ilvl w:val="0"/>
          <w:numId w:val="2"/>
        </w:numPr>
        <w:spacing w:after="60" w:line="25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Speculative: claims that undiscovered Red Sea resources could rival or exceed onshore reserves. The oft-cited USGS figure of 112 </w:t>
      </w:r>
      <w:proofErr w:type="spellStart"/>
      <w:r w:rsidRPr="001470A1">
        <w:rPr>
          <w:rFonts w:ascii="Times New Roman" w:hAnsi="Times New Roman" w:cs="Times New Roman"/>
          <w:sz w:val="24"/>
          <w:szCs w:val="24"/>
        </w:rPr>
        <w:t>Tcf</w:t>
      </w:r>
      <w:proofErr w:type="spellEnd"/>
      <w:r w:rsidRPr="001470A1">
        <w:rPr>
          <w:rFonts w:ascii="Times New Roman" w:hAnsi="Times New Roman" w:cs="Times New Roman"/>
          <w:sz w:val="24"/>
          <w:szCs w:val="24"/>
        </w:rPr>
        <w:t xml:space="preserve"> is a mean, geology-based estimate for the entire six-country Red Sea Basin Province, not Sudan alone, and carries wide uncertainty bounds typical of frontier basin assessments.</w:t>
      </w:r>
    </w:p>
    <w:p w14:paraId="10C7B160" w14:textId="77777777" w:rsidR="00804ECE" w:rsidRDefault="00000000" w:rsidP="00BF3E86">
      <w:pPr>
        <w:pStyle w:val="ListParagraph"/>
        <w:numPr>
          <w:ilvl w:val="0"/>
          <w:numId w:val="2"/>
        </w:numPr>
        <w:spacing w:after="60" w:line="250" w:lineRule="auto"/>
        <w:jc w:val="both"/>
        <w:rPr>
          <w:rFonts w:ascii="Times New Roman" w:hAnsi="Times New Roman" w:cs="Times New Roman"/>
          <w:sz w:val="24"/>
          <w:szCs w:val="24"/>
        </w:rPr>
      </w:pPr>
      <w:r w:rsidRPr="001470A1">
        <w:rPr>
          <w:rFonts w:ascii="Times New Roman" w:hAnsi="Times New Roman" w:cs="Times New Roman"/>
          <w:sz w:val="24"/>
          <w:szCs w:val="24"/>
        </w:rPr>
        <w:t>Speculative: the current physical condition and status of legacy 3D seismic acquisition and well data given the disruption caused by the 2023-present civil war; no post-2023 technical update has been identified in public sources.</w:t>
      </w:r>
    </w:p>
    <w:p w14:paraId="76BF248F" w14:textId="77777777" w:rsidR="00991B43" w:rsidRPr="001470A1" w:rsidRDefault="00991B43" w:rsidP="00991B43">
      <w:pPr>
        <w:pStyle w:val="ListParagraph"/>
        <w:spacing w:after="60" w:line="250" w:lineRule="auto"/>
        <w:ind w:left="450"/>
        <w:jc w:val="both"/>
        <w:rPr>
          <w:rFonts w:ascii="Times New Roman" w:hAnsi="Times New Roman" w:cs="Times New Roman"/>
          <w:sz w:val="24"/>
          <w:szCs w:val="24"/>
        </w:rPr>
      </w:pPr>
    </w:p>
    <w:p w14:paraId="57EC5C28" w14:textId="3AC655B6" w:rsidR="00804ECE" w:rsidRPr="001470A1" w:rsidRDefault="00000000">
      <w:pPr>
        <w:pStyle w:val="Heading2"/>
        <w:spacing w:before="160" w:after="80"/>
        <w:rPr>
          <w:rFonts w:ascii="Times New Roman" w:hAnsi="Times New Roman" w:cs="Times New Roman"/>
          <w:color w:val="auto"/>
          <w:sz w:val="24"/>
          <w:szCs w:val="24"/>
        </w:rPr>
      </w:pPr>
      <w:r w:rsidRPr="001470A1">
        <w:rPr>
          <w:rFonts w:ascii="Times New Roman" w:hAnsi="Times New Roman" w:cs="Times New Roman"/>
          <w:b/>
          <w:bCs/>
          <w:color w:val="auto"/>
          <w:sz w:val="24"/>
          <w:szCs w:val="24"/>
        </w:rPr>
        <w:t>Block 15 and Other Relevant Acreage</w:t>
      </w:r>
    </w:p>
    <w:p w14:paraId="4DCD453B" w14:textId="6AFB071F" w:rsidR="00991B43" w:rsidRDefault="00000000" w:rsidP="00991B43">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Block 15 is the most concretely defined Red Sea gas acreage. It covers 28,655 square </w:t>
      </w:r>
      <w:proofErr w:type="spellStart"/>
      <w:r w:rsidRPr="001470A1">
        <w:rPr>
          <w:rFonts w:ascii="Times New Roman" w:hAnsi="Times New Roman" w:cs="Times New Roman"/>
          <w:sz w:val="24"/>
          <w:szCs w:val="24"/>
        </w:rPr>
        <w:t>kilometres</w:t>
      </w:r>
      <w:proofErr w:type="spellEnd"/>
      <w:r w:rsidRPr="001470A1">
        <w:rPr>
          <w:rFonts w:ascii="Times New Roman" w:hAnsi="Times New Roman" w:cs="Times New Roman"/>
          <w:sz w:val="24"/>
          <w:szCs w:val="24"/>
        </w:rPr>
        <w:t xml:space="preserve">, with roughly half its area in deep water between 300 and 800 </w:t>
      </w:r>
      <w:proofErr w:type="spellStart"/>
      <w:r w:rsidRPr="001470A1">
        <w:rPr>
          <w:rFonts w:ascii="Times New Roman" w:hAnsi="Times New Roman" w:cs="Times New Roman"/>
          <w:sz w:val="24"/>
          <w:szCs w:val="24"/>
        </w:rPr>
        <w:t>metres</w:t>
      </w:r>
      <w:proofErr w:type="spellEnd"/>
      <w:r w:rsidRPr="001470A1">
        <w:rPr>
          <w:rFonts w:ascii="Times New Roman" w:hAnsi="Times New Roman" w:cs="Times New Roman"/>
          <w:sz w:val="24"/>
          <w:szCs w:val="24"/>
        </w:rPr>
        <w:t xml:space="preserve">, and is held by a consortium in which PETRONAS </w:t>
      </w:r>
      <w:proofErr w:type="spellStart"/>
      <w:r w:rsidRPr="001470A1">
        <w:rPr>
          <w:rFonts w:ascii="Times New Roman" w:hAnsi="Times New Roman" w:cs="Times New Roman"/>
          <w:sz w:val="24"/>
          <w:szCs w:val="24"/>
        </w:rPr>
        <w:t>Carigali</w:t>
      </w:r>
      <w:proofErr w:type="spellEnd"/>
      <w:r w:rsidRPr="001470A1">
        <w:rPr>
          <w:rFonts w:ascii="Times New Roman" w:hAnsi="Times New Roman" w:cs="Times New Roman"/>
          <w:sz w:val="24"/>
          <w:szCs w:val="24"/>
        </w:rPr>
        <w:t xml:space="preserve"> Overseas and CNPC each hold 35%,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holds 15%, Nigeria's Express Petroleum holds 10% and Sudanese firm High Tech Group holds 5%; the block is jointly operated as the Red Sea Petroleum Operating Company (RSPOC). The original EPSA committed the consortium to acquire a minimum of 3,500 line-</w:t>
      </w:r>
      <w:proofErr w:type="spellStart"/>
      <w:r w:rsidRPr="001470A1">
        <w:rPr>
          <w:rFonts w:ascii="Times New Roman" w:hAnsi="Times New Roman" w:cs="Times New Roman"/>
          <w:sz w:val="24"/>
          <w:szCs w:val="24"/>
        </w:rPr>
        <w:t>kilometres</w:t>
      </w:r>
      <w:proofErr w:type="spellEnd"/>
      <w:r w:rsidRPr="001470A1">
        <w:rPr>
          <w:rFonts w:ascii="Times New Roman" w:hAnsi="Times New Roman" w:cs="Times New Roman"/>
          <w:sz w:val="24"/>
          <w:szCs w:val="24"/>
        </w:rPr>
        <w:t xml:space="preserve"> of 2D seismic and 500 square </w:t>
      </w:r>
      <w:proofErr w:type="spellStart"/>
      <w:r w:rsidRPr="001470A1">
        <w:rPr>
          <w:rFonts w:ascii="Times New Roman" w:hAnsi="Times New Roman" w:cs="Times New Roman"/>
          <w:sz w:val="24"/>
          <w:szCs w:val="24"/>
        </w:rPr>
        <w:t>kilometres</w:t>
      </w:r>
      <w:proofErr w:type="spellEnd"/>
      <w:r w:rsidRPr="001470A1">
        <w:rPr>
          <w:rFonts w:ascii="Times New Roman" w:hAnsi="Times New Roman" w:cs="Times New Roman"/>
          <w:sz w:val="24"/>
          <w:szCs w:val="24"/>
        </w:rPr>
        <w:t xml:space="preserve"> of 3D seismic and to drill five wildcat wells across three commitment periods over six years, for a minimum spend of about US$58 million a modest, frontier-appropriate but not transformative work </w:t>
      </w:r>
      <w:proofErr w:type="spellStart"/>
      <w:r w:rsidRPr="001470A1">
        <w:rPr>
          <w:rFonts w:ascii="Times New Roman" w:hAnsi="Times New Roman" w:cs="Times New Roman"/>
          <w:sz w:val="24"/>
          <w:szCs w:val="24"/>
        </w:rPr>
        <w:t>programme</w:t>
      </w:r>
      <w:proofErr w:type="spellEnd"/>
      <w:r w:rsidRPr="001470A1">
        <w:rPr>
          <w:rFonts w:ascii="Times New Roman" w:hAnsi="Times New Roman" w:cs="Times New Roman"/>
          <w:sz w:val="24"/>
          <w:szCs w:val="24"/>
        </w:rPr>
        <w:t xml:space="preserve">. Block 13 to the north (CNPC 40%, Pertamina 15%,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15%, </w:t>
      </w:r>
      <w:proofErr w:type="spellStart"/>
      <w:r w:rsidRPr="001470A1">
        <w:rPr>
          <w:rFonts w:ascii="Times New Roman" w:hAnsi="Times New Roman" w:cs="Times New Roman"/>
          <w:sz w:val="24"/>
          <w:szCs w:val="24"/>
        </w:rPr>
        <w:t>Dindir</w:t>
      </w:r>
      <w:proofErr w:type="spellEnd"/>
      <w:r w:rsidRPr="001470A1">
        <w:rPr>
          <w:rFonts w:ascii="Times New Roman" w:hAnsi="Times New Roman" w:cs="Times New Roman"/>
          <w:sz w:val="24"/>
          <w:szCs w:val="24"/>
        </w:rPr>
        <w:t xml:space="preserve"> Petroleum 10%, Express Petroleum &amp; Gas 10%, Africa Energy 10%) hosts the 'Mountains' salt-canopy prospects and sits closer to the disputed </w:t>
      </w:r>
      <w:proofErr w:type="spellStart"/>
      <w:r w:rsidRPr="001470A1">
        <w:rPr>
          <w:rFonts w:ascii="Times New Roman" w:hAnsi="Times New Roman" w:cs="Times New Roman"/>
          <w:sz w:val="24"/>
          <w:szCs w:val="24"/>
        </w:rPr>
        <w:t>Halayeb</w:t>
      </w:r>
      <w:proofErr w:type="spellEnd"/>
      <w:r w:rsidRPr="001470A1">
        <w:rPr>
          <w:rFonts w:ascii="Times New Roman" w:hAnsi="Times New Roman" w:cs="Times New Roman"/>
          <w:sz w:val="24"/>
          <w:szCs w:val="24"/>
        </w:rPr>
        <w:t xml:space="preserve"> Triangle claimed by both Sudan and Egypt, adding a sovereignty overlay to its technical risk. Block 16 has historically been associated with Lundin, and Block 14 with South Africa's </w:t>
      </w:r>
      <w:proofErr w:type="spellStart"/>
      <w:r w:rsidRPr="001470A1">
        <w:rPr>
          <w:rFonts w:ascii="Times New Roman" w:hAnsi="Times New Roman" w:cs="Times New Roman"/>
          <w:sz w:val="24"/>
          <w:szCs w:val="24"/>
        </w:rPr>
        <w:t>PetroSA</w:t>
      </w:r>
      <w:proofErr w:type="spellEnd"/>
      <w:r w:rsidRPr="001470A1">
        <w:rPr>
          <w:rFonts w:ascii="Times New Roman" w:hAnsi="Times New Roman" w:cs="Times New Roman"/>
          <w:sz w:val="24"/>
          <w:szCs w:val="24"/>
        </w:rPr>
        <w:t>, though public detail on current activity in either is sparse.</w:t>
      </w:r>
    </w:p>
    <w:p w14:paraId="198E6AE5" w14:textId="77777777" w:rsidR="00991B43" w:rsidRDefault="00991B43" w:rsidP="00991B43">
      <w:pPr>
        <w:spacing w:after="110" w:line="260" w:lineRule="auto"/>
        <w:jc w:val="both"/>
        <w:rPr>
          <w:rFonts w:ascii="Times New Roman" w:hAnsi="Times New Roman" w:cs="Times New Roman"/>
          <w:sz w:val="24"/>
          <w:szCs w:val="24"/>
        </w:rPr>
      </w:pPr>
    </w:p>
    <w:p w14:paraId="44FF5097" w14:textId="77777777" w:rsidR="00991B43" w:rsidRDefault="00991B43" w:rsidP="00991B43">
      <w:pPr>
        <w:spacing w:after="110" w:line="260" w:lineRule="auto"/>
        <w:jc w:val="both"/>
        <w:rPr>
          <w:rFonts w:ascii="Times New Roman" w:hAnsi="Times New Roman" w:cs="Times New Roman"/>
          <w:sz w:val="24"/>
          <w:szCs w:val="24"/>
        </w:rPr>
      </w:pPr>
    </w:p>
    <w:p w14:paraId="201B1C02" w14:textId="4997560E" w:rsidR="00991B43" w:rsidRPr="00991B43" w:rsidRDefault="00991B43">
      <w:pPr>
        <w:spacing w:before="60" w:after="240"/>
        <w:rPr>
          <w:rFonts w:ascii="Times New Roman" w:hAnsi="Times New Roman" w:cs="Times New Roman"/>
          <w:sz w:val="24"/>
          <w:szCs w:val="24"/>
        </w:rPr>
      </w:pPr>
      <w:r w:rsidRPr="00991B43">
        <w:rPr>
          <w:rFonts w:ascii="Times New Roman" w:hAnsi="Times New Roman" w:cs="Times New Roman"/>
          <w:sz w:val="24"/>
          <w:szCs w:val="24"/>
        </w:rPr>
        <w:lastRenderedPageBreak/>
        <w:t>Table 1- Sudan Red Sea Blocks and Exploration Status</w:t>
      </w:r>
    </w:p>
    <w:tbl>
      <w:tblPr>
        <w:tblStyle w:val="TableGrid"/>
        <w:tblW w:w="10200" w:type="dxa"/>
        <w:tblLook w:val="04A0" w:firstRow="1" w:lastRow="0" w:firstColumn="1" w:lastColumn="0" w:noHBand="0" w:noVBand="1"/>
      </w:tblPr>
      <w:tblGrid>
        <w:gridCol w:w="2190"/>
        <w:gridCol w:w="1380"/>
        <w:gridCol w:w="1380"/>
        <w:gridCol w:w="2458"/>
        <w:gridCol w:w="2792"/>
      </w:tblGrid>
      <w:tr w:rsidR="00991B43" w:rsidRPr="001470A1" w14:paraId="7B651527" w14:textId="77777777" w:rsidTr="00991B43">
        <w:tc>
          <w:tcPr>
            <w:tcW w:w="1400" w:type="dxa"/>
          </w:tcPr>
          <w:p w14:paraId="30DAB022"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b/>
                <w:bCs/>
                <w:sz w:val="24"/>
                <w:szCs w:val="24"/>
              </w:rPr>
              <w:t>Block</w:t>
            </w:r>
          </w:p>
        </w:tc>
        <w:tc>
          <w:tcPr>
            <w:tcW w:w="1500" w:type="dxa"/>
          </w:tcPr>
          <w:p w14:paraId="50A3DFA4"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b/>
                <w:bCs/>
                <w:sz w:val="24"/>
                <w:szCs w:val="24"/>
              </w:rPr>
              <w:t>Approx. Area</w:t>
            </w:r>
          </w:p>
        </w:tc>
        <w:tc>
          <w:tcPr>
            <w:tcW w:w="1500" w:type="dxa"/>
          </w:tcPr>
          <w:p w14:paraId="39C787DF"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b/>
                <w:bCs/>
                <w:sz w:val="24"/>
                <w:szCs w:val="24"/>
              </w:rPr>
              <w:t>Water Depth</w:t>
            </w:r>
          </w:p>
        </w:tc>
        <w:tc>
          <w:tcPr>
            <w:tcW w:w="2900" w:type="dxa"/>
          </w:tcPr>
          <w:p w14:paraId="36B44211"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b/>
                <w:bCs/>
                <w:sz w:val="24"/>
                <w:szCs w:val="24"/>
              </w:rPr>
              <w:t>Key Interest Holders</w:t>
            </w:r>
          </w:p>
        </w:tc>
        <w:tc>
          <w:tcPr>
            <w:tcW w:w="2900" w:type="dxa"/>
          </w:tcPr>
          <w:p w14:paraId="3C5747AA"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b/>
                <w:bCs/>
                <w:sz w:val="24"/>
                <w:szCs w:val="24"/>
              </w:rPr>
              <w:t>Exploration Status</w:t>
            </w:r>
          </w:p>
        </w:tc>
      </w:tr>
      <w:tr w:rsidR="00991B43" w:rsidRPr="001470A1" w14:paraId="222211EE" w14:textId="77777777" w:rsidTr="00991B43">
        <w:tc>
          <w:tcPr>
            <w:tcW w:w="1400" w:type="dxa"/>
          </w:tcPr>
          <w:p w14:paraId="6FE9758C"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Block 13 (north)</w:t>
            </w:r>
          </w:p>
        </w:tc>
        <w:tc>
          <w:tcPr>
            <w:tcW w:w="1500" w:type="dxa"/>
          </w:tcPr>
          <w:p w14:paraId="6A4F69C7"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Not disclosed</w:t>
            </w:r>
          </w:p>
        </w:tc>
        <w:tc>
          <w:tcPr>
            <w:tcW w:w="1500" w:type="dxa"/>
          </w:tcPr>
          <w:p w14:paraId="0399E31E"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Shelf to deep water</w:t>
            </w:r>
          </w:p>
        </w:tc>
        <w:tc>
          <w:tcPr>
            <w:tcW w:w="2900" w:type="dxa"/>
          </w:tcPr>
          <w:p w14:paraId="41AAB7FC"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 xml:space="preserve">CNPC 40%, Pertamina 15%,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15%, </w:t>
            </w:r>
            <w:proofErr w:type="spellStart"/>
            <w:r w:rsidRPr="001470A1">
              <w:rPr>
                <w:rFonts w:ascii="Times New Roman" w:hAnsi="Times New Roman" w:cs="Times New Roman"/>
                <w:sz w:val="24"/>
                <w:szCs w:val="24"/>
              </w:rPr>
              <w:t>Dindir</w:t>
            </w:r>
            <w:proofErr w:type="spellEnd"/>
            <w:r w:rsidRPr="001470A1">
              <w:rPr>
                <w:rFonts w:ascii="Times New Roman" w:hAnsi="Times New Roman" w:cs="Times New Roman"/>
                <w:sz w:val="24"/>
                <w:szCs w:val="24"/>
              </w:rPr>
              <w:t xml:space="preserve"> Petroleum 10%, Express Petroleum &amp; Gas 10%, Africa Energy 10%</w:t>
            </w:r>
          </w:p>
        </w:tc>
        <w:tc>
          <w:tcPr>
            <w:tcW w:w="2900" w:type="dxa"/>
          </w:tcPr>
          <w:p w14:paraId="4D612054"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 xml:space="preserve">Legacy 2D seismic; satellite oil-slick studies (2021) over salt-canopy 'Mountains' prospects; 3D reprocessing/acquisition planned by Searcher (2022-23); no confirmed drilling; overlaps sensitive </w:t>
            </w:r>
            <w:proofErr w:type="spellStart"/>
            <w:r w:rsidRPr="001470A1">
              <w:rPr>
                <w:rFonts w:ascii="Times New Roman" w:hAnsi="Times New Roman" w:cs="Times New Roman"/>
                <w:sz w:val="24"/>
                <w:szCs w:val="24"/>
              </w:rPr>
              <w:t>Halayeb</w:t>
            </w:r>
            <w:proofErr w:type="spellEnd"/>
            <w:r w:rsidRPr="001470A1">
              <w:rPr>
                <w:rFonts w:ascii="Times New Roman" w:hAnsi="Times New Roman" w:cs="Times New Roman"/>
                <w:sz w:val="24"/>
                <w:szCs w:val="24"/>
              </w:rPr>
              <w:t xml:space="preserve"> Triangle area disputed with Egypt.</w:t>
            </w:r>
          </w:p>
        </w:tc>
      </w:tr>
      <w:tr w:rsidR="00991B43" w:rsidRPr="001470A1" w14:paraId="4A6B5473" w14:textId="77777777" w:rsidTr="00991B43">
        <w:tc>
          <w:tcPr>
            <w:tcW w:w="1400" w:type="dxa"/>
          </w:tcPr>
          <w:p w14:paraId="1016A205"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Block 15 (RSPOC)</w:t>
            </w:r>
          </w:p>
        </w:tc>
        <w:tc>
          <w:tcPr>
            <w:tcW w:w="1500" w:type="dxa"/>
          </w:tcPr>
          <w:p w14:paraId="4F524307"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28,655 km²</w:t>
            </w:r>
          </w:p>
        </w:tc>
        <w:tc>
          <w:tcPr>
            <w:tcW w:w="1500" w:type="dxa"/>
          </w:tcPr>
          <w:p w14:paraId="21E239A3"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~50% in 300-800 m</w:t>
            </w:r>
          </w:p>
        </w:tc>
        <w:tc>
          <w:tcPr>
            <w:tcW w:w="2900" w:type="dxa"/>
          </w:tcPr>
          <w:p w14:paraId="7EC9F0BC"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 xml:space="preserve">PETRONAS </w:t>
            </w:r>
            <w:proofErr w:type="spellStart"/>
            <w:r w:rsidRPr="001470A1">
              <w:rPr>
                <w:rFonts w:ascii="Times New Roman" w:hAnsi="Times New Roman" w:cs="Times New Roman"/>
                <w:sz w:val="24"/>
                <w:szCs w:val="24"/>
              </w:rPr>
              <w:t>Carigali</w:t>
            </w:r>
            <w:proofErr w:type="spellEnd"/>
            <w:r w:rsidRPr="001470A1">
              <w:rPr>
                <w:rFonts w:ascii="Times New Roman" w:hAnsi="Times New Roman" w:cs="Times New Roman"/>
                <w:sz w:val="24"/>
                <w:szCs w:val="24"/>
              </w:rPr>
              <w:t xml:space="preserve"> 35%, CNPC 35%,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15%, Express Petroleum 10%, High Tech Group 5%</w:t>
            </w:r>
          </w:p>
        </w:tc>
        <w:tc>
          <w:tcPr>
            <w:tcW w:w="2900" w:type="dxa"/>
          </w:tcPr>
          <w:p w14:paraId="24256A4A"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 xml:space="preserve">First dedicated gas EPSA; committed minimum </w:t>
            </w:r>
            <w:proofErr w:type="spellStart"/>
            <w:r w:rsidRPr="001470A1">
              <w:rPr>
                <w:rFonts w:ascii="Times New Roman" w:hAnsi="Times New Roman" w:cs="Times New Roman"/>
                <w:sz w:val="24"/>
                <w:szCs w:val="24"/>
              </w:rPr>
              <w:t>programme</w:t>
            </w:r>
            <w:proofErr w:type="spellEnd"/>
            <w:r w:rsidRPr="001470A1">
              <w:rPr>
                <w:rFonts w:ascii="Times New Roman" w:hAnsi="Times New Roman" w:cs="Times New Roman"/>
                <w:sz w:val="24"/>
                <w:szCs w:val="24"/>
              </w:rPr>
              <w:t xml:space="preserve"> of 3,500 line-km 2D, 500 km² 3D seismic and 5 wildcat wells (~US$58m); </w:t>
            </w:r>
            <w:proofErr w:type="spellStart"/>
            <w:r w:rsidRPr="001470A1">
              <w:rPr>
                <w:rFonts w:ascii="Times New Roman" w:hAnsi="Times New Roman" w:cs="Times New Roman"/>
                <w:sz w:val="24"/>
                <w:szCs w:val="24"/>
              </w:rPr>
              <w:t>programme</w:t>
            </w:r>
            <w:proofErr w:type="spellEnd"/>
            <w:r w:rsidRPr="001470A1">
              <w:rPr>
                <w:rFonts w:ascii="Times New Roman" w:hAnsi="Times New Roman" w:cs="Times New Roman"/>
                <w:sz w:val="24"/>
                <w:szCs w:val="24"/>
              </w:rPr>
              <w:t xml:space="preserve"> substantially incomplete; anchor partner CNPC withdrew (force majeure) in late 2025.</w:t>
            </w:r>
          </w:p>
        </w:tc>
      </w:tr>
      <w:tr w:rsidR="00991B43" w:rsidRPr="001470A1" w14:paraId="06E54DEA" w14:textId="77777777" w:rsidTr="00991B43">
        <w:tc>
          <w:tcPr>
            <w:tcW w:w="1400" w:type="dxa"/>
          </w:tcPr>
          <w:p w14:paraId="1293A921"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Block 14</w:t>
            </w:r>
          </w:p>
        </w:tc>
        <w:tc>
          <w:tcPr>
            <w:tcW w:w="1500" w:type="dxa"/>
          </w:tcPr>
          <w:p w14:paraId="45CC194D"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Not disclosed</w:t>
            </w:r>
          </w:p>
        </w:tc>
        <w:tc>
          <w:tcPr>
            <w:tcW w:w="1500" w:type="dxa"/>
          </w:tcPr>
          <w:p w14:paraId="41F36F4C"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Not disclosed</w:t>
            </w:r>
          </w:p>
        </w:tc>
        <w:tc>
          <w:tcPr>
            <w:tcW w:w="2900" w:type="dxa"/>
          </w:tcPr>
          <w:p w14:paraId="330185A9" w14:textId="77777777" w:rsidR="00991B43" w:rsidRPr="001470A1" w:rsidRDefault="00991B43" w:rsidP="00C33A97">
            <w:pPr>
              <w:rPr>
                <w:rFonts w:ascii="Times New Roman" w:hAnsi="Times New Roman" w:cs="Times New Roman"/>
                <w:sz w:val="24"/>
                <w:szCs w:val="24"/>
              </w:rPr>
            </w:pPr>
            <w:proofErr w:type="spellStart"/>
            <w:r w:rsidRPr="001470A1">
              <w:rPr>
                <w:rFonts w:ascii="Times New Roman" w:hAnsi="Times New Roman" w:cs="Times New Roman"/>
                <w:sz w:val="24"/>
                <w:szCs w:val="24"/>
              </w:rPr>
              <w:t>PetroSA</w:t>
            </w:r>
            <w:proofErr w:type="spellEnd"/>
            <w:r w:rsidRPr="001470A1">
              <w:rPr>
                <w:rFonts w:ascii="Times New Roman" w:hAnsi="Times New Roman" w:cs="Times New Roman"/>
                <w:sz w:val="24"/>
                <w:szCs w:val="24"/>
              </w:rPr>
              <w:t xml:space="preserve"> 80%,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20%</w:t>
            </w:r>
          </w:p>
        </w:tc>
        <w:tc>
          <w:tcPr>
            <w:tcW w:w="2900" w:type="dxa"/>
          </w:tcPr>
          <w:p w14:paraId="5C717012"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Limited public data; no confirmed recent activity identified.</w:t>
            </w:r>
          </w:p>
        </w:tc>
      </w:tr>
      <w:tr w:rsidR="00991B43" w:rsidRPr="001470A1" w14:paraId="44A161DC" w14:textId="77777777" w:rsidTr="00991B43">
        <w:tc>
          <w:tcPr>
            <w:tcW w:w="1400" w:type="dxa"/>
          </w:tcPr>
          <w:p w14:paraId="25EAC8A6"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Block 16</w:t>
            </w:r>
          </w:p>
        </w:tc>
        <w:tc>
          <w:tcPr>
            <w:tcW w:w="1500" w:type="dxa"/>
          </w:tcPr>
          <w:p w14:paraId="3B205C73"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Not disclosed</w:t>
            </w:r>
          </w:p>
        </w:tc>
        <w:tc>
          <w:tcPr>
            <w:tcW w:w="1500" w:type="dxa"/>
          </w:tcPr>
          <w:p w14:paraId="638780F1"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Not disclosed</w:t>
            </w:r>
          </w:p>
        </w:tc>
        <w:tc>
          <w:tcPr>
            <w:tcW w:w="2900" w:type="dxa"/>
          </w:tcPr>
          <w:p w14:paraId="606A7D3C"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Historically linked to Lundin</w:t>
            </w:r>
          </w:p>
        </w:tc>
        <w:tc>
          <w:tcPr>
            <w:tcW w:w="2900" w:type="dxa"/>
          </w:tcPr>
          <w:p w14:paraId="70533EE9"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Limited public data; status unclear post-2023.</w:t>
            </w:r>
          </w:p>
        </w:tc>
      </w:tr>
      <w:tr w:rsidR="00991B43" w:rsidRPr="001470A1" w14:paraId="3ECD21DC" w14:textId="77777777" w:rsidTr="00991B43">
        <w:tc>
          <w:tcPr>
            <w:tcW w:w="1400" w:type="dxa"/>
          </w:tcPr>
          <w:p w14:paraId="7E342071"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Wider Sudanese Red Sea margin (unlicensed/frontier)</w:t>
            </w:r>
          </w:p>
        </w:tc>
        <w:tc>
          <w:tcPr>
            <w:tcW w:w="1500" w:type="dxa"/>
          </w:tcPr>
          <w:p w14:paraId="30CD81FE"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~57,000 km² total margin</w:t>
            </w:r>
          </w:p>
        </w:tc>
        <w:tc>
          <w:tcPr>
            <w:tcW w:w="1500" w:type="dxa"/>
          </w:tcPr>
          <w:p w14:paraId="5700B953"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Shelf to &gt;800 m</w:t>
            </w:r>
          </w:p>
        </w:tc>
        <w:tc>
          <w:tcPr>
            <w:tcW w:w="2900" w:type="dxa"/>
          </w:tcPr>
          <w:p w14:paraId="51D28D01"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Open / unassigned</w:t>
            </w:r>
          </w:p>
        </w:tc>
        <w:tc>
          <w:tcPr>
            <w:tcW w:w="2900" w:type="dxa"/>
          </w:tcPr>
          <w:p w14:paraId="15782FC4"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Only ~14 wells drilled across the entire margin, mostly pre-3D-seismic era; genuinely frontier and unexplored outside the above blocks.</w:t>
            </w:r>
          </w:p>
        </w:tc>
      </w:tr>
    </w:tbl>
    <w:p w14:paraId="146AEB98" w14:textId="0A3EB4D2" w:rsidR="00991B43" w:rsidRPr="00991B43" w:rsidRDefault="00000000" w:rsidP="00991B43">
      <w:pPr>
        <w:spacing w:before="60" w:after="240"/>
        <w:jc w:val="both"/>
        <w:rPr>
          <w:rFonts w:ascii="Times New Roman" w:hAnsi="Times New Roman" w:cs="Times New Roman"/>
          <w:sz w:val="24"/>
          <w:szCs w:val="24"/>
        </w:rPr>
      </w:pPr>
      <w:r w:rsidRPr="00991B43">
        <w:rPr>
          <w:rFonts w:ascii="Times New Roman" w:hAnsi="Times New Roman" w:cs="Times New Roman"/>
          <w:sz w:val="24"/>
          <w:szCs w:val="24"/>
        </w:rPr>
        <w:t xml:space="preserve">Source: Rigzone/PETRONAS EPSA announcement; </w:t>
      </w:r>
      <w:proofErr w:type="spellStart"/>
      <w:r w:rsidRPr="00991B43">
        <w:rPr>
          <w:rFonts w:ascii="Times New Roman" w:hAnsi="Times New Roman" w:cs="Times New Roman"/>
          <w:sz w:val="24"/>
          <w:szCs w:val="24"/>
        </w:rPr>
        <w:t>GeoExpro</w:t>
      </w:r>
      <w:proofErr w:type="spellEnd"/>
      <w:r w:rsidRPr="00991B43">
        <w:rPr>
          <w:rFonts w:ascii="Times New Roman" w:hAnsi="Times New Roman" w:cs="Times New Roman"/>
          <w:sz w:val="24"/>
          <w:szCs w:val="24"/>
        </w:rPr>
        <w:t>; Sudan Ministry of Petroleum &amp; Gas investment pack; NDIA/ECOS Sudan oil concession map. Areas and status for Blocks 14 and 16 are not corroborated by recent primary sources and should be treated as indicative only.</w:t>
      </w:r>
    </w:p>
    <w:p w14:paraId="4B483AD3" w14:textId="11C3823B" w:rsidR="00991B43" w:rsidRPr="00991B43" w:rsidRDefault="00991B43" w:rsidP="00991B43">
      <w:pPr>
        <w:spacing w:before="60" w:after="240"/>
        <w:rPr>
          <w:rFonts w:ascii="Times New Roman" w:hAnsi="Times New Roman" w:cs="Times New Roman"/>
          <w:sz w:val="24"/>
          <w:szCs w:val="24"/>
        </w:rPr>
      </w:pPr>
      <w:r w:rsidRPr="00991B43">
        <w:rPr>
          <w:rFonts w:ascii="Times New Roman" w:hAnsi="Times New Roman" w:cs="Times New Roman"/>
          <w:sz w:val="24"/>
          <w:szCs w:val="24"/>
        </w:rPr>
        <w:t>Table 2- Known Discoveries, Resources and Exploration Evidence</w:t>
      </w:r>
    </w:p>
    <w:tbl>
      <w:tblPr>
        <w:tblStyle w:val="TableGrid"/>
        <w:tblW w:w="9700" w:type="dxa"/>
        <w:tblLook w:val="04A0" w:firstRow="1" w:lastRow="0" w:firstColumn="1" w:lastColumn="0" w:noHBand="0" w:noVBand="1"/>
      </w:tblPr>
      <w:tblGrid>
        <w:gridCol w:w="2200"/>
        <w:gridCol w:w="4600"/>
        <w:gridCol w:w="2900"/>
      </w:tblGrid>
      <w:tr w:rsidR="00991B43" w:rsidRPr="001470A1" w14:paraId="65EC93F2" w14:textId="77777777" w:rsidTr="00991B43">
        <w:tc>
          <w:tcPr>
            <w:tcW w:w="2200" w:type="dxa"/>
          </w:tcPr>
          <w:p w14:paraId="13063360"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b/>
                <w:bCs/>
                <w:sz w:val="24"/>
                <w:szCs w:val="24"/>
              </w:rPr>
              <w:t>Category</w:t>
            </w:r>
          </w:p>
        </w:tc>
        <w:tc>
          <w:tcPr>
            <w:tcW w:w="4600" w:type="dxa"/>
          </w:tcPr>
          <w:p w14:paraId="6FEDACEF"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b/>
                <w:bCs/>
                <w:sz w:val="24"/>
                <w:szCs w:val="24"/>
              </w:rPr>
              <w:t>Evidence</w:t>
            </w:r>
          </w:p>
        </w:tc>
        <w:tc>
          <w:tcPr>
            <w:tcW w:w="2900" w:type="dxa"/>
          </w:tcPr>
          <w:p w14:paraId="0C103C79"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b/>
                <w:bCs/>
                <w:sz w:val="24"/>
                <w:szCs w:val="24"/>
              </w:rPr>
              <w:t>Reliability / Caveat</w:t>
            </w:r>
          </w:p>
        </w:tc>
      </w:tr>
      <w:tr w:rsidR="00991B43" w:rsidRPr="001470A1" w14:paraId="2FC054E7" w14:textId="77777777" w:rsidTr="00991B43">
        <w:tc>
          <w:tcPr>
            <w:tcW w:w="2200" w:type="dxa"/>
          </w:tcPr>
          <w:p w14:paraId="3FF48846"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Confirmed shows/discoveries</w:t>
            </w:r>
          </w:p>
        </w:tc>
        <w:tc>
          <w:tcPr>
            <w:tcW w:w="4600" w:type="dxa"/>
          </w:tcPr>
          <w:p w14:paraId="231CCBB5"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 xml:space="preserve">Bashayer-1 and Suakin-1 gas-condensate discoveries (Chevron, 1970s); gas shows at </w:t>
            </w:r>
            <w:r w:rsidRPr="001470A1">
              <w:rPr>
                <w:rFonts w:ascii="Times New Roman" w:hAnsi="Times New Roman" w:cs="Times New Roman"/>
                <w:sz w:val="24"/>
                <w:szCs w:val="24"/>
              </w:rPr>
              <w:lastRenderedPageBreak/>
              <w:t>Abu Shagara-1 (Agip, 1963) and in wells across Blocks 13/15 vicinity</w:t>
            </w:r>
          </w:p>
        </w:tc>
        <w:tc>
          <w:tcPr>
            <w:tcW w:w="2900" w:type="dxa"/>
          </w:tcPr>
          <w:p w14:paraId="22BFB646"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lastRenderedPageBreak/>
              <w:t>Real but decades old; appraisal outcomes were poor; no independent third-</w:t>
            </w:r>
            <w:r w:rsidRPr="001470A1">
              <w:rPr>
                <w:rFonts w:ascii="Times New Roman" w:hAnsi="Times New Roman" w:cs="Times New Roman"/>
                <w:sz w:val="24"/>
                <w:szCs w:val="24"/>
              </w:rPr>
              <w:lastRenderedPageBreak/>
              <w:t>party reserve certification found in public sources</w:t>
            </w:r>
          </w:p>
        </w:tc>
      </w:tr>
      <w:tr w:rsidR="00991B43" w:rsidRPr="001470A1" w14:paraId="1F576B21" w14:textId="77777777" w:rsidTr="00991B43">
        <w:tc>
          <w:tcPr>
            <w:tcW w:w="2200" w:type="dxa"/>
          </w:tcPr>
          <w:p w14:paraId="0085E19C"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lastRenderedPageBreak/>
              <w:t>Indirect indicators</w:t>
            </w:r>
          </w:p>
        </w:tc>
        <w:tc>
          <w:tcPr>
            <w:tcW w:w="4600" w:type="dxa"/>
          </w:tcPr>
          <w:p w14:paraId="2B2CE049"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Satellite-observed recurring oil slicks over Block 13 'Mountains' prospects (technical literature, c.2021); source-rock analogy to Gulf of Suez</w:t>
            </w:r>
          </w:p>
        </w:tc>
        <w:tc>
          <w:tcPr>
            <w:tcW w:w="2900" w:type="dxa"/>
          </w:tcPr>
          <w:p w14:paraId="73A5165A"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Suggestive of an active petroleum system, not proof of commercial accumulation</w:t>
            </w:r>
          </w:p>
        </w:tc>
      </w:tr>
      <w:tr w:rsidR="00991B43" w:rsidRPr="001470A1" w14:paraId="1AA94F59" w14:textId="77777777" w:rsidTr="00991B43">
        <w:tc>
          <w:tcPr>
            <w:tcW w:w="2200" w:type="dxa"/>
          </w:tcPr>
          <w:p w14:paraId="77B5868F"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Regional (not Sudan-specific) resource estimate</w:t>
            </w:r>
          </w:p>
        </w:tc>
        <w:tc>
          <w:tcPr>
            <w:tcW w:w="4600" w:type="dxa"/>
          </w:tcPr>
          <w:p w14:paraId="09F81749"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 xml:space="preserve">USGS 2010: mean 112 </w:t>
            </w:r>
            <w:proofErr w:type="spellStart"/>
            <w:r w:rsidRPr="001470A1">
              <w:rPr>
                <w:rFonts w:ascii="Times New Roman" w:hAnsi="Times New Roman" w:cs="Times New Roman"/>
                <w:sz w:val="24"/>
                <w:szCs w:val="24"/>
              </w:rPr>
              <w:t>Tcf</w:t>
            </w:r>
            <w:proofErr w:type="spellEnd"/>
            <w:r w:rsidRPr="001470A1">
              <w:rPr>
                <w:rFonts w:ascii="Times New Roman" w:hAnsi="Times New Roman" w:cs="Times New Roman"/>
                <w:sz w:val="24"/>
                <w:szCs w:val="24"/>
              </w:rPr>
              <w:t xml:space="preserve"> undiscovered recoverable gas, 5 billion </w:t>
            </w:r>
            <w:proofErr w:type="spellStart"/>
            <w:r w:rsidRPr="001470A1">
              <w:rPr>
                <w:rFonts w:ascii="Times New Roman" w:hAnsi="Times New Roman" w:cs="Times New Roman"/>
                <w:sz w:val="24"/>
                <w:szCs w:val="24"/>
              </w:rPr>
              <w:t>bbl</w:t>
            </w:r>
            <w:proofErr w:type="spellEnd"/>
            <w:r w:rsidRPr="001470A1">
              <w:rPr>
                <w:rFonts w:ascii="Times New Roman" w:hAnsi="Times New Roman" w:cs="Times New Roman"/>
                <w:sz w:val="24"/>
                <w:szCs w:val="24"/>
              </w:rPr>
              <w:t xml:space="preserve"> oil across the entire Red Sea Basin Province (Egypt, Sudan, Eritrea, Saudi Arabia, Yemen, Jordan)</w:t>
            </w:r>
          </w:p>
        </w:tc>
        <w:tc>
          <w:tcPr>
            <w:tcW w:w="2900" w:type="dxa"/>
          </w:tcPr>
          <w:p w14:paraId="0DA1FE66"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Geology-based, probabilistic, basin-wide; no Sudan-specific breakdown published; should not be cited as a Sudan reserve figure</w:t>
            </w:r>
          </w:p>
        </w:tc>
      </w:tr>
      <w:tr w:rsidR="00991B43" w:rsidRPr="001470A1" w14:paraId="40B833D4" w14:textId="77777777" w:rsidTr="00991B43">
        <w:tc>
          <w:tcPr>
            <w:tcW w:w="2200" w:type="dxa"/>
          </w:tcPr>
          <w:p w14:paraId="6C55B6F6"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National reserve figure (all Sudan, not Red Sea-specific)</w:t>
            </w:r>
          </w:p>
        </w:tc>
        <w:tc>
          <w:tcPr>
            <w:tcW w:w="4600" w:type="dxa"/>
          </w:tcPr>
          <w:p w14:paraId="2F58ECF6"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 xml:space="preserve">~3 </w:t>
            </w:r>
            <w:proofErr w:type="spellStart"/>
            <w:r w:rsidRPr="001470A1">
              <w:rPr>
                <w:rFonts w:ascii="Times New Roman" w:hAnsi="Times New Roman" w:cs="Times New Roman"/>
                <w:sz w:val="24"/>
                <w:szCs w:val="24"/>
              </w:rPr>
              <w:t>Tcf</w:t>
            </w:r>
            <w:proofErr w:type="spellEnd"/>
            <w:r w:rsidRPr="001470A1">
              <w:rPr>
                <w:rFonts w:ascii="Times New Roman" w:hAnsi="Times New Roman" w:cs="Times New Roman"/>
                <w:sz w:val="24"/>
                <w:szCs w:val="24"/>
              </w:rPr>
              <w:t xml:space="preserve"> proven natural gas reserves nationally (EIA-derived figure, still cited 2024-2025)</w:t>
            </w:r>
          </w:p>
        </w:tc>
        <w:tc>
          <w:tcPr>
            <w:tcW w:w="2900" w:type="dxa"/>
          </w:tcPr>
          <w:p w14:paraId="01875AEF"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 xml:space="preserve">Dominated by onshore associated gas in </w:t>
            </w:r>
            <w:proofErr w:type="spellStart"/>
            <w:r w:rsidRPr="001470A1">
              <w:rPr>
                <w:rFonts w:ascii="Times New Roman" w:hAnsi="Times New Roman" w:cs="Times New Roman"/>
                <w:sz w:val="24"/>
                <w:szCs w:val="24"/>
              </w:rPr>
              <w:t>Muglad</w:t>
            </w:r>
            <w:proofErr w:type="spellEnd"/>
            <w:r w:rsidRPr="001470A1">
              <w:rPr>
                <w:rFonts w:ascii="Times New Roman" w:hAnsi="Times New Roman" w:cs="Times New Roman"/>
                <w:sz w:val="24"/>
                <w:szCs w:val="24"/>
              </w:rPr>
              <w:t>/Melut basins; not indicative of offshore Red Sea volumes</w:t>
            </w:r>
          </w:p>
        </w:tc>
      </w:tr>
      <w:tr w:rsidR="00991B43" w:rsidRPr="001470A1" w14:paraId="4A0E049A" w14:textId="77777777" w:rsidTr="00991B43">
        <w:tc>
          <w:tcPr>
            <w:tcW w:w="2200" w:type="dxa"/>
          </w:tcPr>
          <w:p w14:paraId="75A91DE9"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Unverified claims</w:t>
            </w:r>
          </w:p>
        </w:tc>
        <w:tc>
          <w:tcPr>
            <w:tcW w:w="4600" w:type="dxa"/>
          </w:tcPr>
          <w:p w14:paraId="73ED6D66"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 xml:space="preserve">Onshore Block 8 (Blue Nile/White Nile) reported to hold 'up to 20 </w:t>
            </w:r>
            <w:proofErr w:type="spellStart"/>
            <w:r w:rsidRPr="001470A1">
              <w:rPr>
                <w:rFonts w:ascii="Times New Roman" w:hAnsi="Times New Roman" w:cs="Times New Roman"/>
                <w:sz w:val="24"/>
                <w:szCs w:val="24"/>
              </w:rPr>
              <w:t>Tcf</w:t>
            </w:r>
            <w:proofErr w:type="spellEnd"/>
            <w:r w:rsidRPr="001470A1">
              <w:rPr>
                <w:rFonts w:ascii="Times New Roman" w:hAnsi="Times New Roman" w:cs="Times New Roman"/>
                <w:sz w:val="24"/>
                <w:szCs w:val="24"/>
              </w:rPr>
              <w:t>' gas potential per company statements</w:t>
            </w:r>
          </w:p>
        </w:tc>
        <w:tc>
          <w:tcPr>
            <w:tcW w:w="2900" w:type="dxa"/>
          </w:tcPr>
          <w:p w14:paraId="768AE8B3" w14:textId="77777777" w:rsidR="00991B43" w:rsidRPr="001470A1" w:rsidRDefault="00991B43" w:rsidP="00C33A97">
            <w:pPr>
              <w:rPr>
                <w:rFonts w:ascii="Times New Roman" w:hAnsi="Times New Roman" w:cs="Times New Roman"/>
                <w:sz w:val="24"/>
                <w:szCs w:val="24"/>
              </w:rPr>
            </w:pPr>
            <w:r w:rsidRPr="001470A1">
              <w:rPr>
                <w:rFonts w:ascii="Times New Roman" w:hAnsi="Times New Roman" w:cs="Times New Roman"/>
                <w:sz w:val="24"/>
                <w:szCs w:val="24"/>
              </w:rPr>
              <w:t>Company-sourced, unaudited, onshore (not Red Sea) and included here only to illustrate the gap between promotional claims and certified reserves</w:t>
            </w:r>
          </w:p>
        </w:tc>
      </w:tr>
    </w:tbl>
    <w:p w14:paraId="63F21CF2" w14:textId="69E4BF24" w:rsidR="00804ECE" w:rsidRPr="00991B43" w:rsidRDefault="00000000">
      <w:pPr>
        <w:spacing w:before="60" w:after="240"/>
        <w:rPr>
          <w:rFonts w:ascii="Times New Roman" w:hAnsi="Times New Roman" w:cs="Times New Roman"/>
          <w:sz w:val="24"/>
          <w:szCs w:val="24"/>
        </w:rPr>
      </w:pPr>
      <w:r w:rsidRPr="00991B43">
        <w:rPr>
          <w:rFonts w:ascii="Times New Roman" w:hAnsi="Times New Roman" w:cs="Times New Roman"/>
          <w:sz w:val="24"/>
          <w:szCs w:val="24"/>
        </w:rPr>
        <w:t xml:space="preserve">Source: </w:t>
      </w:r>
      <w:proofErr w:type="spellStart"/>
      <w:r w:rsidRPr="00991B43">
        <w:rPr>
          <w:rFonts w:ascii="Times New Roman" w:hAnsi="Times New Roman" w:cs="Times New Roman"/>
          <w:sz w:val="24"/>
          <w:szCs w:val="24"/>
        </w:rPr>
        <w:t>GeoExpro</w:t>
      </w:r>
      <w:proofErr w:type="spellEnd"/>
      <w:r w:rsidRPr="00991B43">
        <w:rPr>
          <w:rFonts w:ascii="Times New Roman" w:hAnsi="Times New Roman" w:cs="Times New Roman"/>
          <w:sz w:val="24"/>
          <w:szCs w:val="24"/>
        </w:rPr>
        <w:t xml:space="preserve">; USGS Fact Sheet 2010-3119; Al Jazeera resource overview citing EIA-derived figures; </w:t>
      </w:r>
      <w:proofErr w:type="spellStart"/>
      <w:r w:rsidRPr="00991B43">
        <w:rPr>
          <w:rFonts w:ascii="Times New Roman" w:hAnsi="Times New Roman" w:cs="Times New Roman"/>
          <w:sz w:val="24"/>
          <w:szCs w:val="24"/>
        </w:rPr>
        <w:t>Sudapet</w:t>
      </w:r>
      <w:proofErr w:type="spellEnd"/>
      <w:r w:rsidRPr="00991B43">
        <w:rPr>
          <w:rFonts w:ascii="Times New Roman" w:hAnsi="Times New Roman" w:cs="Times New Roman"/>
          <w:sz w:val="24"/>
          <w:szCs w:val="24"/>
        </w:rPr>
        <w:t xml:space="preserve"> historical company materials.</w:t>
      </w:r>
    </w:p>
    <w:p w14:paraId="40071766" w14:textId="2E2041F2" w:rsidR="00991B43" w:rsidRPr="00717DAA" w:rsidRDefault="00991B43">
      <w:pPr>
        <w:spacing w:after="110" w:line="260" w:lineRule="auto"/>
        <w:jc w:val="both"/>
        <w:rPr>
          <w:rFonts w:ascii="Times New Roman" w:hAnsi="Times New Roman" w:cs="Times New Roman"/>
          <w:b/>
          <w:bCs/>
          <w:sz w:val="24"/>
          <w:szCs w:val="24"/>
        </w:rPr>
      </w:pPr>
      <w:r w:rsidRPr="00717DAA">
        <w:rPr>
          <w:rFonts w:ascii="Times New Roman" w:hAnsi="Times New Roman" w:cs="Times New Roman"/>
          <w:b/>
          <w:bCs/>
          <w:sz w:val="24"/>
          <w:szCs w:val="24"/>
        </w:rPr>
        <w:t>Current Acreage and Investment Framework</w:t>
      </w:r>
    </w:p>
    <w:p w14:paraId="61FC43D1" w14:textId="6151564E"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Sudan's upstream sector operates under the long-standing Exploration and Production Sharing Agreement (EPSA) model administered historically by the Ministry of Energy and Mining (variously also styled Ministry of Energy and Petroleum) and the national oil company,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which typically retains a carried or participating interest of 10-20% across blocks alongside international partners</w:t>
      </w:r>
      <w:r w:rsidR="00717DAA">
        <w:rPr>
          <w:rFonts w:ascii="Times New Roman" w:hAnsi="Times New Roman" w:cs="Times New Roman"/>
          <w:sz w:val="24"/>
          <w:szCs w:val="24"/>
        </w:rPr>
        <w:t xml:space="preserve">. </w:t>
      </w:r>
      <w:r w:rsidRPr="001470A1">
        <w:rPr>
          <w:rFonts w:ascii="Times New Roman" w:hAnsi="Times New Roman" w:cs="Times New Roman"/>
          <w:sz w:val="24"/>
          <w:szCs w:val="24"/>
        </w:rPr>
        <w:t xml:space="preserve">Publicly available detail on Sudan's specific fiscal terms for Red Sea gas cost-recovery ceilings, profit-gas splits, ring-fencing rules, domestic market </w:t>
      </w:r>
      <w:r w:rsidR="00717DAA" w:rsidRPr="001470A1">
        <w:rPr>
          <w:rFonts w:ascii="Times New Roman" w:hAnsi="Times New Roman" w:cs="Times New Roman"/>
          <w:sz w:val="24"/>
          <w:szCs w:val="24"/>
        </w:rPr>
        <w:t>obligations is</w:t>
      </w:r>
      <w:r w:rsidRPr="001470A1">
        <w:rPr>
          <w:rFonts w:ascii="Times New Roman" w:hAnsi="Times New Roman" w:cs="Times New Roman"/>
          <w:sz w:val="24"/>
          <w:szCs w:val="24"/>
        </w:rPr>
        <w:t xml:space="preserve"> limited; the Block 15 EPSA is understood to embed a domestic gas obligation, reflecting Sudan's declared 'integrated gas project' ambition at signature, but the precise mechanics have not been located in accessible primary documentation for this note. This is itself a material finding: the absence of a transparent, published, </w:t>
      </w:r>
      <w:proofErr w:type="spellStart"/>
      <w:r w:rsidRPr="001470A1">
        <w:rPr>
          <w:rFonts w:ascii="Times New Roman" w:hAnsi="Times New Roman" w:cs="Times New Roman"/>
          <w:sz w:val="24"/>
          <w:szCs w:val="24"/>
        </w:rPr>
        <w:t>standardised</w:t>
      </w:r>
      <w:proofErr w:type="spellEnd"/>
      <w:r w:rsidRPr="001470A1">
        <w:rPr>
          <w:rFonts w:ascii="Times New Roman" w:hAnsi="Times New Roman" w:cs="Times New Roman"/>
          <w:sz w:val="24"/>
          <w:szCs w:val="24"/>
        </w:rPr>
        <w:t xml:space="preserve"> fiscal model is a structural disadvantage relative to peer frontier jurisdictions that now publish full model contracts and bid-round terms online (Egypt's </w:t>
      </w:r>
      <w:proofErr w:type="spellStart"/>
      <w:r w:rsidRPr="001470A1">
        <w:rPr>
          <w:rFonts w:ascii="Times New Roman" w:hAnsi="Times New Roman" w:cs="Times New Roman"/>
          <w:sz w:val="24"/>
          <w:szCs w:val="24"/>
        </w:rPr>
        <w:t>Ganope</w:t>
      </w:r>
      <w:proofErr w:type="spellEnd"/>
      <w:r w:rsidRPr="001470A1">
        <w:rPr>
          <w:rFonts w:ascii="Times New Roman" w:hAnsi="Times New Roman" w:cs="Times New Roman"/>
          <w:sz w:val="24"/>
          <w:szCs w:val="24"/>
        </w:rPr>
        <w:t>/EUG digital platform is the clearest regional counter-example).</w:t>
      </w:r>
    </w:p>
    <w:p w14:paraId="25C2A349" w14:textId="4D2484A2"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Industry commentary through 2026 describes Sudan's Ministry of Energy and Mining as having 'streamlined' upstream licensing to attract capital and </w:t>
      </w:r>
      <w:proofErr w:type="spellStart"/>
      <w:r w:rsidRPr="001470A1">
        <w:rPr>
          <w:rFonts w:ascii="Times New Roman" w:hAnsi="Times New Roman" w:cs="Times New Roman"/>
          <w:sz w:val="24"/>
          <w:szCs w:val="24"/>
        </w:rPr>
        <w:t>prioritised</w:t>
      </w:r>
      <w:proofErr w:type="spellEnd"/>
      <w:r w:rsidRPr="001470A1">
        <w:rPr>
          <w:rFonts w:ascii="Times New Roman" w:hAnsi="Times New Roman" w:cs="Times New Roman"/>
          <w:sz w:val="24"/>
          <w:szCs w:val="24"/>
        </w:rPr>
        <w:t xml:space="preserve"> the Red Sea corridor for pipeline and export-terminal reconfiguration, but these </w:t>
      </w:r>
      <w:proofErr w:type="spellStart"/>
      <w:r w:rsidRPr="001470A1">
        <w:rPr>
          <w:rFonts w:ascii="Times New Roman" w:hAnsi="Times New Roman" w:cs="Times New Roman"/>
          <w:sz w:val="24"/>
          <w:szCs w:val="24"/>
        </w:rPr>
        <w:t>characterisations</w:t>
      </w:r>
      <w:proofErr w:type="spellEnd"/>
      <w:r w:rsidRPr="001470A1">
        <w:rPr>
          <w:rFonts w:ascii="Times New Roman" w:hAnsi="Times New Roman" w:cs="Times New Roman"/>
          <w:sz w:val="24"/>
          <w:szCs w:val="24"/>
        </w:rPr>
        <w:t xml:space="preserve"> come from commercial market-research providers rather than from verifiable government legal texts, and should be read as </w:t>
      </w:r>
      <w:r w:rsidRPr="001470A1">
        <w:rPr>
          <w:rFonts w:ascii="Times New Roman" w:hAnsi="Times New Roman" w:cs="Times New Roman"/>
          <w:sz w:val="24"/>
          <w:szCs w:val="24"/>
        </w:rPr>
        <w:lastRenderedPageBreak/>
        <w:t xml:space="preserve">directional signals of intent rather than confirmed reform. What is independently verifiable is less encouraging: Sudan's track record on contract sanctity includes the 2016-17 non-renewal of ONGC Videsh's Block 2B </w:t>
      </w:r>
      <w:proofErr w:type="spellStart"/>
      <w:r w:rsidRPr="001470A1">
        <w:rPr>
          <w:rFonts w:ascii="Times New Roman" w:hAnsi="Times New Roman" w:cs="Times New Roman"/>
          <w:sz w:val="24"/>
          <w:szCs w:val="24"/>
        </w:rPr>
        <w:t>licence</w:t>
      </w:r>
      <w:proofErr w:type="spellEnd"/>
      <w:r w:rsidRPr="001470A1">
        <w:rPr>
          <w:rFonts w:ascii="Times New Roman" w:hAnsi="Times New Roman" w:cs="Times New Roman"/>
          <w:sz w:val="24"/>
          <w:szCs w:val="24"/>
        </w:rPr>
        <w:t xml:space="preserve"> amid a dispute over royalties and unpaid dues reported at US$418 million, illustrating that even pre-war Sudan was willing to alter or withhold PSC terms unilaterally when it judged this in its fiscal interest. More significantly, CNPC's 2025 force majeure withdrawal while substantially driven by war-related security conditions rather than contract terms per se</w:t>
      </w:r>
      <w:r w:rsidR="00B11017">
        <w:rPr>
          <w:rFonts w:ascii="Times New Roman" w:hAnsi="Times New Roman" w:cs="Times New Roman"/>
          <w:sz w:val="24"/>
          <w:szCs w:val="24"/>
        </w:rPr>
        <w:t xml:space="preserve"> </w:t>
      </w:r>
      <w:r w:rsidRPr="001470A1">
        <w:rPr>
          <w:rFonts w:ascii="Times New Roman" w:hAnsi="Times New Roman" w:cs="Times New Roman"/>
          <w:sz w:val="24"/>
          <w:szCs w:val="24"/>
        </w:rPr>
        <w:t>removes the sector's largest and most technically capable historical operator and leaves a governance and continuity gap that any new entrant will have to price in.</w:t>
      </w:r>
    </w:p>
    <w:p w14:paraId="14ECED76" w14:textId="77777777" w:rsidR="00B11017" w:rsidRDefault="00B11017">
      <w:pPr>
        <w:pStyle w:val="Heading2"/>
        <w:spacing w:before="160" w:after="80"/>
        <w:rPr>
          <w:rFonts w:ascii="Times New Roman" w:hAnsi="Times New Roman" w:cs="Times New Roman"/>
          <w:b/>
          <w:bCs/>
          <w:color w:val="auto"/>
          <w:sz w:val="24"/>
          <w:szCs w:val="24"/>
        </w:rPr>
      </w:pPr>
    </w:p>
    <w:p w14:paraId="36FEF2C0" w14:textId="6D3E9527" w:rsidR="00804ECE" w:rsidRPr="001470A1" w:rsidRDefault="00000000">
      <w:pPr>
        <w:pStyle w:val="Heading2"/>
        <w:spacing w:before="160" w:after="80"/>
        <w:rPr>
          <w:rFonts w:ascii="Times New Roman" w:hAnsi="Times New Roman" w:cs="Times New Roman"/>
          <w:color w:val="auto"/>
          <w:sz w:val="24"/>
          <w:szCs w:val="24"/>
        </w:rPr>
      </w:pPr>
      <w:r w:rsidRPr="001470A1">
        <w:rPr>
          <w:rFonts w:ascii="Times New Roman" w:hAnsi="Times New Roman" w:cs="Times New Roman"/>
          <w:b/>
          <w:bCs/>
          <w:color w:val="auto"/>
          <w:sz w:val="24"/>
          <w:szCs w:val="24"/>
        </w:rPr>
        <w:t>Government Participation and Local Content</w:t>
      </w:r>
    </w:p>
    <w:p w14:paraId="6DB3714F" w14:textId="22E7B53A" w:rsidR="00804ECE" w:rsidRPr="001470A1" w:rsidRDefault="00000000">
      <w:pPr>
        <w:spacing w:after="110" w:line="260" w:lineRule="auto"/>
        <w:jc w:val="both"/>
        <w:rPr>
          <w:rFonts w:ascii="Times New Roman" w:hAnsi="Times New Roman" w:cs="Times New Roman"/>
          <w:sz w:val="24"/>
          <w:szCs w:val="24"/>
        </w:rPr>
      </w:pPr>
      <w:proofErr w:type="spellStart"/>
      <w:r w:rsidRPr="001470A1">
        <w:rPr>
          <w:rFonts w:ascii="Times New Roman" w:hAnsi="Times New Roman" w:cs="Times New Roman"/>
          <w:sz w:val="24"/>
          <w:szCs w:val="24"/>
        </w:rPr>
        <w:t>Sudapet's</w:t>
      </w:r>
      <w:proofErr w:type="spellEnd"/>
      <w:r w:rsidRPr="001470A1">
        <w:rPr>
          <w:rFonts w:ascii="Times New Roman" w:hAnsi="Times New Roman" w:cs="Times New Roman"/>
          <w:sz w:val="24"/>
          <w:szCs w:val="24"/>
        </w:rPr>
        <w:t xml:space="preserve"> role as a mandatory partner across all producing and exploration consortia (typically 10-20% carried or working interest) is a standard NOC-participation model common across African PSC regimes and is not, in itself, a deterrent to investment. What is more consequential is the practical capacity of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and the Ministry to administer contracts, pay cash calls, and enforce or waive obligations consistently through a period of state fragmentation, given that core ministries have themselves been displaced by fighting in Khartoum and are operating under wartime conditions. No detailed, current local-content quota framework specific to Red Sea gas has been identified in public sources; South Sudan's more codified local-content and training-expenditure requirements offer a directional comparator for what a post-conflict Sudanese reform package might eventually resemble.</w:t>
      </w:r>
    </w:p>
    <w:p w14:paraId="2324B6DA" w14:textId="77777777" w:rsidR="00B11017" w:rsidRDefault="00B11017">
      <w:pPr>
        <w:spacing w:after="110" w:line="260" w:lineRule="auto"/>
        <w:jc w:val="both"/>
        <w:rPr>
          <w:rFonts w:ascii="Times New Roman" w:hAnsi="Times New Roman" w:cs="Times New Roman"/>
          <w:sz w:val="24"/>
          <w:szCs w:val="24"/>
        </w:rPr>
      </w:pPr>
    </w:p>
    <w:p w14:paraId="120C39F8" w14:textId="232E8E3F" w:rsidR="00B11017" w:rsidRPr="00AB188E" w:rsidRDefault="00B11017">
      <w:pPr>
        <w:spacing w:after="110" w:line="260" w:lineRule="auto"/>
        <w:jc w:val="both"/>
        <w:rPr>
          <w:rFonts w:ascii="Times New Roman" w:hAnsi="Times New Roman" w:cs="Times New Roman"/>
          <w:b/>
          <w:bCs/>
          <w:sz w:val="24"/>
          <w:szCs w:val="24"/>
        </w:rPr>
      </w:pPr>
      <w:r w:rsidRPr="00AB188E">
        <w:rPr>
          <w:rFonts w:ascii="Times New Roman" w:hAnsi="Times New Roman" w:cs="Times New Roman"/>
          <w:b/>
          <w:bCs/>
          <w:sz w:val="24"/>
          <w:szCs w:val="24"/>
        </w:rPr>
        <w:t>The Investment Case</w:t>
      </w:r>
    </w:p>
    <w:p w14:paraId="0DEB0B03" w14:textId="6685575A"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Stripped of promotional framing, the investment case for Sudan's Red Sea gas rests on three genuine strengths and is undermined by three structural weaknesses. The strengths: first, geological analogy to a proven regional play (Gulf of Suez-type source rocks) gives the basin credibility beyond pure speculation. Second, the acreage is materially underexplored, meaning that whatever discoveries exist have not been diluted by decades of drilling failure the way some more mature frontier basins have been genuine blue-sky upside remains on the table for an investor with a </w:t>
      </w:r>
      <w:r w:rsidR="00B11017" w:rsidRPr="001470A1">
        <w:rPr>
          <w:rFonts w:ascii="Times New Roman" w:hAnsi="Times New Roman" w:cs="Times New Roman"/>
          <w:sz w:val="24"/>
          <w:szCs w:val="24"/>
        </w:rPr>
        <w:t>long-time</w:t>
      </w:r>
      <w:r w:rsidRPr="001470A1">
        <w:rPr>
          <w:rFonts w:ascii="Times New Roman" w:hAnsi="Times New Roman" w:cs="Times New Roman"/>
          <w:sz w:val="24"/>
          <w:szCs w:val="24"/>
        </w:rPr>
        <w:t xml:space="preserve"> horizon and </w:t>
      </w:r>
      <w:r w:rsidR="00B11017" w:rsidRPr="001470A1">
        <w:rPr>
          <w:rFonts w:ascii="Times New Roman" w:hAnsi="Times New Roman" w:cs="Times New Roman"/>
          <w:sz w:val="24"/>
          <w:szCs w:val="24"/>
        </w:rPr>
        <w:t>high-risk</w:t>
      </w:r>
      <w:r w:rsidRPr="001470A1">
        <w:rPr>
          <w:rFonts w:ascii="Times New Roman" w:hAnsi="Times New Roman" w:cs="Times New Roman"/>
          <w:sz w:val="24"/>
          <w:szCs w:val="24"/>
        </w:rPr>
        <w:t xml:space="preserve"> tolerance. Third, Port Sudan and the existing </w:t>
      </w:r>
      <w:proofErr w:type="spellStart"/>
      <w:r w:rsidRPr="001470A1">
        <w:rPr>
          <w:rFonts w:ascii="Times New Roman" w:hAnsi="Times New Roman" w:cs="Times New Roman"/>
          <w:sz w:val="24"/>
          <w:szCs w:val="24"/>
        </w:rPr>
        <w:t>Bashayer</w:t>
      </w:r>
      <w:proofErr w:type="spellEnd"/>
      <w:r w:rsidRPr="001470A1">
        <w:rPr>
          <w:rFonts w:ascii="Times New Roman" w:hAnsi="Times New Roman" w:cs="Times New Roman"/>
          <w:sz w:val="24"/>
          <w:szCs w:val="24"/>
        </w:rPr>
        <w:t xml:space="preserve"> export terminal provide at least nominal coastal infrastructure and a theoretical connection to Red Sea shipping lanes, unlike fully landlocked frontier basins that require greenfield export corridors from scratch.</w:t>
      </w:r>
    </w:p>
    <w:p w14:paraId="0D122199" w14:textId="2ED3A161"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The weaknesses are more immediate and more determinative. First, the resource base is unquantified at the block </w:t>
      </w:r>
      <w:r w:rsidR="00AB188E" w:rsidRPr="001470A1">
        <w:rPr>
          <w:rFonts w:ascii="Times New Roman" w:hAnsi="Times New Roman" w:cs="Times New Roman"/>
          <w:sz w:val="24"/>
          <w:szCs w:val="24"/>
        </w:rPr>
        <w:t>level there</w:t>
      </w:r>
      <w:r w:rsidRPr="001470A1">
        <w:rPr>
          <w:rFonts w:ascii="Times New Roman" w:hAnsi="Times New Roman" w:cs="Times New Roman"/>
          <w:sz w:val="24"/>
          <w:szCs w:val="24"/>
        </w:rPr>
        <w:t xml:space="preserve"> is no bankable, third-party-certified contingent or prospective resource estimate for Block 15 or Block 13 in the public domain, which means any investment decision today would be a pure exploration bet, not a development decision. Second, the fiscal and legal framework is opaque relative to regional peers and has a demonstrated history of unilateral alteration (the ONGC Videsh precedent). Third, and most importantly, the operating environment is currently incompatible with offshore exploration economics: drone strikes have reached Port Sudan itself, the only credible logistics base for Red Sea operations, and the anchor technical and </w:t>
      </w:r>
      <w:r w:rsidRPr="001470A1">
        <w:rPr>
          <w:rFonts w:ascii="Times New Roman" w:hAnsi="Times New Roman" w:cs="Times New Roman"/>
          <w:sz w:val="24"/>
          <w:szCs w:val="24"/>
        </w:rPr>
        <w:lastRenderedPageBreak/>
        <w:t>financial partner in the flagship block has withdrawn. An investor cannot underwrite a multi-year, multi-well seismic and drilling campaign in a theatre where its onshore logistics hub has been targeted by armed drones.</w:t>
      </w:r>
    </w:p>
    <w:p w14:paraId="6FC25793" w14:textId="77777777" w:rsidR="00AB188E" w:rsidRDefault="00AB188E">
      <w:pPr>
        <w:pStyle w:val="Heading2"/>
        <w:spacing w:before="160" w:after="80"/>
        <w:rPr>
          <w:rFonts w:ascii="Times New Roman" w:hAnsi="Times New Roman" w:cs="Times New Roman"/>
          <w:b/>
          <w:bCs/>
          <w:color w:val="auto"/>
          <w:sz w:val="24"/>
          <w:szCs w:val="24"/>
        </w:rPr>
      </w:pPr>
    </w:p>
    <w:p w14:paraId="0B9FA435" w14:textId="3362C8E9" w:rsidR="00804ECE" w:rsidRPr="001470A1" w:rsidRDefault="00000000">
      <w:pPr>
        <w:pStyle w:val="Heading2"/>
        <w:spacing w:before="160" w:after="80"/>
        <w:rPr>
          <w:rFonts w:ascii="Times New Roman" w:hAnsi="Times New Roman" w:cs="Times New Roman"/>
          <w:color w:val="auto"/>
          <w:sz w:val="24"/>
          <w:szCs w:val="24"/>
        </w:rPr>
      </w:pPr>
      <w:r w:rsidRPr="001470A1">
        <w:rPr>
          <w:rFonts w:ascii="Times New Roman" w:hAnsi="Times New Roman" w:cs="Times New Roman"/>
          <w:b/>
          <w:bCs/>
          <w:color w:val="auto"/>
          <w:sz w:val="24"/>
          <w:szCs w:val="24"/>
        </w:rPr>
        <w:t>What Would Make the Case Investable</w:t>
      </w:r>
    </w:p>
    <w:p w14:paraId="066B2C85" w14:textId="1D63CCA2"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 xml:space="preserve">A durable, monitored ceasefire or political settlement removing Port Sudan and the eastern coastal corridor definitively from the conflict </w:t>
      </w:r>
      <w:r w:rsidR="00AB188E" w:rsidRPr="001470A1">
        <w:rPr>
          <w:rFonts w:ascii="Times New Roman" w:hAnsi="Times New Roman" w:cs="Times New Roman"/>
          <w:sz w:val="24"/>
          <w:szCs w:val="24"/>
        </w:rPr>
        <w:t>zone the</w:t>
      </w:r>
      <w:r w:rsidRPr="001470A1">
        <w:rPr>
          <w:rFonts w:ascii="Times New Roman" w:hAnsi="Times New Roman" w:cs="Times New Roman"/>
          <w:sz w:val="24"/>
          <w:szCs w:val="24"/>
        </w:rPr>
        <w:t xml:space="preserve"> single most important precondition.</w:t>
      </w:r>
    </w:p>
    <w:p w14:paraId="5897A4AF" w14:textId="0BC5B153"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 xml:space="preserve">Publication of a modern, </w:t>
      </w:r>
      <w:r w:rsidR="00AB188E" w:rsidRPr="001470A1">
        <w:rPr>
          <w:rFonts w:ascii="Times New Roman" w:hAnsi="Times New Roman" w:cs="Times New Roman"/>
          <w:sz w:val="24"/>
          <w:szCs w:val="24"/>
        </w:rPr>
        <w:t>standardized</w:t>
      </w:r>
      <w:r w:rsidRPr="001470A1">
        <w:rPr>
          <w:rFonts w:ascii="Times New Roman" w:hAnsi="Times New Roman" w:cs="Times New Roman"/>
          <w:sz w:val="24"/>
          <w:szCs w:val="24"/>
        </w:rPr>
        <w:t>, competitive fiscal model (ideally a profit-based or R-factor structure akin to Egypt's 2025-26 Red Sea round) with transparent cost-recovery and domestic-obligation terms.</w:t>
      </w:r>
    </w:p>
    <w:p w14:paraId="4C95BA85"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 xml:space="preserve">Resolution or clear precedent-setting on legacy contractual disputes (CNPC's exit terms, the ONGC Videsh history) to reassure new entrants that PSC rights will be </w:t>
      </w:r>
      <w:proofErr w:type="spellStart"/>
      <w:r w:rsidRPr="001470A1">
        <w:rPr>
          <w:rFonts w:ascii="Times New Roman" w:hAnsi="Times New Roman" w:cs="Times New Roman"/>
          <w:sz w:val="24"/>
          <w:szCs w:val="24"/>
        </w:rPr>
        <w:t>honoured</w:t>
      </w:r>
      <w:proofErr w:type="spellEnd"/>
      <w:r w:rsidRPr="001470A1">
        <w:rPr>
          <w:rFonts w:ascii="Times New Roman" w:hAnsi="Times New Roman" w:cs="Times New Roman"/>
          <w:sz w:val="24"/>
          <w:szCs w:val="24"/>
        </w:rPr>
        <w:t>.</w:t>
      </w:r>
    </w:p>
    <w:p w14:paraId="27215E34"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A credible political-risk insurance or guarantee mechanism, plausibly involving MIGA, Islamic Development Bank instruments, or bilateral Gulf/Turkish sovereign backing, to substitute for the war-risk premium commercial insurers would otherwise demand.</w:t>
      </w:r>
    </w:p>
    <w:p w14:paraId="4627BB38" w14:textId="17246695"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 xml:space="preserve">New 3D seismic across Blocks 13 and 15 to convert speculative geological potential into a drillable, </w:t>
      </w:r>
      <w:proofErr w:type="spellStart"/>
      <w:r w:rsidRPr="001470A1">
        <w:rPr>
          <w:rFonts w:ascii="Times New Roman" w:hAnsi="Times New Roman" w:cs="Times New Roman"/>
          <w:sz w:val="24"/>
          <w:szCs w:val="24"/>
        </w:rPr>
        <w:t>rankable</w:t>
      </w:r>
      <w:proofErr w:type="spellEnd"/>
      <w:r w:rsidRPr="001470A1">
        <w:rPr>
          <w:rFonts w:ascii="Times New Roman" w:hAnsi="Times New Roman" w:cs="Times New Roman"/>
          <w:sz w:val="24"/>
          <w:szCs w:val="24"/>
        </w:rPr>
        <w:t xml:space="preserve"> prospect </w:t>
      </w:r>
      <w:r w:rsidR="0043543C" w:rsidRPr="001470A1">
        <w:rPr>
          <w:rFonts w:ascii="Times New Roman" w:hAnsi="Times New Roman" w:cs="Times New Roman"/>
          <w:sz w:val="24"/>
          <w:szCs w:val="24"/>
        </w:rPr>
        <w:t>inventory a</w:t>
      </w:r>
      <w:r w:rsidRPr="001470A1">
        <w:rPr>
          <w:rFonts w:ascii="Times New Roman" w:hAnsi="Times New Roman" w:cs="Times New Roman"/>
          <w:sz w:val="24"/>
          <w:szCs w:val="24"/>
        </w:rPr>
        <w:t xml:space="preserve"> pre-condition for any serious IOC interest regardless of the political situation.</w:t>
      </w:r>
    </w:p>
    <w:p w14:paraId="7292FF77" w14:textId="77777777" w:rsidR="0043543C" w:rsidRDefault="0043543C">
      <w:pPr>
        <w:spacing w:after="110" w:line="260" w:lineRule="auto"/>
        <w:jc w:val="both"/>
        <w:rPr>
          <w:rFonts w:ascii="Times New Roman" w:hAnsi="Times New Roman" w:cs="Times New Roman"/>
          <w:sz w:val="24"/>
          <w:szCs w:val="24"/>
        </w:rPr>
      </w:pPr>
    </w:p>
    <w:p w14:paraId="4D07A77D" w14:textId="3C9D1DF4" w:rsidR="0043543C" w:rsidRPr="0043543C" w:rsidRDefault="0043543C">
      <w:pPr>
        <w:spacing w:after="110" w:line="260" w:lineRule="auto"/>
        <w:jc w:val="both"/>
        <w:rPr>
          <w:rFonts w:ascii="Times New Roman" w:hAnsi="Times New Roman" w:cs="Times New Roman"/>
          <w:b/>
          <w:bCs/>
          <w:sz w:val="24"/>
          <w:szCs w:val="24"/>
        </w:rPr>
      </w:pPr>
      <w:r w:rsidRPr="0043543C">
        <w:rPr>
          <w:rFonts w:ascii="Times New Roman" w:hAnsi="Times New Roman" w:cs="Times New Roman"/>
          <w:b/>
          <w:bCs/>
          <w:sz w:val="24"/>
          <w:szCs w:val="24"/>
        </w:rPr>
        <w:t xml:space="preserve">Investment and Geopolitical Risks </w:t>
      </w:r>
    </w:p>
    <w:p w14:paraId="09542956" w14:textId="24CCFCEC"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Sudan's civil war, now in its fourth year, is the dominant and largely disqualifying risk for Red Sea upstream investment. Fighting between the SAF and RSF has produced over 100,000 deaths, displaced more than 10 million people, and produced famine conditions in parts of the country; a U.S. genocide determination against the RSF in January 2025 has hardened international positioning. Crucially for this note, the conflict is no longer confined to the interior: RSF drone attacks reached Port Sudan and Kassala in May 2025, targeting the airport and fuel depots in the city that is both Sudan's wartime administrative capital and its only viable offshore logistics base. The Khartoum (al-Jaili) refinery, previously supplying half the country's fuel needs, has been offline since 2023 and remains non-operational even after recapture by the SAF in 2025. National crude production has fallen below 25,000 barrels per day, and the Heglig field Sudan's largest was fully shut in as of December 2025 amid evacuations. Analysts assessed in January 2026 that continued conflict, not a ceasefire, is the most likely trajectory through 2026, with a U.S.-Saudi-Egyptian-UAE 'Quad' humanitarian ceasefire initiative having failed to hold.</w:t>
      </w:r>
    </w:p>
    <w:p w14:paraId="7CC26F6D" w14:textId="025C9038"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Sanctions and compliance risk compounds the security risk rather than sitting alongside it. The RSF's war economy is substantially financed through gold smuggled via the UAE, and Washington's 2025 sanctions on RSF-linked, UAE-based </w:t>
      </w:r>
      <w:proofErr w:type="gramStart"/>
      <w:r w:rsidRPr="001470A1">
        <w:rPr>
          <w:rFonts w:ascii="Times New Roman" w:hAnsi="Times New Roman" w:cs="Times New Roman"/>
          <w:sz w:val="24"/>
          <w:szCs w:val="24"/>
        </w:rPr>
        <w:t>entities  alongside</w:t>
      </w:r>
      <w:proofErr w:type="gramEnd"/>
      <w:r w:rsidRPr="001470A1">
        <w:rPr>
          <w:rFonts w:ascii="Times New Roman" w:hAnsi="Times New Roman" w:cs="Times New Roman"/>
          <w:sz w:val="24"/>
          <w:szCs w:val="24"/>
        </w:rPr>
        <w:t xml:space="preserve"> the SAF government's own public accusations that the UAE arms the RSF have visibly soured the SAF government's relationship with a Gulf state that would otherwise be a natural source of energy-sector capital. In August 2025 the UAE suspended commercial flights and maritime traffic to and from Port Sudan, underscoring how quickly logistics and diplomatic channels can close even absent formal UN </w:t>
      </w:r>
      <w:r w:rsidRPr="001470A1">
        <w:rPr>
          <w:rFonts w:ascii="Times New Roman" w:hAnsi="Times New Roman" w:cs="Times New Roman"/>
          <w:sz w:val="24"/>
          <w:szCs w:val="24"/>
        </w:rPr>
        <w:lastRenderedPageBreak/>
        <w:t>sanctions on the petroleum sector itself. Any investor from a jurisdiction seen as arming either side of the conflict carries acute reputational and compliance exposure, and Western financial institutions are likely to apply enhanced due diligence to any Sudan-linked transaction given the genocide determination, regardless of whether the transaction touches the conflict zone directly.</w:t>
      </w:r>
    </w:p>
    <w:p w14:paraId="4A39A8BA" w14:textId="3A781429" w:rsidR="00804ECE"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Contractual and sovereign risk is a distinct, longer-standing concern independent of the war. Sudan's history includes the non-renewal of ONGC Videsh's Block 2B PSC amid an unresolved royalty dispute and reported unpaid obligations of US$418 million, </w:t>
      </w:r>
      <w:r w:rsidR="00396DC0" w:rsidRPr="001470A1">
        <w:rPr>
          <w:rFonts w:ascii="Times New Roman" w:hAnsi="Times New Roman" w:cs="Times New Roman"/>
          <w:sz w:val="24"/>
          <w:szCs w:val="24"/>
        </w:rPr>
        <w:t>and most</w:t>
      </w:r>
      <w:r w:rsidRPr="001470A1">
        <w:rPr>
          <w:rFonts w:ascii="Times New Roman" w:hAnsi="Times New Roman" w:cs="Times New Roman"/>
          <w:sz w:val="24"/>
          <w:szCs w:val="24"/>
        </w:rPr>
        <w:t xml:space="preserve"> tellingly for the Red Sea specifically CNPC's 2025 force majeure withdrawal from the entire Sudanese energy sector, removing three decades of accumulated technical relationship and capital commitment. Currency and financing risk are severe: Sudan's central bank has struggled to manage foreign-exchange access amid wartime fiscal collapse, and no functioning domestic capital market or trade-finance channel of scale currently exists to support equipment imports or contractor payment cycles. Infrastructure and services risk is also material: offshore drilling and seismic contractors, insurers and </w:t>
      </w:r>
      <w:r w:rsidR="00396DC0" w:rsidRPr="001470A1">
        <w:rPr>
          <w:rFonts w:ascii="Times New Roman" w:hAnsi="Times New Roman" w:cs="Times New Roman"/>
          <w:sz w:val="24"/>
          <w:szCs w:val="24"/>
        </w:rPr>
        <w:t>specialized</w:t>
      </w:r>
      <w:r w:rsidRPr="001470A1">
        <w:rPr>
          <w:rFonts w:ascii="Times New Roman" w:hAnsi="Times New Roman" w:cs="Times New Roman"/>
          <w:sz w:val="24"/>
          <w:szCs w:val="24"/>
        </w:rPr>
        <w:t xml:space="preserve"> equipment suppliers have no reason to </w:t>
      </w:r>
      <w:r w:rsidR="00396DC0" w:rsidRPr="001470A1">
        <w:rPr>
          <w:rFonts w:ascii="Times New Roman" w:hAnsi="Times New Roman" w:cs="Times New Roman"/>
          <w:sz w:val="24"/>
          <w:szCs w:val="24"/>
        </w:rPr>
        <w:t>mobilize</w:t>
      </w:r>
      <w:r w:rsidRPr="001470A1">
        <w:rPr>
          <w:rFonts w:ascii="Times New Roman" w:hAnsi="Times New Roman" w:cs="Times New Roman"/>
          <w:sz w:val="24"/>
          <w:szCs w:val="24"/>
        </w:rPr>
        <w:t xml:space="preserve"> into an active war zone, and war-risk insurance premiums, where obtainable at all, would likely be prohibitive for a speculative exploration campaign.</w:t>
      </w:r>
    </w:p>
    <w:p w14:paraId="0D34DE3D" w14:textId="77777777" w:rsidR="00396DC0" w:rsidRPr="001470A1" w:rsidRDefault="00396DC0">
      <w:pPr>
        <w:spacing w:after="110" w:line="260" w:lineRule="auto"/>
        <w:jc w:val="both"/>
        <w:rPr>
          <w:rFonts w:ascii="Times New Roman" w:hAnsi="Times New Roman" w:cs="Times New Roman"/>
          <w:sz w:val="24"/>
          <w:szCs w:val="24"/>
        </w:rPr>
      </w:pPr>
    </w:p>
    <w:p w14:paraId="08554D91" w14:textId="6CED7903" w:rsidR="00396DC0" w:rsidRPr="00396DC0" w:rsidRDefault="00396DC0">
      <w:pPr>
        <w:spacing w:before="60" w:after="240"/>
        <w:rPr>
          <w:rFonts w:ascii="Times New Roman" w:hAnsi="Times New Roman" w:cs="Times New Roman"/>
          <w:sz w:val="24"/>
          <w:szCs w:val="24"/>
        </w:rPr>
      </w:pPr>
      <w:r w:rsidRPr="00396DC0">
        <w:rPr>
          <w:rFonts w:ascii="Times New Roman" w:hAnsi="Times New Roman" w:cs="Times New Roman"/>
          <w:sz w:val="24"/>
          <w:szCs w:val="24"/>
        </w:rPr>
        <w:t>Table 4- Key Investment Risk and potential Impact</w:t>
      </w:r>
    </w:p>
    <w:tbl>
      <w:tblPr>
        <w:tblStyle w:val="TableGrid"/>
        <w:tblW w:w="9700" w:type="dxa"/>
        <w:tblLook w:val="04A0" w:firstRow="1" w:lastRow="0" w:firstColumn="1" w:lastColumn="0" w:noHBand="0" w:noVBand="1"/>
      </w:tblPr>
      <w:tblGrid>
        <w:gridCol w:w="2000"/>
        <w:gridCol w:w="3200"/>
        <w:gridCol w:w="4500"/>
      </w:tblGrid>
      <w:tr w:rsidR="00396DC0" w:rsidRPr="001470A1" w14:paraId="2AE6B9DC" w14:textId="77777777" w:rsidTr="00396DC0">
        <w:tc>
          <w:tcPr>
            <w:tcW w:w="2000" w:type="dxa"/>
          </w:tcPr>
          <w:p w14:paraId="37AD3E80"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b/>
                <w:bCs/>
                <w:sz w:val="24"/>
                <w:szCs w:val="24"/>
              </w:rPr>
              <w:t>Risk</w:t>
            </w:r>
          </w:p>
        </w:tc>
        <w:tc>
          <w:tcPr>
            <w:tcW w:w="3200" w:type="dxa"/>
          </w:tcPr>
          <w:p w14:paraId="0C439828"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b/>
                <w:bCs/>
                <w:sz w:val="24"/>
                <w:szCs w:val="24"/>
              </w:rPr>
              <w:t>Materiality to Investor</w:t>
            </w:r>
          </w:p>
        </w:tc>
        <w:tc>
          <w:tcPr>
            <w:tcW w:w="4500" w:type="dxa"/>
          </w:tcPr>
          <w:p w14:paraId="18310057"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b/>
                <w:bCs/>
                <w:sz w:val="24"/>
                <w:szCs w:val="24"/>
              </w:rPr>
              <w:t>Effect on Project Economics</w:t>
            </w:r>
          </w:p>
        </w:tc>
      </w:tr>
      <w:tr w:rsidR="00396DC0" w:rsidRPr="001470A1" w14:paraId="04E9B2B9" w14:textId="77777777" w:rsidTr="00396DC0">
        <w:tc>
          <w:tcPr>
            <w:tcW w:w="2000" w:type="dxa"/>
          </w:tcPr>
          <w:p w14:paraId="707505DC"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Active civil conflict / coastal security</w:t>
            </w:r>
          </w:p>
        </w:tc>
        <w:tc>
          <w:tcPr>
            <w:tcW w:w="3200" w:type="dxa"/>
          </w:tcPr>
          <w:p w14:paraId="546EBA10"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Very high — Port Sudan, the only viable logistics base, has been directly targeted by drone strikes</w:t>
            </w:r>
          </w:p>
        </w:tc>
        <w:tc>
          <w:tcPr>
            <w:tcW w:w="4500" w:type="dxa"/>
          </w:tcPr>
          <w:p w14:paraId="36E4DC71"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 xml:space="preserve">Precludes </w:t>
            </w:r>
            <w:proofErr w:type="spellStart"/>
            <w:r w:rsidRPr="001470A1">
              <w:rPr>
                <w:rFonts w:ascii="Times New Roman" w:hAnsi="Times New Roman" w:cs="Times New Roman"/>
                <w:sz w:val="24"/>
                <w:szCs w:val="24"/>
              </w:rPr>
              <w:t>mobilisation</w:t>
            </w:r>
            <w:proofErr w:type="spellEnd"/>
            <w:r w:rsidRPr="001470A1">
              <w:rPr>
                <w:rFonts w:ascii="Times New Roman" w:hAnsi="Times New Roman" w:cs="Times New Roman"/>
                <w:sz w:val="24"/>
                <w:szCs w:val="24"/>
              </w:rPr>
              <w:t xml:space="preserve"> of drilling rigs, seismic vessels and personnel; renders war-risk insurance unaffordable or unavailable; effectively a binary go/no-go constraint, not a cost adjustment</w:t>
            </w:r>
          </w:p>
        </w:tc>
      </w:tr>
      <w:tr w:rsidR="00396DC0" w:rsidRPr="001470A1" w14:paraId="59305323" w14:textId="77777777" w:rsidTr="00396DC0">
        <w:tc>
          <w:tcPr>
            <w:tcW w:w="2000" w:type="dxa"/>
          </w:tcPr>
          <w:p w14:paraId="147A0441"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Sanctions / reputational exposure</w:t>
            </w:r>
          </w:p>
        </w:tc>
        <w:tc>
          <w:tcPr>
            <w:tcW w:w="3200" w:type="dxa"/>
          </w:tcPr>
          <w:p w14:paraId="2801E910"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High — RSF genocide determination and gold-sanctions network create enhanced due-diligence burden on any Sudan-linked transaction</w:t>
            </w:r>
          </w:p>
        </w:tc>
        <w:tc>
          <w:tcPr>
            <w:tcW w:w="4500" w:type="dxa"/>
          </w:tcPr>
          <w:p w14:paraId="6C56CE2C"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Deters Western-listed IOCs and banks; narrows the realistic investor pool to state-linked or non-Western capital willing to accept reputational risk</w:t>
            </w:r>
          </w:p>
        </w:tc>
      </w:tr>
      <w:tr w:rsidR="00396DC0" w:rsidRPr="001470A1" w14:paraId="78FC8015" w14:textId="77777777" w:rsidTr="00396DC0">
        <w:tc>
          <w:tcPr>
            <w:tcW w:w="2000" w:type="dxa"/>
          </w:tcPr>
          <w:p w14:paraId="2DF247F2"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Contract sanctity / sovereign risk</w:t>
            </w:r>
          </w:p>
        </w:tc>
        <w:tc>
          <w:tcPr>
            <w:tcW w:w="3200" w:type="dxa"/>
          </w:tcPr>
          <w:p w14:paraId="42BEEDC6"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High — precedent of unilateral PSC non-renewal (ONGC Videsh) and CNPC's 2025 force majeure exit</w:t>
            </w:r>
          </w:p>
        </w:tc>
        <w:tc>
          <w:tcPr>
            <w:tcW w:w="4500" w:type="dxa"/>
          </w:tcPr>
          <w:p w14:paraId="31B49D1F"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Raises required rate of return; likely necessitates political-risk insurance or bilateral guarantees, adding cost and complexity</w:t>
            </w:r>
          </w:p>
        </w:tc>
      </w:tr>
      <w:tr w:rsidR="00396DC0" w:rsidRPr="001470A1" w14:paraId="2A8E4756" w14:textId="77777777" w:rsidTr="00396DC0">
        <w:tc>
          <w:tcPr>
            <w:tcW w:w="2000" w:type="dxa"/>
          </w:tcPr>
          <w:p w14:paraId="09CA8CF5"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Currency / FX and financing constraints</w:t>
            </w:r>
          </w:p>
        </w:tc>
        <w:tc>
          <w:tcPr>
            <w:tcW w:w="3200" w:type="dxa"/>
          </w:tcPr>
          <w:p w14:paraId="3A8E5910"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High — wartime central bank capacity is severely impaired</w:t>
            </w:r>
          </w:p>
        </w:tc>
        <w:tc>
          <w:tcPr>
            <w:tcW w:w="4500" w:type="dxa"/>
          </w:tcPr>
          <w:p w14:paraId="01FB8E49"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Complicates repatriation of profit petroleum revenue and contractor payment; increases working-capital cost</w:t>
            </w:r>
          </w:p>
        </w:tc>
      </w:tr>
      <w:tr w:rsidR="00396DC0" w:rsidRPr="001470A1" w14:paraId="196DFD00" w14:textId="77777777" w:rsidTr="00396DC0">
        <w:tc>
          <w:tcPr>
            <w:tcW w:w="2000" w:type="dxa"/>
          </w:tcPr>
          <w:p w14:paraId="2F53664B"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Data and resource uncertainty</w:t>
            </w:r>
          </w:p>
        </w:tc>
        <w:tc>
          <w:tcPr>
            <w:tcW w:w="3200" w:type="dxa"/>
          </w:tcPr>
          <w:p w14:paraId="2D8810A2"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Medium-high — no certified block-level resource estimate exists</w:t>
            </w:r>
          </w:p>
        </w:tc>
        <w:tc>
          <w:tcPr>
            <w:tcW w:w="4500" w:type="dxa"/>
          </w:tcPr>
          <w:p w14:paraId="57F2D1F8"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Investment is a pure exploration bet; cannot be underwritten as a development decision; requires substantial pre-investment 3D seismic spend with no revenue offset</w:t>
            </w:r>
          </w:p>
        </w:tc>
      </w:tr>
      <w:tr w:rsidR="00396DC0" w:rsidRPr="001470A1" w14:paraId="478D9D3A" w14:textId="77777777" w:rsidTr="00396DC0">
        <w:tc>
          <w:tcPr>
            <w:tcW w:w="2000" w:type="dxa"/>
          </w:tcPr>
          <w:p w14:paraId="2B8F9DAD"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Infrastructure deficit</w:t>
            </w:r>
          </w:p>
        </w:tc>
        <w:tc>
          <w:tcPr>
            <w:tcW w:w="3200" w:type="dxa"/>
          </w:tcPr>
          <w:p w14:paraId="3FA0C3EC"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 xml:space="preserve">Medium — legacy </w:t>
            </w:r>
            <w:proofErr w:type="spellStart"/>
            <w:r w:rsidRPr="001470A1">
              <w:rPr>
                <w:rFonts w:ascii="Times New Roman" w:hAnsi="Times New Roman" w:cs="Times New Roman"/>
                <w:sz w:val="24"/>
                <w:szCs w:val="24"/>
              </w:rPr>
              <w:t>Bashayer</w:t>
            </w:r>
            <w:proofErr w:type="spellEnd"/>
            <w:r w:rsidRPr="001470A1">
              <w:rPr>
                <w:rFonts w:ascii="Times New Roman" w:hAnsi="Times New Roman" w:cs="Times New Roman"/>
                <w:sz w:val="24"/>
                <w:szCs w:val="24"/>
              </w:rPr>
              <w:t xml:space="preserve"> terminal and Port Sudan </w:t>
            </w:r>
            <w:r w:rsidRPr="001470A1">
              <w:rPr>
                <w:rFonts w:ascii="Times New Roman" w:hAnsi="Times New Roman" w:cs="Times New Roman"/>
                <w:sz w:val="24"/>
                <w:szCs w:val="24"/>
              </w:rPr>
              <w:lastRenderedPageBreak/>
              <w:t>facilities exist but are war-damaged and undersized for gas</w:t>
            </w:r>
          </w:p>
        </w:tc>
        <w:tc>
          <w:tcPr>
            <w:tcW w:w="4500" w:type="dxa"/>
          </w:tcPr>
          <w:p w14:paraId="158918EB"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lastRenderedPageBreak/>
              <w:t xml:space="preserve">Adds material greenfield capex for any gas-specific processing, storage or export </w:t>
            </w:r>
            <w:r w:rsidRPr="001470A1">
              <w:rPr>
                <w:rFonts w:ascii="Times New Roman" w:hAnsi="Times New Roman" w:cs="Times New Roman"/>
                <w:sz w:val="24"/>
                <w:szCs w:val="24"/>
              </w:rPr>
              <w:lastRenderedPageBreak/>
              <w:t>infrastructure beyond existing crude-oriented facilities</w:t>
            </w:r>
          </w:p>
        </w:tc>
      </w:tr>
      <w:tr w:rsidR="00396DC0" w:rsidRPr="001470A1" w14:paraId="35FC782F" w14:textId="77777777" w:rsidTr="00396DC0">
        <w:tc>
          <w:tcPr>
            <w:tcW w:w="2000" w:type="dxa"/>
          </w:tcPr>
          <w:p w14:paraId="1ED59A35"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lastRenderedPageBreak/>
              <w:t>Services and contractor availability</w:t>
            </w:r>
          </w:p>
        </w:tc>
        <w:tc>
          <w:tcPr>
            <w:tcW w:w="3200" w:type="dxa"/>
          </w:tcPr>
          <w:p w14:paraId="03899875"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 xml:space="preserve">Medium — global offshore service providers have no commercial incentive to </w:t>
            </w:r>
            <w:proofErr w:type="spellStart"/>
            <w:r w:rsidRPr="001470A1">
              <w:rPr>
                <w:rFonts w:ascii="Times New Roman" w:hAnsi="Times New Roman" w:cs="Times New Roman"/>
                <w:sz w:val="24"/>
                <w:szCs w:val="24"/>
              </w:rPr>
              <w:t>mobilise</w:t>
            </w:r>
            <w:proofErr w:type="spellEnd"/>
            <w:r w:rsidRPr="001470A1">
              <w:rPr>
                <w:rFonts w:ascii="Times New Roman" w:hAnsi="Times New Roman" w:cs="Times New Roman"/>
                <w:sz w:val="24"/>
                <w:szCs w:val="24"/>
              </w:rPr>
              <w:t xml:space="preserve"> into an active conflict zone</w:t>
            </w:r>
          </w:p>
        </w:tc>
        <w:tc>
          <w:tcPr>
            <w:tcW w:w="4500" w:type="dxa"/>
          </w:tcPr>
          <w:p w14:paraId="50AA72A1"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Likely requires a war-premium day-rate or use of a narrower pool of risk-tolerant regional contractors, raising unit costs</w:t>
            </w:r>
          </w:p>
        </w:tc>
      </w:tr>
      <w:tr w:rsidR="00396DC0" w:rsidRPr="001470A1" w14:paraId="30BEF410" w14:textId="77777777" w:rsidTr="00396DC0">
        <w:tc>
          <w:tcPr>
            <w:tcW w:w="2000" w:type="dxa"/>
          </w:tcPr>
          <w:p w14:paraId="319B79EB"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Sovereignty / boundary disputes</w:t>
            </w:r>
          </w:p>
        </w:tc>
        <w:tc>
          <w:tcPr>
            <w:tcW w:w="3200" w:type="dxa"/>
          </w:tcPr>
          <w:p w14:paraId="34A0F3DB"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 xml:space="preserve">Low-medium, concentrated in northern acreage — </w:t>
            </w:r>
            <w:proofErr w:type="spellStart"/>
            <w:r w:rsidRPr="001470A1">
              <w:rPr>
                <w:rFonts w:ascii="Times New Roman" w:hAnsi="Times New Roman" w:cs="Times New Roman"/>
                <w:sz w:val="24"/>
                <w:szCs w:val="24"/>
              </w:rPr>
              <w:t>Halayeb</w:t>
            </w:r>
            <w:proofErr w:type="spellEnd"/>
            <w:r w:rsidRPr="001470A1">
              <w:rPr>
                <w:rFonts w:ascii="Times New Roman" w:hAnsi="Times New Roman" w:cs="Times New Roman"/>
                <w:sz w:val="24"/>
                <w:szCs w:val="24"/>
              </w:rPr>
              <w:t xml:space="preserve"> Triangle dispute with Egypt overlaps parts of the northern Red Sea margin</w:t>
            </w:r>
          </w:p>
        </w:tc>
        <w:tc>
          <w:tcPr>
            <w:tcW w:w="4500" w:type="dxa"/>
          </w:tcPr>
          <w:p w14:paraId="1DB7D6FA"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Creates title uncertainty for northern blocks (e.g., Block 13 vicinity); largely avoidable by focusing on undisputed central/southern acreage</w:t>
            </w:r>
          </w:p>
        </w:tc>
      </w:tr>
    </w:tbl>
    <w:p w14:paraId="1390F5D6" w14:textId="691A4107" w:rsidR="00396DC0" w:rsidRDefault="00000000" w:rsidP="00396DC0">
      <w:pPr>
        <w:spacing w:before="60" w:after="240"/>
        <w:rPr>
          <w:rFonts w:ascii="Times New Roman" w:hAnsi="Times New Roman" w:cs="Times New Roman"/>
          <w:sz w:val="24"/>
          <w:szCs w:val="24"/>
        </w:rPr>
      </w:pPr>
      <w:r w:rsidRPr="00396DC0">
        <w:rPr>
          <w:rFonts w:ascii="Times New Roman" w:hAnsi="Times New Roman" w:cs="Times New Roman"/>
          <w:sz w:val="24"/>
          <w:szCs w:val="24"/>
        </w:rPr>
        <w:t xml:space="preserve">Source: Synthesis based on Al Jazeera, Washington Institute, Steptoe, The Arab Weekly, Business Standard, and Al Jazeera </w:t>
      </w:r>
      <w:proofErr w:type="spellStart"/>
      <w:r w:rsidRPr="00396DC0">
        <w:rPr>
          <w:rFonts w:ascii="Times New Roman" w:hAnsi="Times New Roman" w:cs="Times New Roman"/>
          <w:sz w:val="24"/>
          <w:szCs w:val="24"/>
        </w:rPr>
        <w:t>Halayeb</w:t>
      </w:r>
      <w:proofErr w:type="spellEnd"/>
      <w:r w:rsidRPr="00396DC0">
        <w:rPr>
          <w:rFonts w:ascii="Times New Roman" w:hAnsi="Times New Roman" w:cs="Times New Roman"/>
          <w:sz w:val="24"/>
          <w:szCs w:val="24"/>
        </w:rPr>
        <w:t xml:space="preserve"> reporting.</w:t>
      </w:r>
    </w:p>
    <w:p w14:paraId="4C0EA69A" w14:textId="77777777" w:rsidR="00396DC0" w:rsidRDefault="00396DC0">
      <w:pPr>
        <w:spacing w:after="110" w:line="260" w:lineRule="auto"/>
        <w:jc w:val="both"/>
        <w:rPr>
          <w:rFonts w:ascii="Times New Roman" w:hAnsi="Times New Roman" w:cs="Times New Roman"/>
          <w:sz w:val="24"/>
          <w:szCs w:val="24"/>
        </w:rPr>
      </w:pPr>
    </w:p>
    <w:p w14:paraId="52F800D3" w14:textId="3B33C4B8" w:rsidR="00396DC0" w:rsidRPr="00396DC0" w:rsidRDefault="00396DC0">
      <w:pPr>
        <w:spacing w:after="110" w:line="260" w:lineRule="auto"/>
        <w:jc w:val="both"/>
        <w:rPr>
          <w:rFonts w:ascii="Times New Roman" w:hAnsi="Times New Roman" w:cs="Times New Roman"/>
          <w:b/>
          <w:bCs/>
          <w:sz w:val="24"/>
          <w:szCs w:val="24"/>
        </w:rPr>
      </w:pPr>
      <w:r w:rsidRPr="00396DC0">
        <w:rPr>
          <w:rFonts w:ascii="Times New Roman" w:hAnsi="Times New Roman" w:cs="Times New Roman"/>
          <w:b/>
          <w:bCs/>
          <w:sz w:val="24"/>
          <w:szCs w:val="24"/>
        </w:rPr>
        <w:t>Infrastructure and Market Constraints</w:t>
      </w:r>
    </w:p>
    <w:p w14:paraId="08379B77" w14:textId="047F46A7"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Any Red Sea gas discovery would require a substantial infrastructure build regardless of the conflict, because Sudan has no existing offshore gas production, processing or export infrastructure only crude-oil-oriented facilities. The existing </w:t>
      </w:r>
      <w:proofErr w:type="spellStart"/>
      <w:r w:rsidRPr="001470A1">
        <w:rPr>
          <w:rFonts w:ascii="Times New Roman" w:hAnsi="Times New Roman" w:cs="Times New Roman"/>
          <w:sz w:val="24"/>
          <w:szCs w:val="24"/>
        </w:rPr>
        <w:t>Bashayer</w:t>
      </w:r>
      <w:proofErr w:type="spellEnd"/>
      <w:r w:rsidRPr="001470A1">
        <w:rPr>
          <w:rFonts w:ascii="Times New Roman" w:hAnsi="Times New Roman" w:cs="Times New Roman"/>
          <w:sz w:val="24"/>
          <w:szCs w:val="24"/>
        </w:rPr>
        <w:t xml:space="preserve"> terminal south of Port Sudan handles crude exports from Sudan and South Sudan via the Greater Nile pipeline system, but has no LNG, gas-processing or subsea gas-gathering capability. A commercial discovery would require, at minimum: subsea production systems and flowlines to shore or to a floating facility; gas processing/dehydration and NGL/condensate </w:t>
      </w:r>
      <w:proofErr w:type="spellStart"/>
      <w:r w:rsidRPr="001470A1">
        <w:rPr>
          <w:rFonts w:ascii="Times New Roman" w:hAnsi="Times New Roman" w:cs="Times New Roman"/>
          <w:sz w:val="24"/>
          <w:szCs w:val="24"/>
        </w:rPr>
        <w:t>stabilisation</w:t>
      </w:r>
      <w:proofErr w:type="spellEnd"/>
      <w:r w:rsidRPr="001470A1">
        <w:rPr>
          <w:rFonts w:ascii="Times New Roman" w:hAnsi="Times New Roman" w:cs="Times New Roman"/>
          <w:sz w:val="24"/>
          <w:szCs w:val="24"/>
        </w:rPr>
        <w:t xml:space="preserve"> facilities; either a new pipeline to shore-based processing or a floating production/storage solution; and for anything beyond domestic use either pipeline connection to a demand </w:t>
      </w:r>
      <w:proofErr w:type="spellStart"/>
      <w:r w:rsidRPr="001470A1">
        <w:rPr>
          <w:rFonts w:ascii="Times New Roman" w:hAnsi="Times New Roman" w:cs="Times New Roman"/>
          <w:sz w:val="24"/>
          <w:szCs w:val="24"/>
        </w:rPr>
        <w:t>centre</w:t>
      </w:r>
      <w:proofErr w:type="spellEnd"/>
      <w:r w:rsidRPr="001470A1">
        <w:rPr>
          <w:rFonts w:ascii="Times New Roman" w:hAnsi="Times New Roman" w:cs="Times New Roman"/>
          <w:sz w:val="24"/>
          <w:szCs w:val="24"/>
        </w:rPr>
        <w:t xml:space="preserve"> (there is none of scale near the coast) or liquefaction capacity, most plausibly FLNG given the absence of onshore gas transmission infrastructure linking the coast to Khartoum or other demand </w:t>
      </w:r>
      <w:proofErr w:type="spellStart"/>
      <w:r w:rsidRPr="001470A1">
        <w:rPr>
          <w:rFonts w:ascii="Times New Roman" w:hAnsi="Times New Roman" w:cs="Times New Roman"/>
          <w:sz w:val="24"/>
          <w:szCs w:val="24"/>
        </w:rPr>
        <w:t>centres</w:t>
      </w:r>
      <w:proofErr w:type="spellEnd"/>
      <w:r w:rsidRPr="001470A1">
        <w:rPr>
          <w:rFonts w:ascii="Times New Roman" w:hAnsi="Times New Roman" w:cs="Times New Roman"/>
          <w:sz w:val="24"/>
          <w:szCs w:val="24"/>
        </w:rPr>
        <w:t>.</w:t>
      </w:r>
    </w:p>
    <w:p w14:paraId="5853DB00" w14:textId="404A2856"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Domestic gas demand is currently negligible in scale: Sudan's only meaningful gas </w:t>
      </w:r>
      <w:proofErr w:type="spellStart"/>
      <w:r w:rsidRPr="001470A1">
        <w:rPr>
          <w:rFonts w:ascii="Times New Roman" w:hAnsi="Times New Roman" w:cs="Times New Roman"/>
          <w:sz w:val="24"/>
          <w:szCs w:val="24"/>
        </w:rPr>
        <w:t>monetisation</w:t>
      </w:r>
      <w:proofErr w:type="spellEnd"/>
      <w:r w:rsidRPr="001470A1">
        <w:rPr>
          <w:rFonts w:ascii="Times New Roman" w:hAnsi="Times New Roman" w:cs="Times New Roman"/>
          <w:sz w:val="24"/>
          <w:szCs w:val="24"/>
        </w:rPr>
        <w:t xml:space="preserve"> to date is a small associated-gas power and LPG project generating around 38 megawatts of electricity and roughly 95 </w:t>
      </w:r>
      <w:proofErr w:type="spellStart"/>
      <w:r w:rsidRPr="001470A1">
        <w:rPr>
          <w:rFonts w:ascii="Times New Roman" w:hAnsi="Times New Roman" w:cs="Times New Roman"/>
          <w:sz w:val="24"/>
          <w:szCs w:val="24"/>
        </w:rPr>
        <w:t>tonnes</w:t>
      </w:r>
      <w:proofErr w:type="spellEnd"/>
      <w:r w:rsidRPr="001470A1">
        <w:rPr>
          <w:rFonts w:ascii="Times New Roman" w:hAnsi="Times New Roman" w:cs="Times New Roman"/>
          <w:sz w:val="24"/>
          <w:szCs w:val="24"/>
        </w:rPr>
        <w:t xml:space="preserve"> per day of LPG, launched in 2024 as what the Ministry described as the beginning of a wider gas investment push covering onshore Block 8 and the Red Sea Blocks 13 and 15. This is a useful proof of concept for gas-to-power </w:t>
      </w:r>
      <w:proofErr w:type="spellStart"/>
      <w:r w:rsidRPr="001470A1">
        <w:rPr>
          <w:rFonts w:ascii="Times New Roman" w:hAnsi="Times New Roman" w:cs="Times New Roman"/>
          <w:sz w:val="24"/>
          <w:szCs w:val="24"/>
        </w:rPr>
        <w:t>monetisation</w:t>
      </w:r>
      <w:proofErr w:type="spellEnd"/>
      <w:r w:rsidRPr="001470A1">
        <w:rPr>
          <w:rFonts w:ascii="Times New Roman" w:hAnsi="Times New Roman" w:cs="Times New Roman"/>
          <w:sz w:val="24"/>
          <w:szCs w:val="24"/>
        </w:rPr>
        <w:t xml:space="preserve"> but is orders of magnitude smaller than what would be required to absorb a material offshore discovery; Sudan's national grid itself is degraded by war damage, and reconstructing transmission capacity to move Red Sea gas-fired power inland to Khartoum-area demand is itself a multi-year, multi-hundred-million-dollar undertaking layered on top of upstream development costs.</w:t>
      </w:r>
    </w:p>
    <w:p w14:paraId="240586BD" w14:textId="441474F9"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Because there is no substantial pipeline network connecting the coast to Sudan's interior demand </w:t>
      </w:r>
      <w:proofErr w:type="spellStart"/>
      <w:r w:rsidRPr="001470A1">
        <w:rPr>
          <w:rFonts w:ascii="Times New Roman" w:hAnsi="Times New Roman" w:cs="Times New Roman"/>
          <w:sz w:val="24"/>
          <w:szCs w:val="24"/>
        </w:rPr>
        <w:t>centres</w:t>
      </w:r>
      <w:proofErr w:type="spellEnd"/>
      <w:r w:rsidRPr="001470A1">
        <w:rPr>
          <w:rFonts w:ascii="Times New Roman" w:hAnsi="Times New Roman" w:cs="Times New Roman"/>
          <w:sz w:val="24"/>
          <w:szCs w:val="24"/>
        </w:rPr>
        <w:t xml:space="preserve">, and because building one across difficult terrain amid active conflict is not realistic in the near term, any offshore discovery large enough to justify export would almost certainly gravitate toward a floating solution FLNG or a floating power/LPG hub  rather than a pipeline or onshore </w:t>
      </w:r>
      <w:r w:rsidRPr="001470A1">
        <w:rPr>
          <w:rFonts w:ascii="Times New Roman" w:hAnsi="Times New Roman" w:cs="Times New Roman"/>
          <w:sz w:val="24"/>
          <w:szCs w:val="24"/>
        </w:rPr>
        <w:lastRenderedPageBreak/>
        <w:t>liquefaction plant, simply to avoid the cost and security exposure of a long overland pipeline. This has a direct bearing on moneti</w:t>
      </w:r>
      <w:r w:rsidR="00396DC0">
        <w:rPr>
          <w:rFonts w:ascii="Times New Roman" w:hAnsi="Times New Roman" w:cs="Times New Roman"/>
          <w:sz w:val="24"/>
          <w:szCs w:val="24"/>
        </w:rPr>
        <w:t>z</w:t>
      </w:r>
      <w:r w:rsidRPr="001470A1">
        <w:rPr>
          <w:rFonts w:ascii="Times New Roman" w:hAnsi="Times New Roman" w:cs="Times New Roman"/>
          <w:sz w:val="24"/>
          <w:szCs w:val="24"/>
        </w:rPr>
        <w:t>ation economics, discussed in Section 10.</w:t>
      </w:r>
    </w:p>
    <w:p w14:paraId="07D63012" w14:textId="77777777" w:rsidR="00396DC0" w:rsidRDefault="00396DC0">
      <w:pPr>
        <w:spacing w:after="110" w:line="260" w:lineRule="auto"/>
        <w:jc w:val="both"/>
        <w:rPr>
          <w:rFonts w:ascii="Times New Roman" w:hAnsi="Times New Roman" w:cs="Times New Roman"/>
          <w:sz w:val="24"/>
          <w:szCs w:val="24"/>
        </w:rPr>
      </w:pPr>
    </w:p>
    <w:p w14:paraId="512E8B95" w14:textId="07D88EAE" w:rsidR="00396DC0" w:rsidRPr="00396DC0" w:rsidRDefault="00396DC0">
      <w:pPr>
        <w:spacing w:after="110" w:line="260" w:lineRule="auto"/>
        <w:jc w:val="both"/>
        <w:rPr>
          <w:rFonts w:ascii="Times New Roman" w:hAnsi="Times New Roman" w:cs="Times New Roman"/>
          <w:b/>
          <w:bCs/>
          <w:sz w:val="24"/>
          <w:szCs w:val="24"/>
        </w:rPr>
      </w:pPr>
      <w:r w:rsidRPr="00396DC0">
        <w:rPr>
          <w:rFonts w:ascii="Times New Roman" w:hAnsi="Times New Roman" w:cs="Times New Roman"/>
          <w:b/>
          <w:bCs/>
          <w:sz w:val="24"/>
          <w:szCs w:val="24"/>
        </w:rPr>
        <w:t>Gas Monetization Options</w:t>
      </w:r>
    </w:p>
    <w:p w14:paraId="67A2A30E" w14:textId="48F960C0"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It should not be assumed that an offshore gas discovery automatically implies an LNG export project. The relevant </w:t>
      </w:r>
      <w:proofErr w:type="spellStart"/>
      <w:r w:rsidRPr="001470A1">
        <w:rPr>
          <w:rFonts w:ascii="Times New Roman" w:hAnsi="Times New Roman" w:cs="Times New Roman"/>
          <w:sz w:val="24"/>
          <w:szCs w:val="24"/>
        </w:rPr>
        <w:t>monetisation</w:t>
      </w:r>
      <w:proofErr w:type="spellEnd"/>
      <w:r w:rsidRPr="001470A1">
        <w:rPr>
          <w:rFonts w:ascii="Times New Roman" w:hAnsi="Times New Roman" w:cs="Times New Roman"/>
          <w:sz w:val="24"/>
          <w:szCs w:val="24"/>
        </w:rPr>
        <w:t xml:space="preserve"> pathway depends heavily on discovered volumes, distance to shore, water depth, and critically in Sudan's </w:t>
      </w:r>
      <w:r w:rsidR="00396DC0" w:rsidRPr="001470A1">
        <w:rPr>
          <w:rFonts w:ascii="Times New Roman" w:hAnsi="Times New Roman" w:cs="Times New Roman"/>
          <w:sz w:val="24"/>
          <w:szCs w:val="24"/>
        </w:rPr>
        <w:t>case the</w:t>
      </w:r>
      <w:r w:rsidRPr="001470A1">
        <w:rPr>
          <w:rFonts w:ascii="Times New Roman" w:hAnsi="Times New Roman" w:cs="Times New Roman"/>
          <w:sz w:val="24"/>
          <w:szCs w:val="24"/>
        </w:rPr>
        <w:t xml:space="preserve"> security and political environment in which capital-intensive infrastructure would need to be built and insured. Modern FLNG technology has matured considerably: newer, smaller-scale conversions of existing LNG carriers (such as the projects cited for Mauritania/Senegal's Tortue field, Cameroon FLNG, and Southern Energy's FLNG MK II) have achieved liquefaction capex as low as roughly US$500-650 per </w:t>
      </w:r>
      <w:proofErr w:type="spellStart"/>
      <w:r w:rsidRPr="001470A1">
        <w:rPr>
          <w:rFonts w:ascii="Times New Roman" w:hAnsi="Times New Roman" w:cs="Times New Roman"/>
          <w:sz w:val="24"/>
          <w:szCs w:val="24"/>
        </w:rPr>
        <w:t>tonne</w:t>
      </w:r>
      <w:proofErr w:type="spellEnd"/>
      <w:r w:rsidRPr="001470A1">
        <w:rPr>
          <w:rFonts w:ascii="Times New Roman" w:hAnsi="Times New Roman" w:cs="Times New Roman"/>
          <w:sz w:val="24"/>
          <w:szCs w:val="24"/>
        </w:rPr>
        <w:t xml:space="preserve"> of annual capacity, a substantial improvement on the roughly US$2,100 per </w:t>
      </w:r>
      <w:proofErr w:type="spellStart"/>
      <w:r w:rsidRPr="001470A1">
        <w:rPr>
          <w:rFonts w:ascii="Times New Roman" w:hAnsi="Times New Roman" w:cs="Times New Roman"/>
          <w:sz w:val="24"/>
          <w:szCs w:val="24"/>
        </w:rPr>
        <w:t>tonne</w:t>
      </w:r>
      <w:proofErr w:type="spellEnd"/>
      <w:r w:rsidRPr="001470A1">
        <w:rPr>
          <w:rFonts w:ascii="Times New Roman" w:hAnsi="Times New Roman" w:cs="Times New Roman"/>
          <w:sz w:val="24"/>
          <w:szCs w:val="24"/>
        </w:rPr>
        <w:t xml:space="preserve"> recorded on Shell's pioneering Prelude FLNG facility. This matters for Sudan because it suggests that, if a discovery of sufficient scale were made, a modular FLNG solution avoiding a fixed onshore plant and lengthy pipeline is technically and potentially commercially plausible but this is a scenario contingent on both a meaningful discovery and durable peace, not a near-term option.</w:t>
      </w:r>
    </w:p>
    <w:tbl>
      <w:tblPr>
        <w:tblStyle w:val="TableGrid"/>
        <w:tblW w:w="9400" w:type="dxa"/>
        <w:tblLook w:val="04A0" w:firstRow="1" w:lastRow="0" w:firstColumn="1" w:lastColumn="0" w:noHBand="0" w:noVBand="1"/>
      </w:tblPr>
      <w:tblGrid>
        <w:gridCol w:w="1859"/>
        <w:gridCol w:w="2162"/>
        <w:gridCol w:w="1574"/>
        <w:gridCol w:w="1659"/>
        <w:gridCol w:w="2146"/>
      </w:tblGrid>
      <w:tr w:rsidR="001470A1" w:rsidRPr="001470A1" w14:paraId="0D528B68" w14:textId="77777777" w:rsidTr="00396DC0">
        <w:tc>
          <w:tcPr>
            <w:tcW w:w="1900" w:type="dxa"/>
          </w:tcPr>
          <w:p w14:paraId="655640B4"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b/>
                <w:bCs/>
                <w:sz w:val="24"/>
                <w:szCs w:val="24"/>
              </w:rPr>
              <w:t>Pathway</w:t>
            </w:r>
          </w:p>
        </w:tc>
        <w:tc>
          <w:tcPr>
            <w:tcW w:w="1700" w:type="dxa"/>
          </w:tcPr>
          <w:p w14:paraId="38FD2A75"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b/>
                <w:bCs/>
                <w:sz w:val="24"/>
                <w:szCs w:val="24"/>
              </w:rPr>
              <w:t>Resource Scale Needed</w:t>
            </w:r>
          </w:p>
        </w:tc>
        <w:tc>
          <w:tcPr>
            <w:tcW w:w="1700" w:type="dxa"/>
          </w:tcPr>
          <w:p w14:paraId="6352A803"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b/>
                <w:bCs/>
                <w:sz w:val="24"/>
                <w:szCs w:val="24"/>
              </w:rPr>
              <w:t>Capital Intensity</w:t>
            </w:r>
          </w:p>
        </w:tc>
        <w:tc>
          <w:tcPr>
            <w:tcW w:w="1700" w:type="dxa"/>
          </w:tcPr>
          <w:p w14:paraId="75046F4D"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b/>
                <w:bCs/>
                <w:sz w:val="24"/>
                <w:szCs w:val="24"/>
              </w:rPr>
              <w:t>Realistic Sudan Timeline</w:t>
            </w:r>
          </w:p>
        </w:tc>
        <w:tc>
          <w:tcPr>
            <w:tcW w:w="2400" w:type="dxa"/>
          </w:tcPr>
          <w:p w14:paraId="462ED29C"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b/>
                <w:bCs/>
                <w:sz w:val="24"/>
                <w:szCs w:val="24"/>
              </w:rPr>
              <w:t>Assessment</w:t>
            </w:r>
          </w:p>
        </w:tc>
      </w:tr>
      <w:tr w:rsidR="001470A1" w:rsidRPr="001470A1" w14:paraId="7C10773F" w14:textId="77777777" w:rsidTr="00396DC0">
        <w:tc>
          <w:tcPr>
            <w:tcW w:w="1900" w:type="dxa"/>
          </w:tcPr>
          <w:p w14:paraId="32BADB5D"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Domestic gas-to-power</w:t>
            </w:r>
          </w:p>
        </w:tc>
        <w:tc>
          <w:tcPr>
            <w:tcW w:w="1700" w:type="dxa"/>
          </w:tcPr>
          <w:p w14:paraId="457E5CAC"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Small (associated/stranded gas)</w:t>
            </w:r>
          </w:p>
        </w:tc>
        <w:tc>
          <w:tcPr>
            <w:tcW w:w="1700" w:type="dxa"/>
          </w:tcPr>
          <w:p w14:paraId="1BB5FCD1"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Low-moderate</w:t>
            </w:r>
          </w:p>
        </w:tc>
        <w:tc>
          <w:tcPr>
            <w:tcW w:w="1700" w:type="dxa"/>
          </w:tcPr>
          <w:p w14:paraId="2FB09899"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Already underway, near-term scalable</w:t>
            </w:r>
          </w:p>
        </w:tc>
        <w:tc>
          <w:tcPr>
            <w:tcW w:w="2400" w:type="dxa"/>
          </w:tcPr>
          <w:p w14:paraId="24DAE1AD"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Most realistic near-term pathway; proven small-scale precedent (38 MW project) [78]; constrained by degraded grid, not resource</w:t>
            </w:r>
          </w:p>
        </w:tc>
      </w:tr>
      <w:tr w:rsidR="001470A1" w:rsidRPr="001470A1" w14:paraId="0F6A4ACC" w14:textId="77777777" w:rsidTr="00396DC0">
        <w:tc>
          <w:tcPr>
            <w:tcW w:w="1900" w:type="dxa"/>
          </w:tcPr>
          <w:p w14:paraId="1EBB9E14"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Industrial gas supply</w:t>
            </w:r>
          </w:p>
        </w:tc>
        <w:tc>
          <w:tcPr>
            <w:tcW w:w="1700" w:type="dxa"/>
          </w:tcPr>
          <w:p w14:paraId="1EAC3837"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Small-moderate</w:t>
            </w:r>
          </w:p>
        </w:tc>
        <w:tc>
          <w:tcPr>
            <w:tcW w:w="1700" w:type="dxa"/>
          </w:tcPr>
          <w:p w14:paraId="4FF54C61"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Low-moderate</w:t>
            </w:r>
          </w:p>
        </w:tc>
        <w:tc>
          <w:tcPr>
            <w:tcW w:w="1700" w:type="dxa"/>
          </w:tcPr>
          <w:p w14:paraId="107FFA23"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Medium-term, post-reconstruction</w:t>
            </w:r>
          </w:p>
        </w:tc>
        <w:tc>
          <w:tcPr>
            <w:tcW w:w="2400" w:type="dxa"/>
          </w:tcPr>
          <w:p w14:paraId="18ABBC7A"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Plausible if Port Sudan/Red Sea State industrial activity (cement, desalination, refining) expands; currently limited demand base</w:t>
            </w:r>
          </w:p>
        </w:tc>
      </w:tr>
      <w:tr w:rsidR="001470A1" w:rsidRPr="001470A1" w14:paraId="2310218D" w14:textId="77777777" w:rsidTr="00396DC0">
        <w:tc>
          <w:tcPr>
            <w:tcW w:w="1900" w:type="dxa"/>
          </w:tcPr>
          <w:p w14:paraId="7BC4299B"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LPG/NGL recovery</w:t>
            </w:r>
          </w:p>
        </w:tc>
        <w:tc>
          <w:tcPr>
            <w:tcW w:w="1700" w:type="dxa"/>
          </w:tcPr>
          <w:p w14:paraId="2F7D13AC"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Small</w:t>
            </w:r>
          </w:p>
        </w:tc>
        <w:tc>
          <w:tcPr>
            <w:tcW w:w="1700" w:type="dxa"/>
          </w:tcPr>
          <w:p w14:paraId="6C688AC5"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Low</w:t>
            </w:r>
          </w:p>
        </w:tc>
        <w:tc>
          <w:tcPr>
            <w:tcW w:w="1700" w:type="dxa"/>
          </w:tcPr>
          <w:p w14:paraId="01A086E1"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Near-term, already partly demonstrated</w:t>
            </w:r>
          </w:p>
        </w:tc>
        <w:tc>
          <w:tcPr>
            <w:tcW w:w="2400" w:type="dxa"/>
          </w:tcPr>
          <w:p w14:paraId="06631B04"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Complements gas-to-power; useful hard-currency and import-substitution value even at modest volumes</w:t>
            </w:r>
          </w:p>
        </w:tc>
      </w:tr>
      <w:tr w:rsidR="001470A1" w:rsidRPr="001470A1" w14:paraId="2AB7D78C" w14:textId="77777777" w:rsidTr="00396DC0">
        <w:tc>
          <w:tcPr>
            <w:tcW w:w="1900" w:type="dxa"/>
          </w:tcPr>
          <w:p w14:paraId="3CE3ECEE"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Pipeline exports (regional)</w:t>
            </w:r>
          </w:p>
        </w:tc>
        <w:tc>
          <w:tcPr>
            <w:tcW w:w="1700" w:type="dxa"/>
          </w:tcPr>
          <w:p w14:paraId="0F0544B0"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Large, contiguous</w:t>
            </w:r>
          </w:p>
        </w:tc>
        <w:tc>
          <w:tcPr>
            <w:tcW w:w="1700" w:type="dxa"/>
          </w:tcPr>
          <w:p w14:paraId="5828C40A"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Very high</w:t>
            </w:r>
          </w:p>
        </w:tc>
        <w:tc>
          <w:tcPr>
            <w:tcW w:w="1700" w:type="dxa"/>
          </w:tcPr>
          <w:p w14:paraId="2EF5A500"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Long-term, conflict-</w:t>
            </w:r>
            <w:r w:rsidRPr="001470A1">
              <w:rPr>
                <w:rFonts w:ascii="Times New Roman" w:hAnsi="Times New Roman" w:cs="Times New Roman"/>
                <w:sz w:val="24"/>
                <w:szCs w:val="24"/>
              </w:rPr>
              <w:lastRenderedPageBreak/>
              <w:t>resolution-contingent</w:t>
            </w:r>
          </w:p>
        </w:tc>
        <w:tc>
          <w:tcPr>
            <w:tcW w:w="2400" w:type="dxa"/>
          </w:tcPr>
          <w:p w14:paraId="20C7C406"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lastRenderedPageBreak/>
              <w:t xml:space="preserve">No existing regional gas </w:t>
            </w:r>
            <w:r w:rsidRPr="001470A1">
              <w:rPr>
                <w:rFonts w:ascii="Times New Roman" w:hAnsi="Times New Roman" w:cs="Times New Roman"/>
                <w:sz w:val="24"/>
                <w:szCs w:val="24"/>
              </w:rPr>
              <w:lastRenderedPageBreak/>
              <w:t>pipeline corridor from Sudan; would require new cross-border infrastructure and a willing regional buyer (limited candidates)</w:t>
            </w:r>
          </w:p>
        </w:tc>
      </w:tr>
      <w:tr w:rsidR="001470A1" w:rsidRPr="001470A1" w14:paraId="5DD9B20A" w14:textId="77777777" w:rsidTr="00396DC0">
        <w:tc>
          <w:tcPr>
            <w:tcW w:w="1900" w:type="dxa"/>
          </w:tcPr>
          <w:p w14:paraId="69D4E6A1"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lastRenderedPageBreak/>
              <w:t>LNG (onshore)</w:t>
            </w:r>
          </w:p>
        </w:tc>
        <w:tc>
          <w:tcPr>
            <w:tcW w:w="1700" w:type="dxa"/>
          </w:tcPr>
          <w:p w14:paraId="27A0A759"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Large, well-appraised</w:t>
            </w:r>
          </w:p>
        </w:tc>
        <w:tc>
          <w:tcPr>
            <w:tcW w:w="1700" w:type="dxa"/>
          </w:tcPr>
          <w:p w14:paraId="5940DAA5"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Very high</w:t>
            </w:r>
          </w:p>
        </w:tc>
        <w:tc>
          <w:tcPr>
            <w:tcW w:w="1700" w:type="dxa"/>
          </w:tcPr>
          <w:p w14:paraId="2810D990"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Long-term (10+ years)</w:t>
            </w:r>
          </w:p>
        </w:tc>
        <w:tc>
          <w:tcPr>
            <w:tcW w:w="2400" w:type="dxa"/>
          </w:tcPr>
          <w:p w14:paraId="29773930"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Requires certified reserves far beyond anything currently proven; onshore plant assumes secure, accessible coastal land and stable operating environment</w:t>
            </w:r>
          </w:p>
        </w:tc>
      </w:tr>
      <w:tr w:rsidR="001470A1" w:rsidRPr="001470A1" w14:paraId="61CCE1D5" w14:textId="77777777" w:rsidTr="00396DC0">
        <w:tc>
          <w:tcPr>
            <w:tcW w:w="1900" w:type="dxa"/>
          </w:tcPr>
          <w:p w14:paraId="03900E0A"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FLNG</w:t>
            </w:r>
          </w:p>
        </w:tc>
        <w:tc>
          <w:tcPr>
            <w:tcW w:w="1700" w:type="dxa"/>
          </w:tcPr>
          <w:p w14:paraId="48775865"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Moderate-large</w:t>
            </w:r>
          </w:p>
        </w:tc>
        <w:tc>
          <w:tcPr>
            <w:tcW w:w="1700" w:type="dxa"/>
          </w:tcPr>
          <w:p w14:paraId="2586EE77"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High but declining (~$500-1,100/</w:t>
            </w:r>
            <w:proofErr w:type="spellStart"/>
            <w:r w:rsidRPr="001470A1">
              <w:rPr>
                <w:rFonts w:ascii="Times New Roman" w:hAnsi="Times New Roman" w:cs="Times New Roman"/>
                <w:sz w:val="24"/>
                <w:szCs w:val="24"/>
              </w:rPr>
              <w:t>tonne</w:t>
            </w:r>
            <w:proofErr w:type="spellEnd"/>
            <w:r w:rsidRPr="001470A1">
              <w:rPr>
                <w:rFonts w:ascii="Times New Roman" w:hAnsi="Times New Roman" w:cs="Times New Roman"/>
                <w:sz w:val="24"/>
                <w:szCs w:val="24"/>
              </w:rPr>
              <w:t xml:space="preserve"> per recent projects)</w:t>
            </w:r>
          </w:p>
        </w:tc>
        <w:tc>
          <w:tcPr>
            <w:tcW w:w="1700" w:type="dxa"/>
          </w:tcPr>
          <w:p w14:paraId="4477018E"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Long-term, discovery- and peace-contingent</w:t>
            </w:r>
          </w:p>
        </w:tc>
        <w:tc>
          <w:tcPr>
            <w:tcW w:w="2400" w:type="dxa"/>
          </w:tcPr>
          <w:p w14:paraId="24837283"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Technically the best fit for stranded, offshore, infrastructure-poor Sudan if a real discovery is made; avoids onshore land and pipeline exposure</w:t>
            </w:r>
          </w:p>
        </w:tc>
      </w:tr>
      <w:tr w:rsidR="001470A1" w:rsidRPr="001470A1" w14:paraId="7983A871" w14:textId="77777777" w:rsidTr="00396DC0">
        <w:tc>
          <w:tcPr>
            <w:tcW w:w="1900" w:type="dxa"/>
          </w:tcPr>
          <w:p w14:paraId="0C0084D8"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Regional gas supply (Egypt, Saudi Arabia via interconnection)</w:t>
            </w:r>
          </w:p>
        </w:tc>
        <w:tc>
          <w:tcPr>
            <w:tcW w:w="1700" w:type="dxa"/>
          </w:tcPr>
          <w:p w14:paraId="0AF50B7E"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Moderate-large</w:t>
            </w:r>
          </w:p>
        </w:tc>
        <w:tc>
          <w:tcPr>
            <w:tcW w:w="1700" w:type="dxa"/>
          </w:tcPr>
          <w:p w14:paraId="75C69D03"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High</w:t>
            </w:r>
          </w:p>
        </w:tc>
        <w:tc>
          <w:tcPr>
            <w:tcW w:w="1700" w:type="dxa"/>
          </w:tcPr>
          <w:p w14:paraId="5F827DCA"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Long-term, geopolitically complex</w:t>
            </w:r>
          </w:p>
        </w:tc>
        <w:tc>
          <w:tcPr>
            <w:tcW w:w="2400" w:type="dxa"/>
          </w:tcPr>
          <w:p w14:paraId="2C209868" w14:textId="77777777" w:rsidR="00804ECE" w:rsidRPr="001470A1" w:rsidRDefault="00000000">
            <w:pPr>
              <w:rPr>
                <w:rFonts w:ascii="Times New Roman" w:hAnsi="Times New Roman" w:cs="Times New Roman"/>
                <w:sz w:val="24"/>
                <w:szCs w:val="24"/>
              </w:rPr>
            </w:pPr>
            <w:r w:rsidRPr="001470A1">
              <w:rPr>
                <w:rFonts w:ascii="Times New Roman" w:hAnsi="Times New Roman" w:cs="Times New Roman"/>
                <w:sz w:val="24"/>
                <w:szCs w:val="24"/>
              </w:rPr>
              <w:t xml:space="preserve">Technically conceivable given proximity to Egyptian and Saudi grids, but constrained by the </w:t>
            </w:r>
            <w:proofErr w:type="spellStart"/>
            <w:r w:rsidRPr="001470A1">
              <w:rPr>
                <w:rFonts w:ascii="Times New Roman" w:hAnsi="Times New Roman" w:cs="Times New Roman"/>
                <w:sz w:val="24"/>
                <w:szCs w:val="24"/>
              </w:rPr>
              <w:t>Halayeb</w:t>
            </w:r>
            <w:proofErr w:type="spellEnd"/>
            <w:r w:rsidRPr="001470A1">
              <w:rPr>
                <w:rFonts w:ascii="Times New Roman" w:hAnsi="Times New Roman" w:cs="Times New Roman"/>
                <w:sz w:val="24"/>
                <w:szCs w:val="24"/>
              </w:rPr>
              <w:t xml:space="preserve"> dispute, Sudan-Egypt relations, and absence of any interconnection agreement</w:t>
            </w:r>
          </w:p>
        </w:tc>
      </w:tr>
    </w:tbl>
    <w:p w14:paraId="4AE1EF03" w14:textId="72396CF7" w:rsidR="00804ECE" w:rsidRPr="00396DC0" w:rsidRDefault="00000000">
      <w:pPr>
        <w:spacing w:before="60" w:after="240"/>
        <w:rPr>
          <w:rFonts w:ascii="Times New Roman" w:hAnsi="Times New Roman" w:cs="Times New Roman"/>
          <w:sz w:val="24"/>
          <w:szCs w:val="24"/>
        </w:rPr>
      </w:pPr>
      <w:r w:rsidRPr="00396DC0">
        <w:rPr>
          <w:rFonts w:ascii="Times New Roman" w:hAnsi="Times New Roman" w:cs="Times New Roman"/>
          <w:sz w:val="24"/>
          <w:szCs w:val="24"/>
        </w:rPr>
        <w:t xml:space="preserve">Source: Rystad Energy FLNG cost data; </w:t>
      </w:r>
      <w:proofErr w:type="spellStart"/>
      <w:r w:rsidRPr="00396DC0">
        <w:rPr>
          <w:rFonts w:ascii="Times New Roman" w:hAnsi="Times New Roman" w:cs="Times New Roman"/>
          <w:sz w:val="24"/>
          <w:szCs w:val="24"/>
        </w:rPr>
        <w:t>SolAbility</w:t>
      </w:r>
      <w:proofErr w:type="spellEnd"/>
      <w:r w:rsidRPr="00396DC0">
        <w:rPr>
          <w:rFonts w:ascii="Times New Roman" w:hAnsi="Times New Roman" w:cs="Times New Roman"/>
          <w:sz w:val="24"/>
          <w:szCs w:val="24"/>
        </w:rPr>
        <w:t xml:space="preserve"> LNG breakeven analysis; </w:t>
      </w:r>
      <w:proofErr w:type="spellStart"/>
      <w:r w:rsidRPr="00396DC0">
        <w:rPr>
          <w:rFonts w:ascii="Times New Roman" w:hAnsi="Times New Roman" w:cs="Times New Roman"/>
          <w:sz w:val="24"/>
          <w:szCs w:val="24"/>
        </w:rPr>
        <w:t>Sudapet</w:t>
      </w:r>
      <w:proofErr w:type="spellEnd"/>
      <w:r w:rsidRPr="00396DC0">
        <w:rPr>
          <w:rFonts w:ascii="Times New Roman" w:hAnsi="Times New Roman" w:cs="Times New Roman"/>
          <w:sz w:val="24"/>
          <w:szCs w:val="24"/>
        </w:rPr>
        <w:t>/Ministry gas-to-power project reporting. Table 5.</w:t>
      </w:r>
    </w:p>
    <w:p w14:paraId="589B1896" w14:textId="6BFDF5C1"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Global LNG market conditions add a further constraint that is independent of Sudan's own risk profile. Industry breakeven analysis published in early 2026 shows that African LNG projects structurally carry higher breakeven costs than Qatari or U.S. Gulf Coast supply, and that even established African projects (Mozambique LNG, Congo LNG) sit close to the margin of viability under stressed price scenarios, with an estimated market-wide breakeven cluster around US$5.50-</w:t>
      </w:r>
      <w:r w:rsidRPr="001470A1">
        <w:rPr>
          <w:rFonts w:ascii="Times New Roman" w:hAnsi="Times New Roman" w:cs="Times New Roman"/>
          <w:sz w:val="24"/>
          <w:szCs w:val="24"/>
        </w:rPr>
        <w:lastRenderedPageBreak/>
        <w:t>5.60 per MMBtu compared with Qatar's roughly US$3.80-3.90. A first-of-a-kind Sudanese LNG project carrying additional war-risk premium, unproven reservoir performance, and a wholly new logistics chain would need either an exceptionally large, high-deliverability discovery or buyer-side strategic subsidy (for example from a Gulf or Turkish sponsor pursuing energy-security rather than pure-return objectives) to be commercially competitive against better-established suppliers.</w:t>
      </w:r>
    </w:p>
    <w:p w14:paraId="591195F7" w14:textId="77777777" w:rsidR="00396DC0" w:rsidRPr="00396DC0" w:rsidRDefault="00396DC0">
      <w:pPr>
        <w:spacing w:after="110" w:line="260" w:lineRule="auto"/>
        <w:jc w:val="both"/>
        <w:rPr>
          <w:rFonts w:ascii="Times New Roman" w:hAnsi="Times New Roman" w:cs="Times New Roman"/>
          <w:b/>
          <w:bCs/>
          <w:sz w:val="24"/>
          <w:szCs w:val="24"/>
        </w:rPr>
      </w:pPr>
    </w:p>
    <w:p w14:paraId="39F65A95" w14:textId="12B30C82" w:rsidR="00396DC0" w:rsidRPr="00396DC0" w:rsidRDefault="00396DC0">
      <w:pPr>
        <w:spacing w:after="110" w:line="260" w:lineRule="auto"/>
        <w:jc w:val="both"/>
        <w:rPr>
          <w:rFonts w:ascii="Times New Roman" w:hAnsi="Times New Roman" w:cs="Times New Roman"/>
          <w:b/>
          <w:bCs/>
          <w:sz w:val="24"/>
          <w:szCs w:val="24"/>
        </w:rPr>
      </w:pPr>
      <w:r w:rsidRPr="00396DC0">
        <w:rPr>
          <w:rFonts w:ascii="Times New Roman" w:hAnsi="Times New Roman" w:cs="Times New Roman"/>
          <w:b/>
          <w:bCs/>
          <w:sz w:val="24"/>
          <w:szCs w:val="24"/>
        </w:rPr>
        <w:t>Competitive Position in Africa and the Red Sea</w:t>
      </w:r>
    </w:p>
    <w:p w14:paraId="2FD0CB75" w14:textId="52A0F892"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The most direct comparator is Egypt's own Red Sea acreage, immediately to the north and sharing the same basin. Egypt's first Red Sea licensing round in 2019 attracted Chevron, Shell and the UAE's Mubadala across three blocks with combined minimum commitments of about US$326 million, following a Schlumberger 2D seismic survey that had suggested a 70% chance of gas discoveries in the area genuine major-company interest grounded in reasonably encouraging pre-drill data. Nevertheless, by 2025 all three companies had relinquished their acreage after failing to make a discovery, redirecting capital to the Mediterranean instea</w:t>
      </w:r>
      <w:r w:rsidR="00396DC0">
        <w:rPr>
          <w:rFonts w:ascii="Times New Roman" w:hAnsi="Times New Roman" w:cs="Times New Roman"/>
          <w:sz w:val="24"/>
          <w:szCs w:val="24"/>
        </w:rPr>
        <w:t>d</w:t>
      </w:r>
      <w:r w:rsidRPr="001470A1">
        <w:rPr>
          <w:rFonts w:ascii="Times New Roman" w:hAnsi="Times New Roman" w:cs="Times New Roman"/>
          <w:sz w:val="24"/>
          <w:szCs w:val="24"/>
        </w:rPr>
        <w:t xml:space="preserve">. This outcome is directly instructive for Sudan: even in a stable, functioning state with better data, established logistics, and major-company technical capability, the northern Red Sea proved to be a genuine dry-hole risk, not merely a political-risk story. Undeterred, Egypt relaunched a four-block Red Sea round (RS-1 to RS-4) in November 2025, this time offering for the first </w:t>
      </w:r>
      <w:proofErr w:type="gramStart"/>
      <w:r w:rsidRPr="001470A1">
        <w:rPr>
          <w:rFonts w:ascii="Times New Roman" w:hAnsi="Times New Roman" w:cs="Times New Roman"/>
          <w:sz w:val="24"/>
          <w:szCs w:val="24"/>
        </w:rPr>
        <w:t>time</w:t>
      </w:r>
      <w:r w:rsidR="00396DC0">
        <w:rPr>
          <w:rFonts w:ascii="Times New Roman" w:hAnsi="Times New Roman" w:cs="Times New Roman"/>
          <w:sz w:val="24"/>
          <w:szCs w:val="24"/>
        </w:rPr>
        <w:t xml:space="preserve"> </w:t>
      </w:r>
      <w:r w:rsidRPr="001470A1">
        <w:rPr>
          <w:rFonts w:ascii="Times New Roman" w:hAnsi="Times New Roman" w:cs="Times New Roman"/>
          <w:sz w:val="24"/>
          <w:szCs w:val="24"/>
        </w:rPr>
        <w:t xml:space="preserve"> a</w:t>
      </w:r>
      <w:proofErr w:type="gramEnd"/>
      <w:r w:rsidRPr="001470A1">
        <w:rPr>
          <w:rFonts w:ascii="Times New Roman" w:hAnsi="Times New Roman" w:cs="Times New Roman"/>
          <w:sz w:val="24"/>
          <w:szCs w:val="24"/>
        </w:rPr>
        <w:t xml:space="preserve"> profit-based R-factor production-sharing model intended to be more competitive and flexible, with the bid deadline extended into mid-2026 amid what Egyptian officials </w:t>
      </w:r>
      <w:proofErr w:type="spellStart"/>
      <w:r w:rsidRPr="001470A1">
        <w:rPr>
          <w:rFonts w:ascii="Times New Roman" w:hAnsi="Times New Roman" w:cs="Times New Roman"/>
          <w:sz w:val="24"/>
          <w:szCs w:val="24"/>
        </w:rPr>
        <w:t>characterised</w:t>
      </w:r>
      <w:proofErr w:type="spellEnd"/>
      <w:r w:rsidRPr="001470A1">
        <w:rPr>
          <w:rFonts w:ascii="Times New Roman" w:hAnsi="Times New Roman" w:cs="Times New Roman"/>
          <w:sz w:val="24"/>
          <w:szCs w:val="24"/>
        </w:rPr>
        <w:t xml:space="preserve"> as strong investor interest, including engagement from Eni.</w:t>
      </w:r>
    </w:p>
    <w:p w14:paraId="781A1760" w14:textId="6DF04344"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The comparison is </w:t>
      </w:r>
      <w:proofErr w:type="spellStart"/>
      <w:r w:rsidRPr="001470A1">
        <w:rPr>
          <w:rFonts w:ascii="Times New Roman" w:hAnsi="Times New Roman" w:cs="Times New Roman"/>
          <w:sz w:val="24"/>
          <w:szCs w:val="24"/>
        </w:rPr>
        <w:t>unfavourable</w:t>
      </w:r>
      <w:proofErr w:type="spellEnd"/>
      <w:r w:rsidRPr="001470A1">
        <w:rPr>
          <w:rFonts w:ascii="Times New Roman" w:hAnsi="Times New Roman" w:cs="Times New Roman"/>
          <w:sz w:val="24"/>
          <w:szCs w:val="24"/>
        </w:rPr>
        <w:t xml:space="preserve"> to Sudan on almost every dimension except pure exploration upside. Egypt offers a functioning, sanctions-free state, continuously operating ports and airports, a modern digital licensing platform (</w:t>
      </w:r>
      <w:proofErr w:type="spellStart"/>
      <w:r w:rsidRPr="001470A1">
        <w:rPr>
          <w:rFonts w:ascii="Times New Roman" w:hAnsi="Times New Roman" w:cs="Times New Roman"/>
          <w:sz w:val="24"/>
          <w:szCs w:val="24"/>
        </w:rPr>
        <w:t>Ganope's</w:t>
      </w:r>
      <w:proofErr w:type="spellEnd"/>
      <w:r w:rsidRPr="001470A1">
        <w:rPr>
          <w:rFonts w:ascii="Times New Roman" w:hAnsi="Times New Roman" w:cs="Times New Roman"/>
          <w:sz w:val="24"/>
          <w:szCs w:val="24"/>
        </w:rPr>
        <w:t xml:space="preserve"> Egypt Upstream Gateway), improved and published fiscal terms, and existing regional gas demand and export infrastructure (including LNG trains at </w:t>
      </w:r>
      <w:proofErr w:type="spellStart"/>
      <w:r w:rsidRPr="001470A1">
        <w:rPr>
          <w:rFonts w:ascii="Times New Roman" w:hAnsi="Times New Roman" w:cs="Times New Roman"/>
          <w:sz w:val="24"/>
          <w:szCs w:val="24"/>
        </w:rPr>
        <w:t>Idku</w:t>
      </w:r>
      <w:proofErr w:type="spellEnd"/>
      <w:r w:rsidRPr="001470A1">
        <w:rPr>
          <w:rFonts w:ascii="Times New Roman" w:hAnsi="Times New Roman" w:cs="Times New Roman"/>
          <w:sz w:val="24"/>
          <w:szCs w:val="24"/>
        </w:rPr>
        <w:t xml:space="preserve"> and Damietta) that could absorb or export any new discovery relatively quickly. Sudan offers none of these currently. The only structural advantage Sudan can claim is that its acreage may be even less explored, and therefore statistically carries somewhat higher blue-sky (if entirely unquantified) upside per exploration dollar spent a </w:t>
      </w:r>
      <w:r w:rsidR="00396DC0" w:rsidRPr="001470A1">
        <w:rPr>
          <w:rFonts w:ascii="Times New Roman" w:hAnsi="Times New Roman" w:cs="Times New Roman"/>
          <w:sz w:val="24"/>
          <w:szCs w:val="24"/>
        </w:rPr>
        <w:t>case investor</w:t>
      </w:r>
      <w:r w:rsidRPr="001470A1">
        <w:rPr>
          <w:rFonts w:ascii="Times New Roman" w:hAnsi="Times New Roman" w:cs="Times New Roman"/>
          <w:sz w:val="24"/>
          <w:szCs w:val="24"/>
        </w:rPr>
        <w:t xml:space="preserve"> are unlikely to find compelling until the security and governance gap closes.</w:t>
      </w:r>
    </w:p>
    <w:p w14:paraId="5A4BD103" w14:textId="07F0F6A6" w:rsidR="00396DC0" w:rsidRDefault="00000000" w:rsidP="00396DC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Beyond Egypt, Sudan also competes for the same pool of frontier-market African gas capital as South Sudan (currently running its own investment-attraction push backed by the African Energy Chamber, albeit for oil rather than gas), Mozambique and Tanzania (established but capital-intensive LNG plays where TotalEnergies resumed construction on Mozambique LNG in January 2026 after a long security-driven suspension), the Republic of Congo (whose FLNG-based Congo LNG project reached roughly 3 million </w:t>
      </w:r>
      <w:proofErr w:type="spellStart"/>
      <w:r w:rsidRPr="001470A1">
        <w:rPr>
          <w:rFonts w:ascii="Times New Roman" w:hAnsi="Times New Roman" w:cs="Times New Roman"/>
          <w:sz w:val="24"/>
          <w:szCs w:val="24"/>
        </w:rPr>
        <w:t>tonnes</w:t>
      </w:r>
      <w:proofErr w:type="spellEnd"/>
      <w:r w:rsidRPr="001470A1">
        <w:rPr>
          <w:rFonts w:ascii="Times New Roman" w:hAnsi="Times New Roman" w:cs="Times New Roman"/>
          <w:sz w:val="24"/>
          <w:szCs w:val="24"/>
        </w:rPr>
        <w:t xml:space="preserve"> per annum of capacity by December 2025, demonstrating a faster, modular </w:t>
      </w:r>
      <w:proofErr w:type="spellStart"/>
      <w:r w:rsidRPr="001470A1">
        <w:rPr>
          <w:rFonts w:ascii="Times New Roman" w:hAnsi="Times New Roman" w:cs="Times New Roman"/>
          <w:sz w:val="24"/>
          <w:szCs w:val="24"/>
        </w:rPr>
        <w:t>commercialisation</w:t>
      </w:r>
      <w:proofErr w:type="spellEnd"/>
      <w:r w:rsidRPr="001470A1">
        <w:rPr>
          <w:rFonts w:ascii="Times New Roman" w:hAnsi="Times New Roman" w:cs="Times New Roman"/>
          <w:sz w:val="24"/>
          <w:szCs w:val="24"/>
        </w:rPr>
        <w:t xml:space="preserve"> model), and Nigeria (which launched a new licensing round from December 2025 under its Petroleum Industry Act framework). Against this field, capital allocators evaluating African frontier gas have multiple credible alternatives with functioning states, published fiscal terms, and in Mozambique and Congo's case actual production. </w:t>
      </w:r>
      <w:r w:rsidRPr="001470A1">
        <w:rPr>
          <w:rFonts w:ascii="Times New Roman" w:hAnsi="Times New Roman" w:cs="Times New Roman"/>
          <w:sz w:val="24"/>
          <w:szCs w:val="24"/>
        </w:rPr>
        <w:lastRenderedPageBreak/>
        <w:t>Sudan's Red Sea acreage is, on a relative basis, one of the least de-risked options on the continent today.</w:t>
      </w:r>
    </w:p>
    <w:p w14:paraId="380D9058" w14:textId="77777777" w:rsidR="00396DC0" w:rsidRPr="00396DC0" w:rsidRDefault="00396DC0" w:rsidP="00396DC0">
      <w:pPr>
        <w:spacing w:after="110" w:line="260" w:lineRule="auto"/>
        <w:jc w:val="both"/>
        <w:rPr>
          <w:rFonts w:ascii="Times New Roman" w:hAnsi="Times New Roman" w:cs="Times New Roman"/>
          <w:sz w:val="24"/>
          <w:szCs w:val="24"/>
        </w:rPr>
      </w:pPr>
    </w:p>
    <w:p w14:paraId="5B0290D0" w14:textId="7EC5DE60" w:rsidR="00396DC0" w:rsidRPr="00396DC0" w:rsidRDefault="00396DC0">
      <w:pPr>
        <w:spacing w:before="60" w:after="240"/>
        <w:rPr>
          <w:rFonts w:ascii="Times New Roman" w:hAnsi="Times New Roman" w:cs="Times New Roman"/>
          <w:sz w:val="24"/>
          <w:szCs w:val="24"/>
        </w:rPr>
      </w:pPr>
      <w:r w:rsidRPr="00396DC0">
        <w:rPr>
          <w:rFonts w:ascii="Times New Roman" w:hAnsi="Times New Roman" w:cs="Times New Roman"/>
          <w:sz w:val="24"/>
          <w:szCs w:val="24"/>
        </w:rPr>
        <w:t>Table 3- Sudan vs. Competing Frontier Gas Jurisdictions</w:t>
      </w:r>
    </w:p>
    <w:tbl>
      <w:tblPr>
        <w:tblStyle w:val="TableGrid"/>
        <w:tblW w:w="9800" w:type="dxa"/>
        <w:tblLook w:val="04A0" w:firstRow="1" w:lastRow="0" w:firstColumn="1" w:lastColumn="0" w:noHBand="0" w:noVBand="1"/>
      </w:tblPr>
      <w:tblGrid>
        <w:gridCol w:w="1483"/>
        <w:gridCol w:w="1976"/>
        <w:gridCol w:w="1390"/>
        <w:gridCol w:w="1696"/>
        <w:gridCol w:w="2629"/>
        <w:gridCol w:w="1483"/>
      </w:tblGrid>
      <w:tr w:rsidR="00396DC0" w:rsidRPr="001470A1" w14:paraId="04B67F40" w14:textId="77777777" w:rsidTr="00396DC0">
        <w:tc>
          <w:tcPr>
            <w:tcW w:w="1500" w:type="dxa"/>
          </w:tcPr>
          <w:p w14:paraId="16FC8070"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b/>
                <w:bCs/>
                <w:sz w:val="24"/>
                <w:szCs w:val="24"/>
              </w:rPr>
              <w:t>Jurisdiction</w:t>
            </w:r>
          </w:p>
        </w:tc>
        <w:tc>
          <w:tcPr>
            <w:tcW w:w="1600" w:type="dxa"/>
          </w:tcPr>
          <w:p w14:paraId="6FD80E4B"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b/>
                <w:bCs/>
                <w:sz w:val="24"/>
                <w:szCs w:val="24"/>
              </w:rPr>
              <w:t>Political/Security Risk</w:t>
            </w:r>
          </w:p>
        </w:tc>
        <w:tc>
          <w:tcPr>
            <w:tcW w:w="1600" w:type="dxa"/>
          </w:tcPr>
          <w:p w14:paraId="4EA949A2"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b/>
                <w:bCs/>
                <w:sz w:val="24"/>
                <w:szCs w:val="24"/>
              </w:rPr>
              <w:t>Fiscal Terms</w:t>
            </w:r>
          </w:p>
        </w:tc>
        <w:tc>
          <w:tcPr>
            <w:tcW w:w="1600" w:type="dxa"/>
          </w:tcPr>
          <w:p w14:paraId="4F7AA564"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b/>
                <w:bCs/>
                <w:sz w:val="24"/>
                <w:szCs w:val="24"/>
              </w:rPr>
              <w:t>Infrastructure</w:t>
            </w:r>
          </w:p>
        </w:tc>
        <w:tc>
          <w:tcPr>
            <w:tcW w:w="1600" w:type="dxa"/>
          </w:tcPr>
          <w:p w14:paraId="2F27C97E"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b/>
                <w:bCs/>
                <w:sz w:val="24"/>
                <w:szCs w:val="24"/>
              </w:rPr>
              <w:t>Discovery Track Record</w:t>
            </w:r>
          </w:p>
        </w:tc>
        <w:tc>
          <w:tcPr>
            <w:tcW w:w="1900" w:type="dxa"/>
          </w:tcPr>
          <w:p w14:paraId="2469AA49"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b/>
                <w:bCs/>
                <w:sz w:val="24"/>
                <w:szCs w:val="24"/>
              </w:rPr>
              <w:t>Investor Read</w:t>
            </w:r>
          </w:p>
        </w:tc>
      </w:tr>
      <w:tr w:rsidR="00396DC0" w:rsidRPr="001470A1" w14:paraId="2FCF2F9D" w14:textId="77777777" w:rsidTr="00396DC0">
        <w:tc>
          <w:tcPr>
            <w:tcW w:w="1500" w:type="dxa"/>
          </w:tcPr>
          <w:p w14:paraId="683C6DB9"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Sudan (Red Sea)</w:t>
            </w:r>
          </w:p>
        </w:tc>
        <w:tc>
          <w:tcPr>
            <w:tcW w:w="1600" w:type="dxa"/>
          </w:tcPr>
          <w:p w14:paraId="714A4A3D"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Severe — active civil war, coastal drone strikes, genocide determination against RSF</w:t>
            </w:r>
          </w:p>
        </w:tc>
        <w:tc>
          <w:tcPr>
            <w:tcW w:w="1600" w:type="dxa"/>
          </w:tcPr>
          <w:p w14:paraId="4A0F05EA"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Opaque, unpublished at block level; history of unilateral PSC non-renewal</w:t>
            </w:r>
          </w:p>
        </w:tc>
        <w:tc>
          <w:tcPr>
            <w:tcW w:w="1600" w:type="dxa"/>
          </w:tcPr>
          <w:p w14:paraId="3D62B04F"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 xml:space="preserve">Minimal — crude-only </w:t>
            </w:r>
            <w:proofErr w:type="spellStart"/>
            <w:r w:rsidRPr="001470A1">
              <w:rPr>
                <w:rFonts w:ascii="Times New Roman" w:hAnsi="Times New Roman" w:cs="Times New Roman"/>
                <w:sz w:val="24"/>
                <w:szCs w:val="24"/>
              </w:rPr>
              <w:t>Bashayer</w:t>
            </w:r>
            <w:proofErr w:type="spellEnd"/>
            <w:r w:rsidRPr="001470A1">
              <w:rPr>
                <w:rFonts w:ascii="Times New Roman" w:hAnsi="Times New Roman" w:cs="Times New Roman"/>
                <w:sz w:val="24"/>
                <w:szCs w:val="24"/>
              </w:rPr>
              <w:t xml:space="preserve"> terminal, no gas infrastructure, degraded grid</w:t>
            </w:r>
          </w:p>
        </w:tc>
        <w:tc>
          <w:tcPr>
            <w:tcW w:w="1600" w:type="dxa"/>
          </w:tcPr>
          <w:p w14:paraId="0E12996C"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Two 1970s gas-condensate shows, no certified discovery</w:t>
            </w:r>
          </w:p>
        </w:tc>
        <w:tc>
          <w:tcPr>
            <w:tcW w:w="1900" w:type="dxa"/>
          </w:tcPr>
          <w:p w14:paraId="7A948C16" w14:textId="77777777" w:rsidR="00396DC0" w:rsidRPr="001470A1" w:rsidRDefault="00396DC0" w:rsidP="00C33A97">
            <w:pPr>
              <w:rPr>
                <w:rFonts w:ascii="Times New Roman" w:hAnsi="Times New Roman" w:cs="Times New Roman"/>
                <w:sz w:val="24"/>
                <w:szCs w:val="24"/>
              </w:rPr>
            </w:pPr>
            <w:proofErr w:type="spellStart"/>
            <w:r w:rsidRPr="001470A1">
              <w:rPr>
                <w:rFonts w:ascii="Times New Roman" w:hAnsi="Times New Roman" w:cs="Times New Roman"/>
                <w:sz w:val="24"/>
                <w:szCs w:val="24"/>
              </w:rPr>
              <w:t>Uninvestable</w:t>
            </w:r>
            <w:proofErr w:type="spellEnd"/>
            <w:r w:rsidRPr="001470A1">
              <w:rPr>
                <w:rFonts w:ascii="Times New Roman" w:hAnsi="Times New Roman" w:cs="Times New Roman"/>
                <w:sz w:val="24"/>
                <w:szCs w:val="24"/>
              </w:rPr>
              <w:t xml:space="preserve"> for conventional IOCs pending conflict resolution</w:t>
            </w:r>
          </w:p>
        </w:tc>
      </w:tr>
      <w:tr w:rsidR="00396DC0" w:rsidRPr="001470A1" w14:paraId="4EDB9768" w14:textId="77777777" w:rsidTr="00396DC0">
        <w:tc>
          <w:tcPr>
            <w:tcW w:w="1500" w:type="dxa"/>
          </w:tcPr>
          <w:p w14:paraId="3A626B2F"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Egypt (Red Sea)</w:t>
            </w:r>
          </w:p>
        </w:tc>
        <w:tc>
          <w:tcPr>
            <w:tcW w:w="1600" w:type="dxa"/>
          </w:tcPr>
          <w:p w14:paraId="6CB6B90C"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 xml:space="preserve">Low-moderate — stable state, some friction with Sudan over </w:t>
            </w:r>
            <w:proofErr w:type="spellStart"/>
            <w:r w:rsidRPr="001470A1">
              <w:rPr>
                <w:rFonts w:ascii="Times New Roman" w:hAnsi="Times New Roman" w:cs="Times New Roman"/>
                <w:sz w:val="24"/>
                <w:szCs w:val="24"/>
              </w:rPr>
              <w:t>Halayeb</w:t>
            </w:r>
            <w:proofErr w:type="spellEnd"/>
          </w:p>
        </w:tc>
        <w:tc>
          <w:tcPr>
            <w:tcW w:w="1600" w:type="dxa"/>
          </w:tcPr>
          <w:p w14:paraId="38E5EC6F"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Improving — new R-factor PSC model from 2025-26 round</w:t>
            </w:r>
          </w:p>
        </w:tc>
        <w:tc>
          <w:tcPr>
            <w:tcW w:w="1600" w:type="dxa"/>
          </w:tcPr>
          <w:p w14:paraId="67AC2787"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Strong — functioning ports, digital licensing platform, existing LNG trains elsewhere in-country</w:t>
            </w:r>
          </w:p>
        </w:tc>
        <w:tc>
          <w:tcPr>
            <w:tcW w:w="1600" w:type="dxa"/>
          </w:tcPr>
          <w:p w14:paraId="527551A4"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Chevron/Shell/Mubadala drilled and relinquished (2019-2025) without discovery; re-tendered 2025-26</w:t>
            </w:r>
          </w:p>
        </w:tc>
        <w:tc>
          <w:tcPr>
            <w:tcW w:w="1900" w:type="dxa"/>
          </w:tcPr>
          <w:p w14:paraId="79C9D41F"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Preferred regional entry point despite dry-hole history; majors and Eni engaging in 2025-26 round</w:t>
            </w:r>
          </w:p>
        </w:tc>
      </w:tr>
      <w:tr w:rsidR="00396DC0" w:rsidRPr="001470A1" w14:paraId="32288329" w14:textId="77777777" w:rsidTr="00396DC0">
        <w:tc>
          <w:tcPr>
            <w:tcW w:w="1500" w:type="dxa"/>
          </w:tcPr>
          <w:p w14:paraId="594C4B38"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Mozambique (Rovuma)</w:t>
            </w:r>
          </w:p>
        </w:tc>
        <w:tc>
          <w:tcPr>
            <w:tcW w:w="1600" w:type="dxa"/>
          </w:tcPr>
          <w:p w14:paraId="5EEE8666"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Moderate — past insurgency risk in Cabo Delgado, improving</w:t>
            </w:r>
          </w:p>
        </w:tc>
        <w:tc>
          <w:tcPr>
            <w:tcW w:w="1600" w:type="dxa"/>
          </w:tcPr>
          <w:p w14:paraId="7FA6D5D6"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Established, bankable LNG project precedent</w:t>
            </w:r>
          </w:p>
        </w:tc>
        <w:tc>
          <w:tcPr>
            <w:tcW w:w="1600" w:type="dxa"/>
          </w:tcPr>
          <w:p w14:paraId="3E666A54"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Advanced — Coral South FLNG operating; Mozambique LNG construction resumed Jan 2026</w:t>
            </w:r>
          </w:p>
        </w:tc>
        <w:tc>
          <w:tcPr>
            <w:tcW w:w="1600" w:type="dxa"/>
          </w:tcPr>
          <w:p w14:paraId="7A09EE75"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Major proven gas discoveries; among Africa's largest LNG resource bases</w:t>
            </w:r>
          </w:p>
        </w:tc>
        <w:tc>
          <w:tcPr>
            <w:tcW w:w="1900" w:type="dxa"/>
          </w:tcPr>
          <w:p w14:paraId="6A0DE574"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Structurally attractive but capital-intensive; breakeven near global stress threshold</w:t>
            </w:r>
          </w:p>
        </w:tc>
      </w:tr>
      <w:tr w:rsidR="00396DC0" w:rsidRPr="001470A1" w14:paraId="6B82843C" w14:textId="77777777" w:rsidTr="00396DC0">
        <w:tc>
          <w:tcPr>
            <w:tcW w:w="1500" w:type="dxa"/>
          </w:tcPr>
          <w:p w14:paraId="573C8493"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Republic of Congo</w:t>
            </w:r>
          </w:p>
        </w:tc>
        <w:tc>
          <w:tcPr>
            <w:tcW w:w="1600" w:type="dxa"/>
          </w:tcPr>
          <w:p w14:paraId="47B6DC96"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Low-moderate</w:t>
            </w:r>
          </w:p>
        </w:tc>
        <w:tc>
          <w:tcPr>
            <w:tcW w:w="1600" w:type="dxa"/>
          </w:tcPr>
          <w:p w14:paraId="4D393085"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Established PSC regime</w:t>
            </w:r>
          </w:p>
        </w:tc>
        <w:tc>
          <w:tcPr>
            <w:tcW w:w="1600" w:type="dxa"/>
          </w:tcPr>
          <w:p w14:paraId="260749D7"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Rapidly scaling — FLNG-based, ~3 Mtpa by end-2025</w:t>
            </w:r>
          </w:p>
        </w:tc>
        <w:tc>
          <w:tcPr>
            <w:tcW w:w="1600" w:type="dxa"/>
          </w:tcPr>
          <w:p w14:paraId="00A889B0"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 xml:space="preserve">Producing; demonstrated fast, modular </w:t>
            </w:r>
            <w:proofErr w:type="spellStart"/>
            <w:r w:rsidRPr="001470A1">
              <w:rPr>
                <w:rFonts w:ascii="Times New Roman" w:hAnsi="Times New Roman" w:cs="Times New Roman"/>
                <w:sz w:val="24"/>
                <w:szCs w:val="24"/>
              </w:rPr>
              <w:t>commercialisation</w:t>
            </w:r>
            <w:proofErr w:type="spellEnd"/>
          </w:p>
        </w:tc>
        <w:tc>
          <w:tcPr>
            <w:tcW w:w="1900" w:type="dxa"/>
          </w:tcPr>
          <w:p w14:paraId="5CB6CA7A"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Emerging as a lower-cost, faster-to-market African LNG model</w:t>
            </w:r>
          </w:p>
        </w:tc>
      </w:tr>
      <w:tr w:rsidR="00396DC0" w:rsidRPr="001470A1" w14:paraId="78FCD0BA" w14:textId="77777777" w:rsidTr="00396DC0">
        <w:tc>
          <w:tcPr>
            <w:tcW w:w="1500" w:type="dxa"/>
          </w:tcPr>
          <w:p w14:paraId="0917D5E8"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South Sudan (broader basin)</w:t>
            </w:r>
          </w:p>
        </w:tc>
        <w:tc>
          <w:tcPr>
            <w:tcW w:w="1600" w:type="dxa"/>
          </w:tcPr>
          <w:p w14:paraId="7275CC2B"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High — landlocked, dependent on Sudan transit, internal fragility</w:t>
            </w:r>
          </w:p>
        </w:tc>
        <w:tc>
          <w:tcPr>
            <w:tcW w:w="1600" w:type="dxa"/>
          </w:tcPr>
          <w:p w14:paraId="2C2671E0"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Reform-in-progress with AEC support</w:t>
            </w:r>
          </w:p>
        </w:tc>
        <w:tc>
          <w:tcPr>
            <w:tcW w:w="1600" w:type="dxa"/>
          </w:tcPr>
          <w:p w14:paraId="59EB79B6"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Weak — reliant entirely on Sudan's pipeline/Port Sudan corridor</w:t>
            </w:r>
          </w:p>
        </w:tc>
        <w:tc>
          <w:tcPr>
            <w:tcW w:w="1600" w:type="dxa"/>
          </w:tcPr>
          <w:p w14:paraId="39A92511"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 xml:space="preserve">Established oil producer (3.5bn </w:t>
            </w:r>
            <w:proofErr w:type="spellStart"/>
            <w:r w:rsidRPr="001470A1">
              <w:rPr>
                <w:rFonts w:ascii="Times New Roman" w:hAnsi="Times New Roman" w:cs="Times New Roman"/>
                <w:sz w:val="24"/>
                <w:szCs w:val="24"/>
              </w:rPr>
              <w:t>bbl</w:t>
            </w:r>
            <w:proofErr w:type="spellEnd"/>
            <w:r w:rsidRPr="001470A1">
              <w:rPr>
                <w:rFonts w:ascii="Times New Roman" w:hAnsi="Times New Roman" w:cs="Times New Roman"/>
                <w:sz w:val="24"/>
                <w:szCs w:val="24"/>
              </w:rPr>
              <w:t xml:space="preserve"> reserves); limited offshore/gas focus</w:t>
            </w:r>
          </w:p>
        </w:tc>
        <w:tc>
          <w:tcPr>
            <w:tcW w:w="1900" w:type="dxa"/>
          </w:tcPr>
          <w:p w14:paraId="28FFD0DF"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 xml:space="preserve">Investment push underway but structurally </w:t>
            </w:r>
            <w:r w:rsidRPr="001470A1">
              <w:rPr>
                <w:rFonts w:ascii="Times New Roman" w:hAnsi="Times New Roman" w:cs="Times New Roman"/>
                <w:sz w:val="24"/>
                <w:szCs w:val="24"/>
              </w:rPr>
              <w:lastRenderedPageBreak/>
              <w:t>tied to Sudan's own stability</w:t>
            </w:r>
          </w:p>
        </w:tc>
      </w:tr>
      <w:tr w:rsidR="00396DC0" w:rsidRPr="001470A1" w14:paraId="4B65056D" w14:textId="77777777" w:rsidTr="00396DC0">
        <w:tc>
          <w:tcPr>
            <w:tcW w:w="1500" w:type="dxa"/>
          </w:tcPr>
          <w:p w14:paraId="15E067FC"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lastRenderedPageBreak/>
              <w:t>Nigeria</w:t>
            </w:r>
          </w:p>
        </w:tc>
        <w:tc>
          <w:tcPr>
            <w:tcW w:w="1600" w:type="dxa"/>
          </w:tcPr>
          <w:p w14:paraId="5D01DE20"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Moderate — security incidents, but mature institutions</w:t>
            </w:r>
          </w:p>
        </w:tc>
        <w:tc>
          <w:tcPr>
            <w:tcW w:w="1600" w:type="dxa"/>
          </w:tcPr>
          <w:p w14:paraId="2BB35894"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Codified under Petroleum Industry Act; new 2025-26 licensing round</w:t>
            </w:r>
          </w:p>
        </w:tc>
        <w:tc>
          <w:tcPr>
            <w:tcW w:w="1600" w:type="dxa"/>
          </w:tcPr>
          <w:p w14:paraId="1A59EF46"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Extensive — established LNG (NLNG) and pipeline network</w:t>
            </w:r>
          </w:p>
        </w:tc>
        <w:tc>
          <w:tcPr>
            <w:tcW w:w="1600" w:type="dxa"/>
          </w:tcPr>
          <w:p w14:paraId="073D0B2D"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Long, proven production history</w:t>
            </w:r>
          </w:p>
        </w:tc>
        <w:tc>
          <w:tcPr>
            <w:tcW w:w="1900" w:type="dxa"/>
          </w:tcPr>
          <w:p w14:paraId="4BE28068" w14:textId="77777777" w:rsidR="00396DC0" w:rsidRPr="001470A1" w:rsidRDefault="00396DC0" w:rsidP="00C33A97">
            <w:pPr>
              <w:rPr>
                <w:rFonts w:ascii="Times New Roman" w:hAnsi="Times New Roman" w:cs="Times New Roman"/>
                <w:sz w:val="24"/>
                <w:szCs w:val="24"/>
              </w:rPr>
            </w:pPr>
            <w:r w:rsidRPr="001470A1">
              <w:rPr>
                <w:rFonts w:ascii="Times New Roman" w:hAnsi="Times New Roman" w:cs="Times New Roman"/>
                <w:sz w:val="24"/>
                <w:szCs w:val="24"/>
              </w:rPr>
              <w:t>Mature, liquid market; competes for the same generalist frontier-Africa capital pool</w:t>
            </w:r>
          </w:p>
        </w:tc>
      </w:tr>
    </w:tbl>
    <w:p w14:paraId="68DE8EA9" w14:textId="4E86DB23" w:rsidR="00804ECE" w:rsidRPr="00396DC0" w:rsidRDefault="00000000">
      <w:pPr>
        <w:spacing w:before="60" w:after="240"/>
        <w:rPr>
          <w:rFonts w:ascii="Times New Roman" w:hAnsi="Times New Roman" w:cs="Times New Roman"/>
          <w:sz w:val="24"/>
          <w:szCs w:val="24"/>
        </w:rPr>
      </w:pPr>
      <w:r w:rsidRPr="00396DC0">
        <w:rPr>
          <w:rFonts w:ascii="Times New Roman" w:hAnsi="Times New Roman" w:cs="Times New Roman"/>
          <w:sz w:val="24"/>
          <w:szCs w:val="24"/>
        </w:rPr>
        <w:t>Source: Synthesis of offshore-technology.com, S&amp;P Global, MEES, Egypt Oil &amp; Ga</w:t>
      </w:r>
      <w:r w:rsidR="00396DC0" w:rsidRPr="00396DC0">
        <w:rPr>
          <w:rFonts w:ascii="Times New Roman" w:hAnsi="Times New Roman" w:cs="Times New Roman"/>
          <w:sz w:val="24"/>
          <w:szCs w:val="24"/>
        </w:rPr>
        <w:t>s</w:t>
      </w:r>
      <w:r w:rsidRPr="00396DC0">
        <w:rPr>
          <w:rFonts w:ascii="Times New Roman" w:hAnsi="Times New Roman" w:cs="Times New Roman"/>
          <w:sz w:val="24"/>
          <w:szCs w:val="24"/>
        </w:rPr>
        <w:t>, energiesmedia.com, African Energy Chamber, Rystad/</w:t>
      </w:r>
      <w:proofErr w:type="spellStart"/>
      <w:r w:rsidRPr="00396DC0">
        <w:rPr>
          <w:rFonts w:ascii="Times New Roman" w:hAnsi="Times New Roman" w:cs="Times New Roman"/>
          <w:sz w:val="24"/>
          <w:szCs w:val="24"/>
        </w:rPr>
        <w:t>SolAbility</w:t>
      </w:r>
      <w:proofErr w:type="spellEnd"/>
      <w:r w:rsidRPr="00396DC0">
        <w:rPr>
          <w:rFonts w:ascii="Times New Roman" w:hAnsi="Times New Roman" w:cs="Times New Roman"/>
          <w:sz w:val="24"/>
          <w:szCs w:val="24"/>
        </w:rPr>
        <w:t xml:space="preserve"> LNG data, Pan African Visions, AllAfrica/Nigeria NUPRC reporting.</w:t>
      </w:r>
    </w:p>
    <w:p w14:paraId="6EDEFDB6" w14:textId="77777777" w:rsidR="005367F5" w:rsidRDefault="005367F5">
      <w:pPr>
        <w:spacing w:after="110" w:line="260" w:lineRule="auto"/>
        <w:jc w:val="both"/>
        <w:rPr>
          <w:rFonts w:ascii="Times New Roman" w:hAnsi="Times New Roman" w:cs="Times New Roman"/>
          <w:sz w:val="24"/>
          <w:szCs w:val="24"/>
        </w:rPr>
      </w:pPr>
    </w:p>
    <w:p w14:paraId="61DFC6D9" w14:textId="5153D58B" w:rsidR="005367F5" w:rsidRPr="005367F5" w:rsidRDefault="005367F5">
      <w:pPr>
        <w:spacing w:after="110" w:line="260" w:lineRule="auto"/>
        <w:jc w:val="both"/>
        <w:rPr>
          <w:rFonts w:ascii="Times New Roman" w:hAnsi="Times New Roman" w:cs="Times New Roman"/>
          <w:b/>
          <w:bCs/>
          <w:sz w:val="24"/>
          <w:szCs w:val="24"/>
        </w:rPr>
      </w:pPr>
      <w:r w:rsidRPr="005367F5">
        <w:rPr>
          <w:rFonts w:ascii="Times New Roman" w:hAnsi="Times New Roman" w:cs="Times New Roman"/>
          <w:b/>
          <w:bCs/>
          <w:sz w:val="24"/>
          <w:szCs w:val="24"/>
        </w:rPr>
        <w:t xml:space="preserve">Investor Landscape </w:t>
      </w:r>
    </w:p>
    <w:p w14:paraId="3BB3F545" w14:textId="0012C010"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The historical investor base in Sudanese Red Sea and broader hydrocarbon acreage is dominated by Asian national oil companies and Malaysian/Chinese state capital. CNPC's role has been foundational since the 1990s across Sudan's onshore GNPOC consortium and, more recently, Block 13 and Block 15 in the Red Sea, but its 2025 force majeure withdrawal from the entire Sudanese energy sector marks a genuine strategic rupture, not a routine portfolio adjustment</w:t>
      </w:r>
      <w:r w:rsidR="005367F5">
        <w:rPr>
          <w:rFonts w:ascii="Times New Roman" w:hAnsi="Times New Roman" w:cs="Times New Roman"/>
          <w:sz w:val="24"/>
          <w:szCs w:val="24"/>
        </w:rPr>
        <w:t xml:space="preserve">. </w:t>
      </w:r>
      <w:r w:rsidRPr="001470A1">
        <w:rPr>
          <w:rFonts w:ascii="Times New Roman" w:hAnsi="Times New Roman" w:cs="Times New Roman"/>
          <w:sz w:val="24"/>
          <w:szCs w:val="24"/>
        </w:rPr>
        <w:t xml:space="preserve">PETRONAS has an even longer history in Sudan, dating to 1997 onshore activity and extending to its role as operator of Block 15; however, PETRONAS's parallel experience in South </w:t>
      </w:r>
      <w:r w:rsidR="009E154E" w:rsidRPr="001470A1">
        <w:rPr>
          <w:rFonts w:ascii="Times New Roman" w:hAnsi="Times New Roman" w:cs="Times New Roman"/>
          <w:sz w:val="24"/>
          <w:szCs w:val="24"/>
        </w:rPr>
        <w:t>Sudan where</w:t>
      </w:r>
      <w:r w:rsidRPr="001470A1">
        <w:rPr>
          <w:rFonts w:ascii="Times New Roman" w:hAnsi="Times New Roman" w:cs="Times New Roman"/>
          <w:sz w:val="24"/>
          <w:szCs w:val="24"/>
        </w:rPr>
        <w:t xml:space="preserve"> it withdrew entirely in August 2024 after a $1-billion-plus arbitration dispute and de facto </w:t>
      </w:r>
      <w:r w:rsidR="009E154E" w:rsidRPr="001470A1">
        <w:rPr>
          <w:rFonts w:ascii="Times New Roman" w:hAnsi="Times New Roman" w:cs="Times New Roman"/>
          <w:sz w:val="24"/>
          <w:szCs w:val="24"/>
        </w:rPr>
        <w:t>nationalization</w:t>
      </w:r>
      <w:r w:rsidRPr="001470A1">
        <w:rPr>
          <w:rFonts w:ascii="Times New Roman" w:hAnsi="Times New Roman" w:cs="Times New Roman"/>
          <w:sz w:val="24"/>
          <w:szCs w:val="24"/>
        </w:rPr>
        <w:t xml:space="preserve"> of its </w:t>
      </w:r>
      <w:r w:rsidR="009E154E" w:rsidRPr="001470A1">
        <w:rPr>
          <w:rFonts w:ascii="Times New Roman" w:hAnsi="Times New Roman" w:cs="Times New Roman"/>
          <w:sz w:val="24"/>
          <w:szCs w:val="24"/>
        </w:rPr>
        <w:t>shares is</w:t>
      </w:r>
      <w:r w:rsidRPr="001470A1">
        <w:rPr>
          <w:rFonts w:ascii="Times New Roman" w:hAnsi="Times New Roman" w:cs="Times New Roman"/>
          <w:sz w:val="24"/>
          <w:szCs w:val="24"/>
        </w:rPr>
        <w:t xml:space="preserve"> a directly relevant cautionary precedent for how PETRONAS may now weigh continued exposure to a fragile, contract-uncertain Sudanese state. India's ONGC Videsh remains a historical but currently estranged partner given the unresolved Block 2B dispute and outstanding dues.</w:t>
      </w:r>
    </w:p>
    <w:p w14:paraId="01D52672" w14:textId="37CC9359"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Turkey has emerged since mid-2026 as the most active and best-documented candidate to fill the vacuum left by CNPC. Sudan's Prime Minister led an economic delegation to Ankara that revived the two countries' Joint Economic Committee and produced a package of reconstruction and investment agreements, and Sudan's Energy Minister has since been reported actively courting Turkish energy companies specifically to invest in the oil and gas sector. This is consistent with Turkey's broader pattern of state-linked energy and infrastructure engagement across fragile African states</w:t>
      </w:r>
      <w:r w:rsidR="009E154E">
        <w:rPr>
          <w:rFonts w:ascii="Times New Roman" w:hAnsi="Times New Roman" w:cs="Times New Roman"/>
          <w:sz w:val="24"/>
          <w:szCs w:val="24"/>
        </w:rPr>
        <w:t xml:space="preserve"> </w:t>
      </w:r>
      <w:r w:rsidRPr="001470A1">
        <w:rPr>
          <w:rFonts w:ascii="Times New Roman" w:hAnsi="Times New Roman" w:cs="Times New Roman"/>
          <w:sz w:val="24"/>
          <w:szCs w:val="24"/>
        </w:rPr>
        <w:t>including a comparable hydrocarbon-exploration and naval-security arrangement in Somalia</w:t>
      </w:r>
      <w:r w:rsidR="009E154E">
        <w:rPr>
          <w:rFonts w:ascii="Times New Roman" w:hAnsi="Times New Roman" w:cs="Times New Roman"/>
          <w:sz w:val="24"/>
          <w:szCs w:val="24"/>
        </w:rPr>
        <w:t xml:space="preserve"> </w:t>
      </w:r>
      <w:r w:rsidRPr="001470A1">
        <w:rPr>
          <w:rFonts w:ascii="Times New Roman" w:hAnsi="Times New Roman" w:cs="Times New Roman"/>
          <w:sz w:val="24"/>
          <w:szCs w:val="24"/>
        </w:rPr>
        <w:t>where Ankara has positioned itself as willing to accept political and security risk that Western IOCs will not, in exchange for long-term strategic influence and infrastructure access. Turkey's motivation for Sudan appears to be geopolitical and reconstruction-oriented at least as much as commercial, which is precisely the profile of investor most likely to move first into Red Sea gas ahead of a durable peace.</w:t>
      </w:r>
    </w:p>
    <w:p w14:paraId="693096BD" w14:textId="2D1D9A48"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lastRenderedPageBreak/>
        <w:t xml:space="preserve">Gulf capital is more ambiguous. The UAE, historically an active regional energy investor, is currently estranged from Sudan's SAF-led government over allegations of arming the RSF, reinforced by U.S. sanctions on UAE-based RSF-linked entities and the UAE's own August 2025 suspension of flights and maritime traffic to Port Sudan making the UAE an unlikely near-term Red Sea investor under the current government, whatever its commercial interest in the basin. Saudi Arabia, by contrast, sits within the U.S.-led Quad alongside Egypt attempting to broker a ceasefire, and Sudan's Prime Minister has separately engaged Jeddah's Chamber of Commerce on wider investment; Saudi capital likely </w:t>
      </w:r>
      <w:proofErr w:type="spellStart"/>
      <w:r w:rsidRPr="001470A1">
        <w:rPr>
          <w:rFonts w:ascii="Times New Roman" w:hAnsi="Times New Roman" w:cs="Times New Roman"/>
          <w:sz w:val="24"/>
          <w:szCs w:val="24"/>
        </w:rPr>
        <w:t>channelled</w:t>
      </w:r>
      <w:proofErr w:type="spellEnd"/>
      <w:r w:rsidRPr="001470A1">
        <w:rPr>
          <w:rFonts w:ascii="Times New Roman" w:hAnsi="Times New Roman" w:cs="Times New Roman"/>
          <w:sz w:val="24"/>
          <w:szCs w:val="24"/>
        </w:rPr>
        <w:t xml:space="preserve"> through Aramco-adjacent or sovereign-wealth vehicles rather than a direct upstream commitment is a more plausible medium-term entrant than the UAE, though no concrete Red Sea gas engagement has been identified in public sources to date. Development finance institutions (World Bank, African Development Bank, Islamic Development Bank) are not credible near-term upstream investors given their governance and safeguard requirements, but could plausibly support associated infrastructure grid rehabilitation, port reconstruction that indirectly enables future gas </w:t>
      </w:r>
      <w:r w:rsidR="009E154E" w:rsidRPr="001470A1">
        <w:rPr>
          <w:rFonts w:ascii="Times New Roman" w:hAnsi="Times New Roman" w:cs="Times New Roman"/>
          <w:sz w:val="24"/>
          <w:szCs w:val="24"/>
        </w:rPr>
        <w:t>monetization</w:t>
      </w:r>
      <w:r w:rsidRPr="001470A1">
        <w:rPr>
          <w:rFonts w:ascii="Times New Roman" w:hAnsi="Times New Roman" w:cs="Times New Roman"/>
          <w:sz w:val="24"/>
          <w:szCs w:val="24"/>
        </w:rPr>
        <w:t xml:space="preserve"> once conditions allow.</w:t>
      </w:r>
    </w:p>
    <w:p w14:paraId="2110B324" w14:textId="77777777" w:rsidR="009E154E" w:rsidRDefault="009E154E">
      <w:pPr>
        <w:spacing w:after="110" w:line="260" w:lineRule="auto"/>
        <w:jc w:val="both"/>
        <w:rPr>
          <w:rFonts w:ascii="Times New Roman" w:hAnsi="Times New Roman" w:cs="Times New Roman"/>
          <w:sz w:val="24"/>
          <w:szCs w:val="24"/>
        </w:rPr>
      </w:pPr>
    </w:p>
    <w:p w14:paraId="7868922B" w14:textId="46071955" w:rsidR="009E154E" w:rsidRPr="009E154E" w:rsidRDefault="009E154E">
      <w:pPr>
        <w:spacing w:after="110" w:line="260" w:lineRule="auto"/>
        <w:jc w:val="both"/>
        <w:rPr>
          <w:rFonts w:ascii="Times New Roman" w:hAnsi="Times New Roman" w:cs="Times New Roman"/>
          <w:b/>
          <w:bCs/>
          <w:sz w:val="24"/>
          <w:szCs w:val="24"/>
        </w:rPr>
      </w:pPr>
      <w:r w:rsidRPr="009E154E">
        <w:rPr>
          <w:rFonts w:ascii="Times New Roman" w:hAnsi="Times New Roman" w:cs="Times New Roman"/>
          <w:b/>
          <w:bCs/>
          <w:sz w:val="24"/>
          <w:szCs w:val="24"/>
        </w:rPr>
        <w:t>The Post-Conflict Investment Window</w:t>
      </w:r>
    </w:p>
    <w:p w14:paraId="15F78529" w14:textId="7333C1D0"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Sudan's government has articulated a reconstruction-linked ambition to reopen and expand petroleum investment, explicitly naming the Red Sea Blocks 13 and 15 alongside onshore Block 8 as priority areas, and has begun a small gas-to-power and LPG project framed as the 'beginning' of a wider gas investment </w:t>
      </w:r>
      <w:proofErr w:type="spellStart"/>
      <w:r w:rsidRPr="001470A1">
        <w:rPr>
          <w:rFonts w:ascii="Times New Roman" w:hAnsi="Times New Roman" w:cs="Times New Roman"/>
          <w:sz w:val="24"/>
          <w:szCs w:val="24"/>
        </w:rPr>
        <w:t>programme</w:t>
      </w:r>
      <w:proofErr w:type="spellEnd"/>
      <w:r w:rsidRPr="001470A1">
        <w:rPr>
          <w:rFonts w:ascii="Times New Roman" w:hAnsi="Times New Roman" w:cs="Times New Roman"/>
          <w:sz w:val="24"/>
          <w:szCs w:val="24"/>
        </w:rPr>
        <w:t xml:space="preserve">. Commercial market-research providers describe Sudan's Ministry of Energy and Mining as having 'streamlined' licensing frameworks and </w:t>
      </w:r>
      <w:r w:rsidR="009E154E" w:rsidRPr="001470A1">
        <w:rPr>
          <w:rFonts w:ascii="Times New Roman" w:hAnsi="Times New Roman" w:cs="Times New Roman"/>
          <w:sz w:val="24"/>
          <w:szCs w:val="24"/>
        </w:rPr>
        <w:t>prioritized</w:t>
      </w:r>
      <w:r w:rsidRPr="001470A1">
        <w:rPr>
          <w:rFonts w:ascii="Times New Roman" w:hAnsi="Times New Roman" w:cs="Times New Roman"/>
          <w:sz w:val="24"/>
          <w:szCs w:val="24"/>
        </w:rPr>
        <w:t xml:space="preserve"> Red Sea corridor infrastructure even amid the war, and project the country's overall oil and gas market growing from roughly US$3.8 billion in 2026 to US$6.53 billion by 2035. These projections should be treated cautiously: they are generated by industry data vendors using standard forecasting methodologies that do not appear to fully price in the risk of continued or renewed conflict, and they should not be read as a market judgement that Sudan is currently investable</w:t>
      </w:r>
      <w:r w:rsidR="009E154E">
        <w:rPr>
          <w:rFonts w:ascii="Times New Roman" w:hAnsi="Times New Roman" w:cs="Times New Roman"/>
          <w:sz w:val="24"/>
          <w:szCs w:val="24"/>
        </w:rPr>
        <w:t xml:space="preserve"> </w:t>
      </w:r>
      <w:r w:rsidRPr="001470A1">
        <w:rPr>
          <w:rFonts w:ascii="Times New Roman" w:hAnsi="Times New Roman" w:cs="Times New Roman"/>
          <w:sz w:val="24"/>
          <w:szCs w:val="24"/>
        </w:rPr>
        <w:t xml:space="preserve">rather as a baseline assuming eventual </w:t>
      </w:r>
      <w:r w:rsidR="009E154E" w:rsidRPr="001470A1">
        <w:rPr>
          <w:rFonts w:ascii="Times New Roman" w:hAnsi="Times New Roman" w:cs="Times New Roman"/>
          <w:sz w:val="24"/>
          <w:szCs w:val="24"/>
        </w:rPr>
        <w:t>normalization</w:t>
      </w:r>
      <w:r w:rsidRPr="001470A1">
        <w:rPr>
          <w:rFonts w:ascii="Times New Roman" w:hAnsi="Times New Roman" w:cs="Times New Roman"/>
          <w:sz w:val="24"/>
          <w:szCs w:val="24"/>
        </w:rPr>
        <w:t>.</w:t>
      </w:r>
    </w:p>
    <w:p w14:paraId="53BC2B18" w14:textId="142F1BA7"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The more credible signal of an emerging post-conflict opening is diplomatic rather than commercial: Sudan's active courtship of Turkish energy investment since mid-2026, explicitly framed around filling the gap left by CNPC's withdrawal, indicates the government is already positioning for a post-CNPC investment landscape even while the war continues. This suggests Sudan's government views reconstruction-era investment attraction as beginning now, diplomatically, even though actual capital deployment into the Red Sea will almost certainly have to wait for a verifiable improvement in security around Port Sudan specifically.</w:t>
      </w:r>
    </w:p>
    <w:p w14:paraId="74CE1035" w14:textId="7D07FB7B"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Global gas market conditions are a secondary, more modest tailwind. Rising global appetite for gas supply diversification, and the broader maturation and cost reduction of FLNG technology (making stranded, infrastructure-poor offshore gas more commercially approachable than a decade ago), both work in Sudan's </w:t>
      </w:r>
      <w:proofErr w:type="spellStart"/>
      <w:r w:rsidRPr="001470A1">
        <w:rPr>
          <w:rFonts w:ascii="Times New Roman" w:hAnsi="Times New Roman" w:cs="Times New Roman"/>
          <w:sz w:val="24"/>
          <w:szCs w:val="24"/>
        </w:rPr>
        <w:t>favour</w:t>
      </w:r>
      <w:proofErr w:type="spellEnd"/>
      <w:r w:rsidRPr="001470A1">
        <w:rPr>
          <w:rFonts w:ascii="Times New Roman" w:hAnsi="Times New Roman" w:cs="Times New Roman"/>
          <w:sz w:val="24"/>
          <w:szCs w:val="24"/>
        </w:rPr>
        <w:t xml:space="preserve"> in principle. However, this is offset by the finding noted in Section 10 that African LNG supply generally carries a higher breakeven than Qatari or U.S. competition, meaning Sudan would still need either an unusually large discovery or a buyer willing </w:t>
      </w:r>
      <w:r w:rsidRPr="001470A1">
        <w:rPr>
          <w:rFonts w:ascii="Times New Roman" w:hAnsi="Times New Roman" w:cs="Times New Roman"/>
          <w:sz w:val="24"/>
          <w:szCs w:val="24"/>
        </w:rPr>
        <w:lastRenderedPageBreak/>
        <w:t xml:space="preserve">to pay a strategic premium to make LNG export commercially compelling even after security conditions </w:t>
      </w:r>
      <w:r w:rsidR="009E154E" w:rsidRPr="001470A1">
        <w:rPr>
          <w:rFonts w:ascii="Times New Roman" w:hAnsi="Times New Roman" w:cs="Times New Roman"/>
          <w:sz w:val="24"/>
          <w:szCs w:val="24"/>
        </w:rPr>
        <w:t>normalize</w:t>
      </w:r>
      <w:r w:rsidRPr="001470A1">
        <w:rPr>
          <w:rFonts w:ascii="Times New Roman" w:hAnsi="Times New Roman" w:cs="Times New Roman"/>
          <w:sz w:val="24"/>
          <w:szCs w:val="24"/>
        </w:rPr>
        <w:t>.</w:t>
      </w:r>
    </w:p>
    <w:p w14:paraId="72367997" w14:textId="77777777" w:rsidR="009E154E" w:rsidRDefault="009E154E">
      <w:pPr>
        <w:spacing w:after="110" w:line="260" w:lineRule="auto"/>
        <w:jc w:val="both"/>
        <w:rPr>
          <w:rFonts w:ascii="Times New Roman" w:hAnsi="Times New Roman" w:cs="Times New Roman"/>
          <w:sz w:val="24"/>
          <w:szCs w:val="24"/>
        </w:rPr>
      </w:pPr>
    </w:p>
    <w:p w14:paraId="6C7C29B5" w14:textId="0F12E1CE" w:rsidR="009E154E" w:rsidRPr="009E154E" w:rsidRDefault="009E154E">
      <w:pPr>
        <w:spacing w:after="110" w:line="260" w:lineRule="auto"/>
        <w:jc w:val="both"/>
        <w:rPr>
          <w:rFonts w:ascii="Times New Roman" w:hAnsi="Times New Roman" w:cs="Times New Roman"/>
          <w:b/>
          <w:bCs/>
          <w:sz w:val="24"/>
          <w:szCs w:val="24"/>
        </w:rPr>
      </w:pPr>
      <w:r w:rsidRPr="009E154E">
        <w:rPr>
          <w:rFonts w:ascii="Times New Roman" w:hAnsi="Times New Roman" w:cs="Times New Roman"/>
          <w:b/>
          <w:bCs/>
          <w:sz w:val="24"/>
          <w:szCs w:val="24"/>
        </w:rPr>
        <w:t xml:space="preserve">Strategic Implications </w:t>
      </w:r>
    </w:p>
    <w:p w14:paraId="07E460E4" w14:textId="62D9BEB4"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For Sudan's government, the central strategic implication is that reconstruction-era energy diplomacy</w:t>
      </w:r>
      <w:r w:rsidR="009E154E">
        <w:rPr>
          <w:rFonts w:ascii="Times New Roman" w:hAnsi="Times New Roman" w:cs="Times New Roman"/>
          <w:sz w:val="24"/>
          <w:szCs w:val="24"/>
        </w:rPr>
        <w:t xml:space="preserve"> </w:t>
      </w:r>
      <w:r w:rsidRPr="001470A1">
        <w:rPr>
          <w:rFonts w:ascii="Times New Roman" w:hAnsi="Times New Roman" w:cs="Times New Roman"/>
          <w:sz w:val="24"/>
          <w:szCs w:val="24"/>
        </w:rPr>
        <w:t xml:space="preserve">courting Turkey, engaging Gulf chambers of commerce, </w:t>
      </w:r>
      <w:r w:rsidR="009E154E" w:rsidRPr="001470A1">
        <w:rPr>
          <w:rFonts w:ascii="Times New Roman" w:hAnsi="Times New Roman" w:cs="Times New Roman"/>
          <w:sz w:val="24"/>
          <w:szCs w:val="24"/>
        </w:rPr>
        <w:t>signaling</w:t>
      </w:r>
      <w:r w:rsidRPr="001470A1">
        <w:rPr>
          <w:rFonts w:ascii="Times New Roman" w:hAnsi="Times New Roman" w:cs="Times New Roman"/>
          <w:sz w:val="24"/>
          <w:szCs w:val="24"/>
        </w:rPr>
        <w:t xml:space="preserve"> openness to renewed international investment is running well ahead of the on-the-ground conditions needed to convert that diplomacy into funded exploration. This is not necessarily a mistake: positioning early for the post-conflict period is rational, and Turkey's willingness to engage despite ongoing risk suggests Sudan retains some strategic optionality even now. But officials should be cautious about conflating diplomatic engagement with investment commitment when communicating publicly, given the gap between the two is likely to persist for years.</w:t>
      </w:r>
    </w:p>
    <w:p w14:paraId="5F65D229" w14:textId="05AD94FC"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For international investors and their financiers, the strategic implication is that Sudan's Red Sea gas frontier is currently an option, not a position worth monitoring for a change in the security and contractual environment, but not worth committing capital to today. The CNPC precedent is instructive: even a highly risk-tolerant, politically aligned state investor with three decades of Sudanese experience judged conditions severe enough to invoke force majeure and exit entirely in 2025. Any investor now considering Sudan should treat that decision as a strong negative signal requiring an even higher bar of improved conditions before re-engagement makes sense.</w:t>
      </w:r>
    </w:p>
    <w:p w14:paraId="603C45BC" w14:textId="19857A8A"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For regional and multilateral actors interested in Sudan's post-conflict trajectory, the Red Sea gas file offers a potential</w:t>
      </w:r>
      <w:r w:rsidR="009E154E">
        <w:rPr>
          <w:rFonts w:ascii="Times New Roman" w:hAnsi="Times New Roman" w:cs="Times New Roman"/>
          <w:sz w:val="24"/>
          <w:szCs w:val="24"/>
        </w:rPr>
        <w:t xml:space="preserve"> </w:t>
      </w:r>
      <w:r w:rsidRPr="001470A1">
        <w:rPr>
          <w:rFonts w:ascii="Times New Roman" w:hAnsi="Times New Roman" w:cs="Times New Roman"/>
          <w:sz w:val="24"/>
          <w:szCs w:val="24"/>
        </w:rPr>
        <w:t>if distant</w:t>
      </w:r>
      <w:r w:rsidR="009E154E">
        <w:rPr>
          <w:rFonts w:ascii="Times New Roman" w:hAnsi="Times New Roman" w:cs="Times New Roman"/>
          <w:sz w:val="24"/>
          <w:szCs w:val="24"/>
        </w:rPr>
        <w:t xml:space="preserve"> </w:t>
      </w:r>
      <w:r w:rsidRPr="001470A1">
        <w:rPr>
          <w:rFonts w:ascii="Times New Roman" w:hAnsi="Times New Roman" w:cs="Times New Roman"/>
          <w:sz w:val="24"/>
          <w:szCs w:val="24"/>
        </w:rPr>
        <w:t>lever for reconstruction financing and energy-security diversification for both Sudan and Red Sea-adjacent states. But sequencing matters: infrastructure and governance reconstruction (ports, grid, ministries, contract-sanctity mechanisms) must substantially precede any serious attempt to attract upstream gas capital, rather than being pursued in parallel with an active war.</w:t>
      </w:r>
    </w:p>
    <w:p w14:paraId="09660CDC" w14:textId="77777777" w:rsidR="009E154E" w:rsidRDefault="009E154E">
      <w:pPr>
        <w:pStyle w:val="Heading3"/>
        <w:spacing w:before="160" w:after="80"/>
        <w:rPr>
          <w:rFonts w:ascii="Times New Roman" w:hAnsi="Times New Roman" w:cs="Times New Roman"/>
          <w:b/>
          <w:bCs/>
          <w:color w:val="auto"/>
        </w:rPr>
      </w:pPr>
    </w:p>
    <w:p w14:paraId="6E446365" w14:textId="4B47BC76" w:rsidR="009E154E" w:rsidRDefault="009E154E">
      <w:pPr>
        <w:pStyle w:val="Heading3"/>
        <w:spacing w:before="160" w:after="80"/>
        <w:rPr>
          <w:rFonts w:ascii="Times New Roman" w:hAnsi="Times New Roman" w:cs="Times New Roman"/>
          <w:b/>
          <w:bCs/>
          <w:color w:val="auto"/>
        </w:rPr>
      </w:pPr>
      <w:r>
        <w:rPr>
          <w:rFonts w:ascii="Times New Roman" w:hAnsi="Times New Roman" w:cs="Times New Roman"/>
          <w:b/>
          <w:bCs/>
          <w:color w:val="auto"/>
        </w:rPr>
        <w:t xml:space="preserve">Recommendations </w:t>
      </w:r>
    </w:p>
    <w:p w14:paraId="1C1FE8DC" w14:textId="2B0808BF" w:rsidR="00804ECE" w:rsidRPr="001470A1" w:rsidRDefault="00000000">
      <w:pPr>
        <w:pStyle w:val="Heading3"/>
        <w:spacing w:before="160" w:after="80"/>
        <w:rPr>
          <w:rFonts w:ascii="Times New Roman" w:hAnsi="Times New Roman" w:cs="Times New Roman"/>
          <w:color w:val="auto"/>
        </w:rPr>
      </w:pPr>
      <w:r w:rsidRPr="001470A1">
        <w:rPr>
          <w:rFonts w:ascii="Times New Roman" w:hAnsi="Times New Roman" w:cs="Times New Roman"/>
          <w:b/>
          <w:bCs/>
          <w:color w:val="auto"/>
        </w:rPr>
        <w:t>For the Sudanese Government</w:t>
      </w:r>
    </w:p>
    <w:p w14:paraId="0F34FF2B" w14:textId="202CE9EC"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 xml:space="preserve">Publish a modern, </w:t>
      </w:r>
      <w:r w:rsidR="009E154E" w:rsidRPr="001470A1">
        <w:rPr>
          <w:rFonts w:ascii="Times New Roman" w:hAnsi="Times New Roman" w:cs="Times New Roman"/>
          <w:sz w:val="24"/>
          <w:szCs w:val="24"/>
        </w:rPr>
        <w:t>standardized</w:t>
      </w:r>
      <w:r w:rsidRPr="001470A1">
        <w:rPr>
          <w:rFonts w:ascii="Times New Roman" w:hAnsi="Times New Roman" w:cs="Times New Roman"/>
          <w:sz w:val="24"/>
          <w:szCs w:val="24"/>
        </w:rPr>
        <w:t>, transparent fiscal model for Red Sea gas (cost recovery, profit-gas split, domestic obligations) comparable in clarity to Egypt's 2025-26 R-factor round, even before conditions allow drilling this reduces perceived regulatory risk ahead of any ceasefire.</w:t>
      </w:r>
    </w:p>
    <w:p w14:paraId="7F2DC46C"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 xml:space="preserve">Clarify the terms and status of CNPC's 2025 force majeure exit and the historical ONGC Videsh dispute to reassure prospective new entrants that PSC rights and obligations will be </w:t>
      </w:r>
      <w:proofErr w:type="spellStart"/>
      <w:r w:rsidRPr="001470A1">
        <w:rPr>
          <w:rFonts w:ascii="Times New Roman" w:hAnsi="Times New Roman" w:cs="Times New Roman"/>
          <w:sz w:val="24"/>
          <w:szCs w:val="24"/>
        </w:rPr>
        <w:t>honoured</w:t>
      </w:r>
      <w:proofErr w:type="spellEnd"/>
      <w:r w:rsidRPr="001470A1">
        <w:rPr>
          <w:rFonts w:ascii="Times New Roman" w:hAnsi="Times New Roman" w:cs="Times New Roman"/>
          <w:sz w:val="24"/>
          <w:szCs w:val="24"/>
        </w:rPr>
        <w:t xml:space="preserve"> predictably.</w:t>
      </w:r>
    </w:p>
    <w:p w14:paraId="19D55F18"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proofErr w:type="spellStart"/>
      <w:r w:rsidRPr="001470A1">
        <w:rPr>
          <w:rFonts w:ascii="Times New Roman" w:hAnsi="Times New Roman" w:cs="Times New Roman"/>
          <w:sz w:val="24"/>
          <w:szCs w:val="24"/>
        </w:rPr>
        <w:t>Prioritise</w:t>
      </w:r>
      <w:proofErr w:type="spellEnd"/>
      <w:r w:rsidRPr="001470A1">
        <w:rPr>
          <w:rFonts w:ascii="Times New Roman" w:hAnsi="Times New Roman" w:cs="Times New Roman"/>
          <w:sz w:val="24"/>
          <w:szCs w:val="24"/>
        </w:rPr>
        <w:t xml:space="preserve"> </w:t>
      </w:r>
      <w:proofErr w:type="spellStart"/>
      <w:r w:rsidRPr="001470A1">
        <w:rPr>
          <w:rFonts w:ascii="Times New Roman" w:hAnsi="Times New Roman" w:cs="Times New Roman"/>
          <w:sz w:val="24"/>
          <w:szCs w:val="24"/>
        </w:rPr>
        <w:t>Sudapet's</w:t>
      </w:r>
      <w:proofErr w:type="spellEnd"/>
      <w:r w:rsidRPr="001470A1">
        <w:rPr>
          <w:rFonts w:ascii="Times New Roman" w:hAnsi="Times New Roman" w:cs="Times New Roman"/>
          <w:sz w:val="24"/>
          <w:szCs w:val="24"/>
        </w:rPr>
        <w:t xml:space="preserve"> institutional capacity-building now, so that when a ceasefire </w:t>
      </w:r>
      <w:proofErr w:type="spellStart"/>
      <w:r w:rsidRPr="001470A1">
        <w:rPr>
          <w:rFonts w:ascii="Times New Roman" w:hAnsi="Times New Roman" w:cs="Times New Roman"/>
          <w:sz w:val="24"/>
          <w:szCs w:val="24"/>
        </w:rPr>
        <w:t>materialises</w:t>
      </w:r>
      <w:proofErr w:type="spellEnd"/>
      <w:r w:rsidRPr="001470A1">
        <w:rPr>
          <w:rFonts w:ascii="Times New Roman" w:hAnsi="Times New Roman" w:cs="Times New Roman"/>
          <w:sz w:val="24"/>
          <w:szCs w:val="24"/>
        </w:rPr>
        <w:t xml:space="preserve"> the national oil company can administer contracts and cash calls without a governance lag.</w:t>
      </w:r>
    </w:p>
    <w:p w14:paraId="29ADD8F0"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lastRenderedPageBreak/>
        <w:t xml:space="preserve">Pursue political-risk insurance and guarantee arrangements (MIGA, Islamic Development Bank, bilateral Turkish/Gulf sovereign backing) in parallel with ceasefire diplomacy, so that financing structures are ready the moment security conditions allow </w:t>
      </w:r>
      <w:proofErr w:type="spellStart"/>
      <w:r w:rsidRPr="001470A1">
        <w:rPr>
          <w:rFonts w:ascii="Times New Roman" w:hAnsi="Times New Roman" w:cs="Times New Roman"/>
          <w:sz w:val="24"/>
          <w:szCs w:val="24"/>
        </w:rPr>
        <w:t>mobilisation</w:t>
      </w:r>
      <w:proofErr w:type="spellEnd"/>
      <w:r w:rsidRPr="001470A1">
        <w:rPr>
          <w:rFonts w:ascii="Times New Roman" w:hAnsi="Times New Roman" w:cs="Times New Roman"/>
          <w:sz w:val="24"/>
          <w:szCs w:val="24"/>
        </w:rPr>
        <w:t>.</w:t>
      </w:r>
    </w:p>
    <w:p w14:paraId="0D683207" w14:textId="77777777" w:rsidR="00804ECE" w:rsidRPr="001470A1" w:rsidRDefault="00000000">
      <w:pPr>
        <w:pStyle w:val="Heading3"/>
        <w:spacing w:before="160" w:after="80"/>
        <w:rPr>
          <w:rFonts w:ascii="Times New Roman" w:hAnsi="Times New Roman" w:cs="Times New Roman"/>
          <w:color w:val="auto"/>
        </w:rPr>
      </w:pPr>
      <w:r w:rsidRPr="001470A1">
        <w:rPr>
          <w:rFonts w:ascii="Times New Roman" w:hAnsi="Times New Roman" w:cs="Times New Roman"/>
          <w:b/>
          <w:bCs/>
          <w:color w:val="auto"/>
        </w:rPr>
        <w:t>For Prospective Investors</w:t>
      </w:r>
    </w:p>
    <w:p w14:paraId="7153EAEA"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Treat Sudan's Red Sea acreage as a pre-investment monitoring case, not an active opportunity, until a verifiable and durable ceasefire covers the Port Sudan/eastern coastal corridor specifically.</w:t>
      </w:r>
    </w:p>
    <w:p w14:paraId="3B6811F0"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 xml:space="preserve">Where engagement is pursued now, </w:t>
      </w:r>
      <w:proofErr w:type="spellStart"/>
      <w:r w:rsidRPr="001470A1">
        <w:rPr>
          <w:rFonts w:ascii="Times New Roman" w:hAnsi="Times New Roman" w:cs="Times New Roman"/>
          <w:sz w:val="24"/>
          <w:szCs w:val="24"/>
        </w:rPr>
        <w:t>prioritise</w:t>
      </w:r>
      <w:proofErr w:type="spellEnd"/>
      <w:r w:rsidRPr="001470A1">
        <w:rPr>
          <w:rFonts w:ascii="Times New Roman" w:hAnsi="Times New Roman" w:cs="Times New Roman"/>
          <w:sz w:val="24"/>
          <w:szCs w:val="24"/>
        </w:rPr>
        <w:t xml:space="preserve"> non-binding technical or diplomatic positioning (as Turkey has done) over capital commitment, to preserve optionality without exposure to war-risk losses.</w:t>
      </w:r>
    </w:p>
    <w:p w14:paraId="2284F2A4"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Any renewed commercial interest should be conditioned on new 3D seismic resolving the salt-geometry ambiguity described in Section 2 before committing to drilling economics.</w:t>
      </w:r>
    </w:p>
    <w:p w14:paraId="615D37DF" w14:textId="77777777" w:rsidR="00804ECE" w:rsidRPr="001470A1" w:rsidRDefault="00000000">
      <w:pPr>
        <w:pStyle w:val="Heading3"/>
        <w:spacing w:before="160" w:after="80"/>
        <w:rPr>
          <w:rFonts w:ascii="Times New Roman" w:hAnsi="Times New Roman" w:cs="Times New Roman"/>
          <w:color w:val="auto"/>
        </w:rPr>
      </w:pPr>
      <w:r w:rsidRPr="001470A1">
        <w:rPr>
          <w:rFonts w:ascii="Times New Roman" w:hAnsi="Times New Roman" w:cs="Times New Roman"/>
          <w:b/>
          <w:bCs/>
          <w:color w:val="auto"/>
        </w:rPr>
        <w:t>For Development Finance and Multilateral Institutions</w:t>
      </w:r>
    </w:p>
    <w:p w14:paraId="50354BFD"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Focus near-term support on enabling infrastructure (grid rehabilitation, port reconstruction, ministry capacity) rather than direct upstream gas financing, which remains premature.</w:t>
      </w:r>
    </w:p>
    <w:p w14:paraId="27B10AEB" w14:textId="77777777" w:rsidR="00804ECE" w:rsidRPr="001470A1" w:rsidRDefault="00000000">
      <w:pPr>
        <w:pStyle w:val="ListParagraph"/>
        <w:numPr>
          <w:ilvl w:val="0"/>
          <w:numId w:val="2"/>
        </w:numPr>
        <w:spacing w:after="60" w:line="250" w:lineRule="auto"/>
        <w:rPr>
          <w:rFonts w:ascii="Times New Roman" w:hAnsi="Times New Roman" w:cs="Times New Roman"/>
          <w:sz w:val="24"/>
          <w:szCs w:val="24"/>
        </w:rPr>
      </w:pPr>
      <w:r w:rsidRPr="001470A1">
        <w:rPr>
          <w:rFonts w:ascii="Times New Roman" w:hAnsi="Times New Roman" w:cs="Times New Roman"/>
          <w:sz w:val="24"/>
          <w:szCs w:val="24"/>
        </w:rPr>
        <w:t xml:space="preserve">Prepare political-risk insurance and blended-finance instruments in advance, so they can be deployed rapidly once a ceasefire creates a genuine investment window, shortening the lag between political </w:t>
      </w:r>
      <w:proofErr w:type="spellStart"/>
      <w:r w:rsidRPr="001470A1">
        <w:rPr>
          <w:rFonts w:ascii="Times New Roman" w:hAnsi="Times New Roman" w:cs="Times New Roman"/>
          <w:sz w:val="24"/>
          <w:szCs w:val="24"/>
        </w:rPr>
        <w:t>normalisation</w:t>
      </w:r>
      <w:proofErr w:type="spellEnd"/>
      <w:r w:rsidRPr="001470A1">
        <w:rPr>
          <w:rFonts w:ascii="Times New Roman" w:hAnsi="Times New Roman" w:cs="Times New Roman"/>
          <w:sz w:val="24"/>
          <w:szCs w:val="24"/>
        </w:rPr>
        <w:t xml:space="preserve"> and capital </w:t>
      </w:r>
      <w:proofErr w:type="spellStart"/>
      <w:r w:rsidRPr="001470A1">
        <w:rPr>
          <w:rFonts w:ascii="Times New Roman" w:hAnsi="Times New Roman" w:cs="Times New Roman"/>
          <w:sz w:val="24"/>
          <w:szCs w:val="24"/>
        </w:rPr>
        <w:t>mobilisation</w:t>
      </w:r>
      <w:proofErr w:type="spellEnd"/>
      <w:r w:rsidRPr="001470A1">
        <w:rPr>
          <w:rFonts w:ascii="Times New Roman" w:hAnsi="Times New Roman" w:cs="Times New Roman"/>
          <w:sz w:val="24"/>
          <w:szCs w:val="24"/>
        </w:rPr>
        <w:t>.</w:t>
      </w:r>
    </w:p>
    <w:p w14:paraId="61673B21" w14:textId="77777777" w:rsidR="009E154E" w:rsidRDefault="009E154E">
      <w:pPr>
        <w:spacing w:after="110" w:line="260" w:lineRule="auto"/>
        <w:jc w:val="both"/>
        <w:rPr>
          <w:rFonts w:ascii="Times New Roman" w:hAnsi="Times New Roman" w:cs="Times New Roman"/>
          <w:sz w:val="24"/>
          <w:szCs w:val="24"/>
        </w:rPr>
      </w:pPr>
    </w:p>
    <w:p w14:paraId="4F806DB7" w14:textId="002EE9CC" w:rsidR="009E154E" w:rsidRPr="009E154E" w:rsidRDefault="009E154E">
      <w:pPr>
        <w:spacing w:after="110" w:line="260" w:lineRule="auto"/>
        <w:jc w:val="both"/>
        <w:rPr>
          <w:rFonts w:ascii="Times New Roman" w:hAnsi="Times New Roman" w:cs="Times New Roman"/>
          <w:b/>
          <w:bCs/>
          <w:sz w:val="24"/>
          <w:szCs w:val="24"/>
        </w:rPr>
      </w:pPr>
      <w:r w:rsidRPr="009E154E">
        <w:rPr>
          <w:rFonts w:ascii="Times New Roman" w:hAnsi="Times New Roman" w:cs="Times New Roman"/>
          <w:b/>
          <w:bCs/>
          <w:sz w:val="24"/>
          <w:szCs w:val="24"/>
        </w:rPr>
        <w:t xml:space="preserve">Conclusion </w:t>
      </w:r>
    </w:p>
    <w:p w14:paraId="70128BB4" w14:textId="6D93CC16"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Sudan's Red Sea gas frontier is not currently investable, and the reasons are not merely political rhetoric they are concrete and verifiable: an active war that has reached the only viable offshore logistics hub with drone strikes, a genocide determination against one combatant party, the formal force-majeure exit of the sector's most important historical investor, and an opaque fiscal framework with a documented history of unilateral contract alteration. Against this, the geological case for the basin is real but modest and unquantified decades-old gas-condensate shows, credible source-rock analogues, and a genuinely underexplored margin, but no certified, block-level resource estimate that would allow a bankable investment decision even in a peaceful Sudan.</w:t>
      </w:r>
    </w:p>
    <w:p w14:paraId="12866F74" w14:textId="3EB49BFE"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What would make it investable is a specific, sequenced set of conditions: a durable ceasefire covering the coastal corridor; a transparent, competitive, published fiscal model; resolution of the governance uncertainty left by CNPC's exit; new 3D seismic to convert speculative potential into a drillable prospect inventory; and a war-risk mitigation mechanism political-risk insurance or sovereign backing to substitute for the coverage commercial markets will not currently provide. None of these conditions is in place today, though Sudan's active diplomatic courtship of Turkish energy capital since mid-2026 suggests the government is positioning for the moment they might be.</w:t>
      </w:r>
    </w:p>
    <w:p w14:paraId="4A6E80BE" w14:textId="71A516A8" w:rsidR="00804ECE" w:rsidRPr="001470A1" w:rsidRDefault="00000000">
      <w:pPr>
        <w:spacing w:after="110" w:line="260" w:lineRule="auto"/>
        <w:jc w:val="both"/>
        <w:rPr>
          <w:rFonts w:ascii="Times New Roman" w:hAnsi="Times New Roman" w:cs="Times New Roman"/>
          <w:sz w:val="24"/>
          <w:szCs w:val="24"/>
        </w:rPr>
      </w:pPr>
      <w:r w:rsidRPr="001470A1">
        <w:rPr>
          <w:rFonts w:ascii="Times New Roman" w:hAnsi="Times New Roman" w:cs="Times New Roman"/>
          <w:sz w:val="24"/>
          <w:szCs w:val="24"/>
        </w:rPr>
        <w:t xml:space="preserve">The most likely type of investor to move first is not a conventional international oil company pursuing standalone project economics, but a state-linked, reconstruction-motivated </w:t>
      </w:r>
      <w:proofErr w:type="gramStart"/>
      <w:r w:rsidRPr="001470A1">
        <w:rPr>
          <w:rFonts w:ascii="Times New Roman" w:hAnsi="Times New Roman" w:cs="Times New Roman"/>
          <w:sz w:val="24"/>
          <w:szCs w:val="24"/>
        </w:rPr>
        <w:t>investor  most</w:t>
      </w:r>
      <w:proofErr w:type="gramEnd"/>
      <w:r w:rsidRPr="001470A1">
        <w:rPr>
          <w:rFonts w:ascii="Times New Roman" w:hAnsi="Times New Roman" w:cs="Times New Roman"/>
          <w:sz w:val="24"/>
          <w:szCs w:val="24"/>
        </w:rPr>
        <w:t xml:space="preserve"> plausibly Turkey, potentially joined later by Saudi-aligned Gulf capital operating within the Quad diplomatic framework willing to accept a war-risk premium in exchange for long-term strategic </w:t>
      </w:r>
      <w:r w:rsidRPr="001470A1">
        <w:rPr>
          <w:rFonts w:ascii="Times New Roman" w:hAnsi="Times New Roman" w:cs="Times New Roman"/>
          <w:sz w:val="24"/>
          <w:szCs w:val="24"/>
        </w:rPr>
        <w:lastRenderedPageBreak/>
        <w:t xml:space="preserve">and reconstruction-linked influence. And the most realistic </w:t>
      </w:r>
      <w:r w:rsidR="009E154E" w:rsidRPr="001470A1">
        <w:rPr>
          <w:rFonts w:ascii="Times New Roman" w:hAnsi="Times New Roman" w:cs="Times New Roman"/>
          <w:sz w:val="24"/>
          <w:szCs w:val="24"/>
        </w:rPr>
        <w:t>monetization</w:t>
      </w:r>
      <w:r w:rsidRPr="001470A1">
        <w:rPr>
          <w:rFonts w:ascii="Times New Roman" w:hAnsi="Times New Roman" w:cs="Times New Roman"/>
          <w:sz w:val="24"/>
          <w:szCs w:val="24"/>
        </w:rPr>
        <w:t xml:space="preserve"> pathway, for the foreseeable future, is domestic: gas-to-power and LPG recovery serving Sudan's own severely degraded grid, not LNG export. A genuine regional or export-oriented </w:t>
      </w:r>
      <w:r w:rsidR="009E154E" w:rsidRPr="001470A1">
        <w:rPr>
          <w:rFonts w:ascii="Times New Roman" w:hAnsi="Times New Roman" w:cs="Times New Roman"/>
          <w:sz w:val="24"/>
          <w:szCs w:val="24"/>
        </w:rPr>
        <w:t>monetization</w:t>
      </w:r>
      <w:r w:rsidRPr="001470A1">
        <w:rPr>
          <w:rFonts w:ascii="Times New Roman" w:hAnsi="Times New Roman" w:cs="Times New Roman"/>
          <w:sz w:val="24"/>
          <w:szCs w:val="24"/>
        </w:rPr>
        <w:t xml:space="preserve"> pathway remains geologically conceivable but is, at minimum, a decade away and contingent on a large discovery that has not yet been made, appraised, or even seismically imaged with modern technology. Sudan's Red Sea gas potential is credible as geology; it is not yet credible as an investment case.</w:t>
      </w:r>
    </w:p>
    <w:p w14:paraId="1CD62325" w14:textId="77777777" w:rsidR="00523EE4" w:rsidRDefault="00523EE4" w:rsidP="00523EE4">
      <w:pPr>
        <w:rPr>
          <w:rFonts w:ascii="Times New Roman" w:hAnsi="Times New Roman" w:cs="Times New Roman"/>
          <w:sz w:val="24"/>
          <w:szCs w:val="24"/>
        </w:rPr>
      </w:pPr>
    </w:p>
    <w:p w14:paraId="5DBB7CEF" w14:textId="5EDB4440" w:rsidR="00074405" w:rsidRPr="00523EE4" w:rsidRDefault="00074405" w:rsidP="00523EE4">
      <w:pPr>
        <w:rPr>
          <w:rFonts w:ascii="Times New Roman" w:hAnsi="Times New Roman" w:cs="Times New Roman"/>
          <w:b/>
          <w:bCs/>
          <w:sz w:val="24"/>
          <w:szCs w:val="24"/>
        </w:rPr>
      </w:pPr>
      <w:r w:rsidRPr="00523EE4">
        <w:rPr>
          <w:rFonts w:ascii="Times New Roman" w:hAnsi="Times New Roman" w:cs="Times New Roman"/>
          <w:b/>
          <w:bCs/>
          <w:sz w:val="24"/>
          <w:szCs w:val="24"/>
        </w:rPr>
        <w:t>References</w:t>
      </w:r>
    </w:p>
    <w:p w14:paraId="544797FA" w14:textId="5AE35187"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Rigzone, "First Sudan Offshore Block Award for Petronas," rigzone.com.</w:t>
      </w:r>
    </w:p>
    <w:p w14:paraId="599E2E81" w14:textId="31707797"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Rigzone / PETRONAS EPSA signing announcement for Block 15, Red Sea Basin, Sudan (RSPOC consortium terms), rigzone.com.</w:t>
      </w:r>
    </w:p>
    <w:p w14:paraId="246AFF27" w14:textId="6CFE0701"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U.S. Energy Information Administration, "Background Reference: Sudan and South Sudan," eia.gov (archival background report).</w:t>
      </w:r>
    </w:p>
    <w:p w14:paraId="37CB5169" w14:textId="364DF582"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GeoExpro</w:t>
      </w:r>
      <w:proofErr w:type="spellEnd"/>
      <w:r w:rsidRPr="001470A1">
        <w:rPr>
          <w:rFonts w:ascii="Times New Roman" w:hAnsi="Times New Roman" w:cs="Times New Roman"/>
          <w:sz w:val="24"/>
          <w:szCs w:val="24"/>
        </w:rPr>
        <w:t>, "Sudan's Red Sea Oil," geoexpro.com, 2022.</w:t>
      </w:r>
    </w:p>
    <w:p w14:paraId="0DFF059C" w14:textId="0F638D75"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Saif bin Hilal Center for Energy Studies and Research, reporting on Sudan gas-to-power and Red Sea Blocks 13/15 investment plans, sbhcenter.com, 2024.</w:t>
      </w:r>
    </w:p>
    <w:p w14:paraId="0B86EAB2" w14:textId="4CEA2270"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Sudan Ministry of Petroleum &amp; Gas / Sudanese Petroleum Corporation, "E&amp;P Investment Opportunities" information pack, sudanembassyindia.org.</w:t>
      </w:r>
    </w:p>
    <w:p w14:paraId="51E66AE8" w14:textId="346764BF"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Wikipedia, "Block 5A, South Sudan," background on Lundin/OMV/Petronas/</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consortium history.</w:t>
      </w:r>
    </w:p>
    <w:p w14:paraId="0FA0219F" w14:textId="22C93C1A"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UNCTAD, 17th Africa OILGASMINE, Khartoum presentation, unctad.org, 2015.</w:t>
      </w:r>
    </w:p>
    <w:p w14:paraId="0D36945A" w14:textId="4DD492B3"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U.S. Bureau of Mines, Minerals Yearbook 1975, historical Sudan Red Sea exploration permits.</w:t>
      </w:r>
    </w:p>
    <w:p w14:paraId="01E5EE08" w14:textId="178AAAA3"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Al Jazeera, "Sudan summons Egypt ambassador over 'illegal' Red Sea oil bids," aljazeera.com, 2019.</w:t>
      </w:r>
    </w:p>
    <w:p w14:paraId="6CE95842" w14:textId="066853E6"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African Energy Chamber, "South Sudan Reforms Target New Investment Push," energychamber.org, 2026.</w:t>
      </w:r>
    </w:p>
    <w:p w14:paraId="4EEBD463" w14:textId="7BF52A68"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Vanguard News, "South Sudan launches new energy investment push to revive oil production," 2026.</w:t>
      </w:r>
    </w:p>
    <w:p w14:paraId="483FC6D6" w14:textId="0978822E"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Anadolu Agency, "South Sudan launches 1st oil licensing round," aa.com.tr, 2021.</w:t>
      </w:r>
    </w:p>
    <w:p w14:paraId="51BBD6A9" w14:textId="5F784C7A"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Eurasia Review, "South Sudan Reforms Target New Investment Push," 2026.</w:t>
      </w:r>
    </w:p>
    <w:p w14:paraId="2E26DFD9" w14:textId="2A69473D"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ZAWYA, African Energy Chamber press release on South Sudan reforms, 2026.</w:t>
      </w:r>
    </w:p>
    <w:p w14:paraId="24664221" w14:textId="4207F1CB"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Oil &amp; Gas Journal, "Ministry of Petroleum launches South Sudan's first oil licensing round."</w:t>
      </w:r>
    </w:p>
    <w:p w14:paraId="0203AB9B" w14:textId="1E81B212"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Mordor Intelligence, "South Sudan Oil and Gas Industry" market report, 2026.</w:t>
      </w:r>
    </w:p>
    <w:p w14:paraId="61DB14F3" w14:textId="19B3447F"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MarkWide</w:t>
      </w:r>
      <w:proofErr w:type="spellEnd"/>
      <w:r w:rsidRPr="001470A1">
        <w:rPr>
          <w:rFonts w:ascii="Times New Roman" w:hAnsi="Times New Roman" w:cs="Times New Roman"/>
          <w:sz w:val="24"/>
          <w:szCs w:val="24"/>
        </w:rPr>
        <w:t xml:space="preserve"> Research, "Sudan Oil and Gas Market Size, Share, and Industry Trends Forecast 2026-2036."</w:t>
      </w:r>
    </w:p>
    <w:p w14:paraId="2CBF9E99" w14:textId="753CCE58"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AllAfrica, "Nigeria: To Attract Fresh Investment in Oil Sector, NUPRC Announces 2025 Licensing Round."</w:t>
      </w:r>
    </w:p>
    <w:p w14:paraId="4E3428C6" w14:textId="4267A55B"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 xml:space="preserve">Al Jazeera, "Sudan has vast oil, gold and agricultural resources. Who controls </w:t>
      </w:r>
      <w:proofErr w:type="gramStart"/>
      <w:r w:rsidRPr="001470A1">
        <w:rPr>
          <w:rFonts w:ascii="Times New Roman" w:hAnsi="Times New Roman" w:cs="Times New Roman"/>
          <w:sz w:val="24"/>
          <w:szCs w:val="24"/>
        </w:rPr>
        <w:t>them?,</w:t>
      </w:r>
      <w:proofErr w:type="gramEnd"/>
      <w:r w:rsidRPr="001470A1">
        <w:rPr>
          <w:rFonts w:ascii="Times New Roman" w:hAnsi="Times New Roman" w:cs="Times New Roman"/>
          <w:sz w:val="24"/>
          <w:szCs w:val="24"/>
        </w:rPr>
        <w:t>" 2025.</w:t>
      </w:r>
    </w:p>
    <w:p w14:paraId="420D21ED" w14:textId="70A74375"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Al Jazeera, "South Sudan on edge as Sudan's war threatens vital oil industry," 2025.</w:t>
      </w:r>
    </w:p>
    <w:p w14:paraId="0CDB4D74" w14:textId="1FDB040C"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lastRenderedPageBreak/>
        <w:t>University of Navarra, Global Affairs and Strategic Studies, "Civil war in Sudan and its contagion in South Sudan," 2025.</w:t>
      </w:r>
    </w:p>
    <w:p w14:paraId="54371223" w14:textId="1AD2E595"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PeaceRep</w:t>
      </w:r>
      <w:proofErr w:type="spellEnd"/>
      <w:r w:rsidRPr="001470A1">
        <w:rPr>
          <w:rFonts w:ascii="Times New Roman" w:hAnsi="Times New Roman" w:cs="Times New Roman"/>
          <w:sz w:val="24"/>
          <w:szCs w:val="24"/>
        </w:rPr>
        <w:t xml:space="preserve">, "Is Sudan's war the reason for South Sudan's economic </w:t>
      </w:r>
      <w:proofErr w:type="gramStart"/>
      <w:r w:rsidRPr="001470A1">
        <w:rPr>
          <w:rFonts w:ascii="Times New Roman" w:hAnsi="Times New Roman" w:cs="Times New Roman"/>
          <w:sz w:val="24"/>
          <w:szCs w:val="24"/>
        </w:rPr>
        <w:t>crisis?,</w:t>
      </w:r>
      <w:proofErr w:type="gramEnd"/>
      <w:r w:rsidRPr="001470A1">
        <w:rPr>
          <w:rFonts w:ascii="Times New Roman" w:hAnsi="Times New Roman" w:cs="Times New Roman"/>
          <w:sz w:val="24"/>
          <w:szCs w:val="24"/>
        </w:rPr>
        <w:t>" 2025.</w:t>
      </w:r>
    </w:p>
    <w:p w14:paraId="5FBFAEFE" w14:textId="2C2FE38D"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 xml:space="preserve">The Conversation, republished </w:t>
      </w:r>
      <w:proofErr w:type="spellStart"/>
      <w:r w:rsidRPr="001470A1">
        <w:rPr>
          <w:rFonts w:ascii="Times New Roman" w:hAnsi="Times New Roman" w:cs="Times New Roman"/>
          <w:sz w:val="24"/>
          <w:szCs w:val="24"/>
        </w:rPr>
        <w:t>PeaceRep</w:t>
      </w:r>
      <w:proofErr w:type="spellEnd"/>
      <w:r w:rsidRPr="001470A1">
        <w:rPr>
          <w:rFonts w:ascii="Times New Roman" w:hAnsi="Times New Roman" w:cs="Times New Roman"/>
          <w:sz w:val="24"/>
          <w:szCs w:val="24"/>
        </w:rPr>
        <w:t xml:space="preserve"> analysis on Sudan war and oil revenue, 2026.</w:t>
      </w:r>
    </w:p>
    <w:p w14:paraId="57A91DCA" w14:textId="555FDD05"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 xml:space="preserve">Al Jazeera, "'Erosion of a country's future': What has the war cost </w:t>
      </w:r>
      <w:proofErr w:type="gramStart"/>
      <w:r w:rsidRPr="001470A1">
        <w:rPr>
          <w:rFonts w:ascii="Times New Roman" w:hAnsi="Times New Roman" w:cs="Times New Roman"/>
          <w:sz w:val="24"/>
          <w:szCs w:val="24"/>
        </w:rPr>
        <w:t>Sudan?,</w:t>
      </w:r>
      <w:proofErr w:type="gramEnd"/>
      <w:r w:rsidRPr="001470A1">
        <w:rPr>
          <w:rFonts w:ascii="Times New Roman" w:hAnsi="Times New Roman" w:cs="Times New Roman"/>
          <w:sz w:val="24"/>
          <w:szCs w:val="24"/>
        </w:rPr>
        <w:t>" 2026.</w:t>
      </w:r>
    </w:p>
    <w:p w14:paraId="0DE8AE38" w14:textId="234E90A3"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Wikipedia, "2025 East Sudan drone attacks."</w:t>
      </w:r>
    </w:p>
    <w:p w14:paraId="32705A09" w14:textId="180F8D3E"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Africanews</w:t>
      </w:r>
      <w:proofErr w:type="spellEnd"/>
      <w:r w:rsidRPr="001470A1">
        <w:rPr>
          <w:rFonts w:ascii="Times New Roman" w:hAnsi="Times New Roman" w:cs="Times New Roman"/>
          <w:sz w:val="24"/>
          <w:szCs w:val="24"/>
        </w:rPr>
        <w:t>, "Sudan's energy crisis deepens amid ongoing conflict," 2026.</w:t>
      </w:r>
    </w:p>
    <w:p w14:paraId="1B3ACDE2" w14:textId="1E4824EE"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Sudan Transparency and Policy Tracker, "Fueling Sudan's War: How Oil Exports, Imports, and Smuggling are..." report.</w:t>
      </w:r>
    </w:p>
    <w:p w14:paraId="39F91CEF" w14:textId="63E3598A"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S&amp;P Global Commodity Insights, "FACTBOX: Sudan power struggle threatens East African crude flows," 2023.</w:t>
      </w:r>
    </w:p>
    <w:p w14:paraId="24D7E1C1" w14:textId="1D523E79"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The Washington Institute, "Sudan Stands Between War and an Imposed Peace," 2026.</w:t>
      </w:r>
    </w:p>
    <w:p w14:paraId="08FC764B" w14:textId="70267131"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UN Security Council Report, "Sudan, February 2026 Monthly Forecast."</w:t>
      </w:r>
    </w:p>
    <w:p w14:paraId="5852D22B" w14:textId="0BDB7F4A"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Council on Foreign Relations, "Civil War in Sudan," Global Conflict Tracker.</w:t>
      </w:r>
    </w:p>
    <w:p w14:paraId="7C559AED" w14:textId="0B196043"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Africa Center for Strategic Studies, "Mapping the Armed Actors in the Sudan Conflict," 2026.</w:t>
      </w:r>
    </w:p>
    <w:p w14:paraId="7B257818" w14:textId="447FD735"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Operation Broken Silence, "Sudan Crisis Guide," 2026.</w:t>
      </w:r>
    </w:p>
    <w:p w14:paraId="677D369D" w14:textId="1AC85AD6"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Defcon Level, "Sudan Civil War Updates 2026," 2026.</w:t>
      </w:r>
    </w:p>
    <w:p w14:paraId="49A515A7" w14:textId="373C28E9"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Malay Mail, "Sudan's paramilitary RSF say it is open to immediate ceasefire via talks," 2024.</w:t>
      </w:r>
    </w:p>
    <w:p w14:paraId="5D3C81BB" w14:textId="18F2E3C3"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GlobalSecurity.org, Sputnik report on 2023 ceasefire developments.</w:t>
      </w:r>
    </w:p>
    <w:p w14:paraId="7549C982" w14:textId="28107CB3"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AllAfrica, Sudan ceasefire and conflict news digest, 2023.</w:t>
      </w:r>
    </w:p>
    <w:p w14:paraId="2AC4739E" w14:textId="16090B9C"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Offshore Technology, "Chevron and other oil firms exit Red Sea concessions," 2025.</w:t>
      </w:r>
    </w:p>
    <w:p w14:paraId="4D9443BF" w14:textId="51523A02"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S&amp;P Global Market Intelligence, "Chevron, Shell win blocks in Egypt's maiden Red Sea licensing round," 2019.</w:t>
      </w:r>
    </w:p>
    <w:p w14:paraId="4BF7DDF0" w14:textId="0775FD34"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S&amp;P Global Commodity Insights, duplicate coverage of Egypt's 2019 Red Sea round.</w:t>
      </w:r>
    </w:p>
    <w:p w14:paraId="7F0A1B12" w14:textId="6A85E2E7"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 xml:space="preserve">MEES, "Egypt Tries Again </w:t>
      </w:r>
      <w:proofErr w:type="gramStart"/>
      <w:r w:rsidRPr="001470A1">
        <w:rPr>
          <w:rFonts w:ascii="Times New Roman" w:hAnsi="Times New Roman" w:cs="Times New Roman"/>
          <w:sz w:val="24"/>
          <w:szCs w:val="24"/>
        </w:rPr>
        <w:t>With</w:t>
      </w:r>
      <w:proofErr w:type="gramEnd"/>
      <w:r w:rsidRPr="001470A1">
        <w:rPr>
          <w:rFonts w:ascii="Times New Roman" w:hAnsi="Times New Roman" w:cs="Times New Roman"/>
          <w:sz w:val="24"/>
          <w:szCs w:val="24"/>
        </w:rPr>
        <w:t xml:space="preserve"> Red Sea Block Offering," 2025.</w:t>
      </w:r>
    </w:p>
    <w:p w14:paraId="41BD8E68" w14:textId="5DAAEEA6"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Egypt Oil &amp; Gas, "Red Sea Reforms: From Frontier Promise to Capital Flow," 2026.</w:t>
      </w:r>
    </w:p>
    <w:p w14:paraId="200CF1D7" w14:textId="5A35FED8"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OGV Energy, "Chevron Exits Egypt's Red Sea Blocks, Eyes Mediterranean Prospects," 2025.</w:t>
      </w:r>
    </w:p>
    <w:p w14:paraId="2BA69894" w14:textId="573B124B"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 xml:space="preserve">Egypt Oil &amp; Gas, Red Sea tag archive, </w:t>
      </w:r>
      <w:proofErr w:type="spellStart"/>
      <w:r w:rsidRPr="001470A1">
        <w:rPr>
          <w:rFonts w:ascii="Times New Roman" w:hAnsi="Times New Roman" w:cs="Times New Roman"/>
          <w:sz w:val="24"/>
          <w:szCs w:val="24"/>
        </w:rPr>
        <w:t>Ganope</w:t>
      </w:r>
      <w:proofErr w:type="spellEnd"/>
      <w:r w:rsidRPr="001470A1">
        <w:rPr>
          <w:rFonts w:ascii="Times New Roman" w:hAnsi="Times New Roman" w:cs="Times New Roman"/>
          <w:sz w:val="24"/>
          <w:szCs w:val="24"/>
        </w:rPr>
        <w:t>/EPEX bid-round workshop coverage.</w:t>
      </w:r>
    </w:p>
    <w:p w14:paraId="31382694" w14:textId="0E577E8C"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Energies Media, "Egypt opens global licensing round for offshore oil and gas acreage in the Red Sea," 2026.</w:t>
      </w:r>
    </w:p>
    <w:p w14:paraId="522CDA2D" w14:textId="1B56621A"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Worldometer</w:t>
      </w:r>
      <w:proofErr w:type="spellEnd"/>
      <w:r w:rsidRPr="001470A1">
        <w:rPr>
          <w:rFonts w:ascii="Times New Roman" w:hAnsi="Times New Roman" w:cs="Times New Roman"/>
          <w:sz w:val="24"/>
          <w:szCs w:val="24"/>
        </w:rPr>
        <w:t>, "Sudan Natural Gas Reserves, Production and Consumption Statistics," citing EIA data.</w:t>
      </w:r>
    </w:p>
    <w:p w14:paraId="1DBAC518" w14:textId="62B97CF1"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Penn State, "Oil - Sudan," Lesson 11: Natural Resources course material.</w:t>
      </w:r>
    </w:p>
    <w:p w14:paraId="2127EDE8" w14:textId="525949E6"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LiveJournal archive of EIA "Sudan and South Sudan" country analysis brief.</w:t>
      </w:r>
    </w:p>
    <w:p w14:paraId="13DE9C00" w14:textId="2EDC7849"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USGS Fact Sheet 2010-3119, "Assessment of Undiscovered Oil and Gas Resources of the Red Sea Basin Province," pubs.usgs.gov.</w:t>
      </w:r>
    </w:p>
    <w:p w14:paraId="5E1360BF" w14:textId="2E834A76"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USGS publication record, same Red Sea Basin Province assessment, usgs.gov.</w:t>
      </w:r>
    </w:p>
    <w:p w14:paraId="28737ACC" w14:textId="4C16A098"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 xml:space="preserve">USGS </w:t>
      </w:r>
      <w:proofErr w:type="spellStart"/>
      <w:r w:rsidRPr="001470A1">
        <w:rPr>
          <w:rFonts w:ascii="Times New Roman" w:hAnsi="Times New Roman" w:cs="Times New Roman"/>
          <w:sz w:val="24"/>
          <w:szCs w:val="24"/>
        </w:rPr>
        <w:t>pubsdata</w:t>
      </w:r>
      <w:proofErr w:type="spellEnd"/>
      <w:r w:rsidRPr="001470A1">
        <w:rPr>
          <w:rFonts w:ascii="Times New Roman" w:hAnsi="Times New Roman" w:cs="Times New Roman"/>
          <w:sz w:val="24"/>
          <w:szCs w:val="24"/>
        </w:rPr>
        <w:t xml:space="preserve"> archive of Fact Sheet 2010-3119.</w:t>
      </w:r>
    </w:p>
    <w:p w14:paraId="713A9DCD" w14:textId="1A9D567D"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lastRenderedPageBreak/>
        <w:t xml:space="preserve">Sputnik/GlobalSecurity.org, "Sudan's Oil Reserves Estimated at 6 </w:t>
      </w:r>
      <w:proofErr w:type="gramStart"/>
      <w:r w:rsidRPr="001470A1">
        <w:rPr>
          <w:rFonts w:ascii="Times New Roman" w:hAnsi="Times New Roman" w:cs="Times New Roman"/>
          <w:sz w:val="24"/>
          <w:szCs w:val="24"/>
        </w:rPr>
        <w:t>Billion</w:t>
      </w:r>
      <w:proofErr w:type="gramEnd"/>
      <w:r w:rsidRPr="001470A1">
        <w:rPr>
          <w:rFonts w:ascii="Times New Roman" w:hAnsi="Times New Roman" w:cs="Times New Roman"/>
          <w:sz w:val="24"/>
          <w:szCs w:val="24"/>
        </w:rPr>
        <w:t xml:space="preserve"> Barrels," 2020.</w:t>
      </w:r>
    </w:p>
    <w:p w14:paraId="70C4BC6D" w14:textId="01B6C8C8"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IMF, "IMF and South Sudan Reach Staff-Level Agreement on a Nine-Month Staff-Monitored Program," 2025.</w:t>
      </w:r>
    </w:p>
    <w:p w14:paraId="467DA4A6" w14:textId="4DD33213"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Sirion.ai, "What Is a Production Sharing Agreement," general PSA/PSC explainer.</w:t>
      </w:r>
    </w:p>
    <w:p w14:paraId="5D22424E" w14:textId="0F072C2B"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Farmonaut</w:t>
      </w:r>
      <w:proofErr w:type="spellEnd"/>
      <w:r w:rsidRPr="001470A1">
        <w:rPr>
          <w:rFonts w:ascii="Times New Roman" w:hAnsi="Times New Roman" w:cs="Times New Roman"/>
          <w:sz w:val="24"/>
          <w:szCs w:val="24"/>
        </w:rPr>
        <w:t xml:space="preserve">, "PSC, PSC Oil And Gas: 5 Key Trends Revolutionizing </w:t>
      </w:r>
      <w:proofErr w:type="gramStart"/>
      <w:r w:rsidRPr="001470A1">
        <w:rPr>
          <w:rFonts w:ascii="Times New Roman" w:hAnsi="Times New Roman" w:cs="Times New Roman"/>
          <w:sz w:val="24"/>
          <w:szCs w:val="24"/>
        </w:rPr>
        <w:t>The</w:t>
      </w:r>
      <w:proofErr w:type="gramEnd"/>
      <w:r w:rsidRPr="001470A1">
        <w:rPr>
          <w:rFonts w:ascii="Times New Roman" w:hAnsi="Times New Roman" w:cs="Times New Roman"/>
          <w:sz w:val="24"/>
          <w:szCs w:val="24"/>
        </w:rPr>
        <w:t xml:space="preserve"> Industry," 2026.</w:t>
      </w:r>
    </w:p>
    <w:p w14:paraId="0656878D" w14:textId="62C547EC"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MarkWide</w:t>
      </w:r>
      <w:proofErr w:type="spellEnd"/>
      <w:r w:rsidRPr="001470A1">
        <w:rPr>
          <w:rFonts w:ascii="Times New Roman" w:hAnsi="Times New Roman" w:cs="Times New Roman"/>
          <w:sz w:val="24"/>
          <w:szCs w:val="24"/>
        </w:rPr>
        <w:t xml:space="preserve"> Research, "South Sudan Oil and Gas Upstream Market" report, 2026.</w:t>
      </w:r>
    </w:p>
    <w:p w14:paraId="409ADE33" w14:textId="737D86F6"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Mordor Intelligence, South Sudan oil and gas market report (upstream segment detail), 2026.</w:t>
      </w:r>
    </w:p>
    <w:p w14:paraId="104B2A4A" w14:textId="44EA227A"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 xml:space="preserve">Business Standard, "Sudan owes $418 </w:t>
      </w:r>
      <w:proofErr w:type="spellStart"/>
      <w:r w:rsidRPr="001470A1">
        <w:rPr>
          <w:rFonts w:ascii="Times New Roman" w:hAnsi="Times New Roman" w:cs="Times New Roman"/>
          <w:sz w:val="24"/>
          <w:szCs w:val="24"/>
        </w:rPr>
        <w:t>mn</w:t>
      </w:r>
      <w:proofErr w:type="spellEnd"/>
      <w:r w:rsidRPr="001470A1">
        <w:rPr>
          <w:rFonts w:ascii="Times New Roman" w:hAnsi="Times New Roman" w:cs="Times New Roman"/>
          <w:sz w:val="24"/>
          <w:szCs w:val="24"/>
        </w:rPr>
        <w:t xml:space="preserve"> to ONGC Videsh," archival report on Block 2B </w:t>
      </w:r>
      <w:proofErr w:type="spellStart"/>
      <w:r w:rsidRPr="001470A1">
        <w:rPr>
          <w:rFonts w:ascii="Times New Roman" w:hAnsi="Times New Roman" w:cs="Times New Roman"/>
          <w:sz w:val="24"/>
          <w:szCs w:val="24"/>
        </w:rPr>
        <w:t>licence</w:t>
      </w:r>
      <w:proofErr w:type="spellEnd"/>
      <w:r w:rsidRPr="001470A1">
        <w:rPr>
          <w:rFonts w:ascii="Times New Roman" w:hAnsi="Times New Roman" w:cs="Times New Roman"/>
          <w:sz w:val="24"/>
          <w:szCs w:val="24"/>
        </w:rPr>
        <w:t xml:space="preserve"> dispute.</w:t>
      </w:r>
    </w:p>
    <w:p w14:paraId="2EA2119B" w14:textId="40030A45"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ndia.dtic.mil / ECOS, "Sudan Oil Map" — block ownership reference chart.</w:t>
      </w:r>
    </w:p>
    <w:p w14:paraId="1A8A2E0B" w14:textId="508F6D27"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Sustainable Energy for All, "The Republic of South Sudan" resource assessment, seforall.org.</w:t>
      </w:r>
    </w:p>
    <w:p w14:paraId="42152174" w14:textId="43E0090E"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Rigzone,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Company News" archive.</w:t>
      </w:r>
    </w:p>
    <w:p w14:paraId="3FB14797" w14:textId="14E60569"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Global Energy Monitor, "Greater Nile Oil Pipeline" wiki entry.</w:t>
      </w:r>
    </w:p>
    <w:p w14:paraId="0F144DA4" w14:textId="479B6B38"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Wikipedia, "Block 5A, South Sudan," production and consortium history detail.</w:t>
      </w:r>
    </w:p>
    <w:p w14:paraId="18F341A1" w14:textId="51A9A122"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Wikipedia, "Economy of South Sudan," GNPOC/Petrodar consortium ownership detail.</w:t>
      </w:r>
    </w:p>
    <w:p w14:paraId="4729880B" w14:textId="7E512DEB"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Yahoo Finance/Petronas press release, "Petronas signs agreement for Block 18 O&amp;G exploration in Oman," 2026 (context on Petronas's broader portfolio strategy).</w:t>
      </w:r>
    </w:p>
    <w:p w14:paraId="1F54DD92" w14:textId="30F76A85"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Slideshare</w:t>
      </w:r>
      <w:proofErr w:type="spellEnd"/>
      <w:r w:rsidRPr="001470A1">
        <w:rPr>
          <w:rFonts w:ascii="Times New Roman" w:hAnsi="Times New Roman" w:cs="Times New Roman"/>
          <w:sz w:val="24"/>
          <w:szCs w:val="24"/>
        </w:rPr>
        <w:t xml:space="preserve">, </w:t>
      </w:r>
      <w:proofErr w:type="spellStart"/>
      <w:r w:rsidRPr="001470A1">
        <w:rPr>
          <w:rFonts w:ascii="Times New Roman" w:hAnsi="Times New Roman" w:cs="Times New Roman"/>
          <w:sz w:val="24"/>
          <w:szCs w:val="24"/>
        </w:rPr>
        <w:t>Sudapet</w:t>
      </w:r>
      <w:proofErr w:type="spellEnd"/>
      <w:r w:rsidRPr="001470A1">
        <w:rPr>
          <w:rFonts w:ascii="Times New Roman" w:hAnsi="Times New Roman" w:cs="Times New Roman"/>
          <w:sz w:val="24"/>
          <w:szCs w:val="24"/>
        </w:rPr>
        <w:t xml:space="preserve"> Co. Ltd., "4th World National Oil Companies Congress" presentation, 2010.</w:t>
      </w:r>
    </w:p>
    <w:p w14:paraId="15C50022" w14:textId="7D084ED4"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AllAfrica, Sudan investment-news digest, 2025.</w:t>
      </w:r>
    </w:p>
    <w:p w14:paraId="41A2E6E0" w14:textId="78D01C83"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Steptoe, "The Gold Nile: Sudan's Civil War and the Gold Trade," 2026.</w:t>
      </w:r>
    </w:p>
    <w:p w14:paraId="21800701" w14:textId="02DC82BD"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Center for American Progress, "How Congress Can Help Curb the UAE's Role in Sudan's Crisis," 2025.</w:t>
      </w:r>
    </w:p>
    <w:p w14:paraId="47996CDB" w14:textId="14D9438E"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GIS Reports Online, "Sudan war: A proxy conflict fueled by gold," 2026.</w:t>
      </w:r>
    </w:p>
    <w:p w14:paraId="63F1EFF0" w14:textId="0A092871"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Chatham House, "Gold and the war in Sudan," 2025.</w:t>
      </w:r>
    </w:p>
    <w:p w14:paraId="538EB6FC" w14:textId="03202B0D"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Business &amp; Human Rights Resource Centre, "UAE investigates companies tied to Sudan conflict after U.S. sanctions."</w:t>
      </w:r>
    </w:p>
    <w:p w14:paraId="250EB17F" w14:textId="2D990379"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Business &amp; Human Rights Resource Centre, "Sudan: U.S. Sanctions RSF-Linked Firms Operating in UAE."</w:t>
      </w:r>
    </w:p>
    <w:p w14:paraId="3FBC27B5" w14:textId="6D4BAA8C"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Discovery Alert, "EU Restrictions on Trading Sudanese Gold: 2026 Ban."</w:t>
      </w:r>
    </w:p>
    <w:p w14:paraId="304C2B0A" w14:textId="5166BC3B"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 xml:space="preserve">The Arab Weekly, "Turkey is winning in Sudan. But for how </w:t>
      </w:r>
      <w:proofErr w:type="gramStart"/>
      <w:r w:rsidRPr="001470A1">
        <w:rPr>
          <w:rFonts w:ascii="Times New Roman" w:hAnsi="Times New Roman" w:cs="Times New Roman"/>
          <w:sz w:val="24"/>
          <w:szCs w:val="24"/>
        </w:rPr>
        <w:t>long?,</w:t>
      </w:r>
      <w:proofErr w:type="gramEnd"/>
      <w:r w:rsidRPr="001470A1">
        <w:rPr>
          <w:rFonts w:ascii="Times New Roman" w:hAnsi="Times New Roman" w:cs="Times New Roman"/>
          <w:sz w:val="24"/>
          <w:szCs w:val="24"/>
        </w:rPr>
        <w:t>" 2026.</w:t>
      </w:r>
    </w:p>
    <w:p w14:paraId="751BE1C4" w14:textId="3AFC4746"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Anadolu Agency, "Erdogan calls for more Turkish investment in Sudan."</w:t>
      </w:r>
    </w:p>
    <w:p w14:paraId="49B112D0" w14:textId="50E65E10"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Atlantic Council, "Redefining power systems: Turkish electric-sector engagement in Africa," 2026.</w:t>
      </w:r>
    </w:p>
    <w:p w14:paraId="292BA415" w14:textId="5B25EEFB"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Anadolu Agency, "Türkiye, Saudi Arabia sign deals on investment, defense, energy, communications."</w:t>
      </w:r>
    </w:p>
    <w:p w14:paraId="0A429066" w14:textId="2F36BDDA"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Sudan Tribune, "Sudan and Turkey sign deals on agriculture, energy and mining in Ankara," 2026.</w:t>
      </w:r>
    </w:p>
    <w:p w14:paraId="36AA5992" w14:textId="49B600AE"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Wikipedia, "2025 Iraq oil for water deal" (regional comparator on Turkish resource diplomacy).</w:t>
      </w:r>
    </w:p>
    <w:p w14:paraId="403AF893" w14:textId="1C5B2289"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lastRenderedPageBreak/>
        <w:t>Anadolu Agency, "Sudan seeks to revive energy ties with Türkiye, invites investors," 2026.</w:t>
      </w:r>
    </w:p>
    <w:p w14:paraId="315F04A2" w14:textId="66B35B7D"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Horn Review, "Turkey as a New Protectorate: Oil, Gas, and Fishing Pacts," 2025 (Somalia comparator).</w:t>
      </w:r>
    </w:p>
    <w:p w14:paraId="25417D8A" w14:textId="7E4E133F"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Barchart</w:t>
      </w:r>
      <w:proofErr w:type="spellEnd"/>
      <w:r w:rsidRPr="001470A1">
        <w:rPr>
          <w:rFonts w:ascii="Times New Roman" w:hAnsi="Times New Roman" w:cs="Times New Roman"/>
          <w:sz w:val="24"/>
          <w:szCs w:val="24"/>
        </w:rPr>
        <w:t>/</w:t>
      </w:r>
      <w:proofErr w:type="spellStart"/>
      <w:r w:rsidRPr="001470A1">
        <w:rPr>
          <w:rFonts w:ascii="Times New Roman" w:hAnsi="Times New Roman" w:cs="Times New Roman"/>
          <w:sz w:val="24"/>
          <w:szCs w:val="24"/>
        </w:rPr>
        <w:t>Arizton</w:t>
      </w:r>
      <w:proofErr w:type="spellEnd"/>
      <w:r w:rsidRPr="001470A1">
        <w:rPr>
          <w:rFonts w:ascii="Times New Roman" w:hAnsi="Times New Roman" w:cs="Times New Roman"/>
          <w:sz w:val="24"/>
          <w:szCs w:val="24"/>
        </w:rPr>
        <w:t>, Turkey construction equipment and renewable energy investment market data.</w:t>
      </w:r>
    </w:p>
    <w:p w14:paraId="5C79E3EF" w14:textId="4CE31DDD"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Rystad Energy, "Global FLNG capacity to more than triple by 2030," 2026.</w:t>
      </w:r>
    </w:p>
    <w:p w14:paraId="4B2A28A2" w14:textId="596EE29D"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Oil &amp; Gas Online, duplicate Rystad Energy FLNG capacity coverage.</w:t>
      </w:r>
    </w:p>
    <w:p w14:paraId="2B659C67" w14:textId="30C675F4" w:rsidR="00804ECE" w:rsidRPr="001470A1" w:rsidRDefault="00000000">
      <w:pPr>
        <w:spacing w:after="80"/>
        <w:ind w:left="360" w:hanging="360"/>
        <w:rPr>
          <w:rFonts w:ascii="Times New Roman" w:hAnsi="Times New Roman" w:cs="Times New Roman"/>
          <w:sz w:val="24"/>
          <w:szCs w:val="24"/>
        </w:rPr>
      </w:pPr>
      <w:proofErr w:type="spellStart"/>
      <w:r w:rsidRPr="001470A1">
        <w:rPr>
          <w:rFonts w:ascii="Times New Roman" w:hAnsi="Times New Roman" w:cs="Times New Roman"/>
          <w:sz w:val="24"/>
          <w:szCs w:val="24"/>
        </w:rPr>
        <w:t>SolAbility</w:t>
      </w:r>
      <w:proofErr w:type="spellEnd"/>
      <w:r w:rsidRPr="001470A1">
        <w:rPr>
          <w:rFonts w:ascii="Times New Roman" w:hAnsi="Times New Roman" w:cs="Times New Roman"/>
          <w:sz w:val="24"/>
          <w:szCs w:val="24"/>
        </w:rPr>
        <w:t>, "Global LNG Market Outlook 2025-2035: Castles Built on Sand," February 2026.</w:t>
      </w:r>
    </w:p>
    <w:p w14:paraId="742DF52E" w14:textId="6D6DA070"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International Institute for Sustainable Development, "A Precarious Pursuit" — Africa LNG breakeven analysis, 2024.</w:t>
      </w:r>
    </w:p>
    <w:p w14:paraId="2223D6C8" w14:textId="50703ABF" w:rsidR="00804ECE" w:rsidRPr="001470A1" w:rsidRDefault="00000000">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Pan African Visions, "Africa's Next Wave of Liquefied Natural Gas (LNG) Investment Set to Converge at Paris Energy Forum," 2026.</w:t>
      </w:r>
    </w:p>
    <w:p w14:paraId="3CCB258F" w14:textId="43F5C017" w:rsidR="00804ECE" w:rsidRPr="001470A1" w:rsidRDefault="00000000" w:rsidP="00074405">
      <w:pPr>
        <w:spacing w:after="80"/>
        <w:ind w:left="360" w:hanging="360"/>
        <w:rPr>
          <w:rFonts w:ascii="Times New Roman" w:hAnsi="Times New Roman" w:cs="Times New Roman"/>
          <w:sz w:val="24"/>
          <w:szCs w:val="24"/>
        </w:rPr>
      </w:pPr>
      <w:r w:rsidRPr="001470A1">
        <w:rPr>
          <w:rFonts w:ascii="Times New Roman" w:hAnsi="Times New Roman" w:cs="Times New Roman"/>
          <w:sz w:val="24"/>
          <w:szCs w:val="24"/>
        </w:rPr>
        <w:t>GlobeNewswire/Research and Markets, Small-Scale and Floating LNG market report summaries.</w:t>
      </w:r>
    </w:p>
    <w:sectPr w:rsidR="00804ECE" w:rsidRPr="001470A1" w:rsidSect="000133A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01BF9"/>
    <w:multiLevelType w:val="hybridMultilevel"/>
    <w:tmpl w:val="5CB2B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B71370"/>
    <w:multiLevelType w:val="hybridMultilevel"/>
    <w:tmpl w:val="69847BD4"/>
    <w:lvl w:ilvl="0" w:tplc="0A6E7776">
      <w:start w:val="1"/>
      <w:numFmt w:val="bullet"/>
      <w:lvlText w:val="●"/>
      <w:lvlJc w:val="left"/>
      <w:pPr>
        <w:ind w:left="720" w:hanging="360"/>
      </w:pPr>
    </w:lvl>
    <w:lvl w:ilvl="1" w:tplc="62CEF206">
      <w:start w:val="1"/>
      <w:numFmt w:val="bullet"/>
      <w:lvlText w:val="○"/>
      <w:lvlJc w:val="left"/>
      <w:pPr>
        <w:ind w:left="1440" w:hanging="360"/>
      </w:pPr>
    </w:lvl>
    <w:lvl w:ilvl="2" w:tplc="59CE98E4">
      <w:start w:val="1"/>
      <w:numFmt w:val="bullet"/>
      <w:lvlText w:val="■"/>
      <w:lvlJc w:val="left"/>
      <w:pPr>
        <w:ind w:left="2160" w:hanging="360"/>
      </w:pPr>
    </w:lvl>
    <w:lvl w:ilvl="3" w:tplc="1116BCBE">
      <w:start w:val="1"/>
      <w:numFmt w:val="bullet"/>
      <w:lvlText w:val="●"/>
      <w:lvlJc w:val="left"/>
      <w:pPr>
        <w:ind w:left="2880" w:hanging="360"/>
      </w:pPr>
    </w:lvl>
    <w:lvl w:ilvl="4" w:tplc="779E57EC">
      <w:start w:val="1"/>
      <w:numFmt w:val="bullet"/>
      <w:lvlText w:val="○"/>
      <w:lvlJc w:val="left"/>
      <w:pPr>
        <w:ind w:left="3600" w:hanging="360"/>
      </w:pPr>
    </w:lvl>
    <w:lvl w:ilvl="5" w:tplc="522E1E84">
      <w:start w:val="1"/>
      <w:numFmt w:val="bullet"/>
      <w:lvlText w:val="■"/>
      <w:lvlJc w:val="left"/>
      <w:pPr>
        <w:ind w:left="4320" w:hanging="360"/>
      </w:pPr>
    </w:lvl>
    <w:lvl w:ilvl="6" w:tplc="0D40985A">
      <w:start w:val="1"/>
      <w:numFmt w:val="bullet"/>
      <w:lvlText w:val="●"/>
      <w:lvlJc w:val="left"/>
      <w:pPr>
        <w:ind w:left="5040" w:hanging="360"/>
      </w:pPr>
    </w:lvl>
    <w:lvl w:ilvl="7" w:tplc="56EE6A4A">
      <w:start w:val="1"/>
      <w:numFmt w:val="bullet"/>
      <w:lvlText w:val="●"/>
      <w:lvlJc w:val="left"/>
      <w:pPr>
        <w:ind w:left="5760" w:hanging="360"/>
      </w:pPr>
    </w:lvl>
    <w:lvl w:ilvl="8" w:tplc="F7E011F6">
      <w:start w:val="1"/>
      <w:numFmt w:val="bullet"/>
      <w:lvlText w:val="●"/>
      <w:lvlJc w:val="left"/>
      <w:pPr>
        <w:ind w:left="6480" w:hanging="360"/>
      </w:pPr>
    </w:lvl>
  </w:abstractNum>
  <w:abstractNum w:abstractNumId="2" w15:restartNumberingAfterBreak="0">
    <w:nsid w:val="5A581C96"/>
    <w:multiLevelType w:val="hybridMultilevel"/>
    <w:tmpl w:val="9E3608D6"/>
    <w:lvl w:ilvl="0" w:tplc="33187804">
      <w:start w:val="1"/>
      <w:numFmt w:val="bullet"/>
      <w:lvlText w:val="•"/>
      <w:lvlJc w:val="left"/>
      <w:pPr>
        <w:ind w:left="450" w:hanging="260"/>
      </w:pPr>
    </w:lvl>
    <w:lvl w:ilvl="1" w:tplc="9402AB0A">
      <w:numFmt w:val="decimal"/>
      <w:lvlText w:val=""/>
      <w:lvlJc w:val="left"/>
    </w:lvl>
    <w:lvl w:ilvl="2" w:tplc="1D3E444C">
      <w:numFmt w:val="decimal"/>
      <w:lvlText w:val=""/>
      <w:lvlJc w:val="left"/>
    </w:lvl>
    <w:lvl w:ilvl="3" w:tplc="7A3CE6AA">
      <w:numFmt w:val="decimal"/>
      <w:lvlText w:val=""/>
      <w:lvlJc w:val="left"/>
    </w:lvl>
    <w:lvl w:ilvl="4" w:tplc="89B45C56">
      <w:numFmt w:val="decimal"/>
      <w:lvlText w:val=""/>
      <w:lvlJc w:val="left"/>
    </w:lvl>
    <w:lvl w:ilvl="5" w:tplc="D702F1E6">
      <w:numFmt w:val="decimal"/>
      <w:lvlText w:val=""/>
      <w:lvlJc w:val="left"/>
    </w:lvl>
    <w:lvl w:ilvl="6" w:tplc="C2409DD4">
      <w:numFmt w:val="decimal"/>
      <w:lvlText w:val=""/>
      <w:lvlJc w:val="left"/>
    </w:lvl>
    <w:lvl w:ilvl="7" w:tplc="40F462F6">
      <w:numFmt w:val="decimal"/>
      <w:lvlText w:val=""/>
      <w:lvlJc w:val="left"/>
    </w:lvl>
    <w:lvl w:ilvl="8" w:tplc="EDBCDCB2">
      <w:numFmt w:val="decimal"/>
      <w:lvlText w:val=""/>
      <w:lvlJc w:val="left"/>
    </w:lvl>
  </w:abstractNum>
  <w:num w:numId="1" w16cid:durableId="1719743692">
    <w:abstractNumId w:val="1"/>
    <w:lvlOverride w:ilvl="0">
      <w:startOverride w:val="1"/>
    </w:lvlOverride>
  </w:num>
  <w:num w:numId="2" w16cid:durableId="69934112">
    <w:abstractNumId w:val="2"/>
    <w:lvlOverride w:ilvl="0">
      <w:startOverride w:val="1"/>
    </w:lvlOverride>
  </w:num>
  <w:num w:numId="3" w16cid:durableId="1910577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ECE"/>
    <w:rsid w:val="000133AA"/>
    <w:rsid w:val="00074405"/>
    <w:rsid w:val="001470A1"/>
    <w:rsid w:val="00396DC0"/>
    <w:rsid w:val="0043543C"/>
    <w:rsid w:val="00523EE4"/>
    <w:rsid w:val="005367F5"/>
    <w:rsid w:val="00717DAA"/>
    <w:rsid w:val="00804ECE"/>
    <w:rsid w:val="00991B43"/>
    <w:rsid w:val="009C5C18"/>
    <w:rsid w:val="009E154E"/>
    <w:rsid w:val="00AB188E"/>
    <w:rsid w:val="00B11017"/>
    <w:rsid w:val="00BF3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B3FCE"/>
  <w15:docId w15:val="{5C324ADB-9C60-425A-8067-EEF130081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991B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21</Pages>
  <Words>8526</Words>
  <Characters>48602</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3</cp:revision>
  <dcterms:created xsi:type="dcterms:W3CDTF">2026-08-31T09:36:00Z</dcterms:created>
  <dcterms:modified xsi:type="dcterms:W3CDTF">2026-08-31T11:47:00Z</dcterms:modified>
</cp:coreProperties>
</file>