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695743">
      <w:pPr>
        <w:pStyle w:val="2"/>
        <w:keepNext w:val="0"/>
        <w:keepLines w:val="0"/>
        <w:widowControl/>
        <w:suppressLineNumbers w:val="0"/>
        <w:spacing w:line="24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OFFSHORE GA</w:t>
      </w:r>
      <w:bookmarkStart w:id="0" w:name="_GoBack"/>
      <w:bookmarkEnd w:id="0"/>
      <w:r>
        <w:rPr>
          <w:rFonts w:hint="default" w:ascii="Times New Roman" w:hAnsi="Times New Roman" w:cs="Times New Roman"/>
          <w:b/>
          <w:bCs/>
          <w:sz w:val="24"/>
          <w:szCs w:val="24"/>
        </w:rPr>
        <w:t>S DEHYDRATION AND ACID GAS REMOVAL FOR LNG SPECIFICATION COMPLIANCE IN CONGO</w:t>
      </w:r>
    </w:p>
    <w:p w14:paraId="3F9B74E1">
      <w:pPr>
        <w:pStyle w:val="3"/>
        <w:keepNext w:val="0"/>
        <w:keepLines w:val="0"/>
        <w:widowControl/>
        <w:suppressLineNumbers w:val="0"/>
        <w:spacing w:line="240" w:lineRule="auto"/>
        <w:jc w:val="both"/>
        <w:rPr>
          <w:rFonts w:hint="default" w:ascii="Times New Roman" w:hAnsi="Times New Roman" w:cs="Times New Roman"/>
          <w:b w:val="0"/>
          <w:bCs w:val="0"/>
          <w:sz w:val="24"/>
          <w:szCs w:val="24"/>
          <w:u w:val="single"/>
        </w:rPr>
      </w:pPr>
      <w:r>
        <w:rPr>
          <w:rFonts w:hint="default" w:ascii="Times New Roman" w:hAnsi="Times New Roman" w:cs="Times New Roman"/>
          <w:b w:val="0"/>
          <w:bCs w:val="0"/>
          <w:sz w:val="24"/>
          <w:szCs w:val="24"/>
          <w:u w:val="single"/>
        </w:rPr>
        <w:t>Executive Summary</w:t>
      </w:r>
    </w:p>
    <w:p w14:paraId="6A870B53">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Congo LNG (Eni-operated, Marine XII license) reached 3 MTPA total liquefaction capacity in February 2026 with the start of Phase 2 (Nguya FLNG, 2.4 Mtpa), alongside the existing Tango FLNG (0.6 Mtpa, operating since February 2024). The gas conditioning architecture is now reasonably well characterised at the </w:t>
      </w:r>
      <w:r>
        <w:rPr>
          <w:rStyle w:val="8"/>
          <w:rFonts w:hint="default" w:ascii="Times New Roman" w:hAnsi="Times New Roman" w:cs="Times New Roman"/>
          <w:b w:val="0"/>
          <w:bCs w:val="0"/>
          <w:sz w:val="24"/>
          <w:szCs w:val="24"/>
        </w:rPr>
        <w:t>configuration</w:t>
      </w:r>
      <w:r>
        <w:rPr>
          <w:rFonts w:hint="default" w:ascii="Times New Roman" w:hAnsi="Times New Roman" w:cs="Times New Roman"/>
          <w:b w:val="0"/>
          <w:bCs w:val="0"/>
          <w:sz w:val="24"/>
          <w:szCs w:val="24"/>
        </w:rPr>
        <w:t xml:space="preserve"> level offshore production platforms feed the converted </w:t>
      </w:r>
      <w:r>
        <w:rPr>
          <w:rStyle w:val="8"/>
          <w:rFonts w:hint="default" w:ascii="Times New Roman" w:hAnsi="Times New Roman" w:cs="Times New Roman"/>
          <w:b w:val="0"/>
          <w:bCs w:val="0"/>
          <w:sz w:val="24"/>
          <w:szCs w:val="24"/>
        </w:rPr>
        <w:t>Scarabeo 5</w:t>
      </w:r>
      <w:r>
        <w:rPr>
          <w:rFonts w:hint="default" w:ascii="Times New Roman" w:hAnsi="Times New Roman" w:cs="Times New Roman"/>
          <w:b w:val="0"/>
          <w:bCs w:val="0"/>
          <w:sz w:val="24"/>
          <w:szCs w:val="24"/>
        </w:rPr>
        <w:t xml:space="preserve"> floating production unit (FPU), which performs separation, gas treatment and compression before delivering feed gas to Nguya FLNG, while Tango FLNG's Phase 1 scope separately included a dedicated onshore/nearshore gas-pretreatment plant</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this note applies recognised LNG industry feed-gas specifications and standard engineering practice for offshore/FLNG gas-condensate developments of Congo's general type (moderate-CO₂, associated/non-associated gas-condensate, Gulf of Guinea Tertiary basin), explicitly labelled as benchmarks rather than Congo-specific data, to assess the technical adequacy and risk profile of the likely treatment configuration.</w:t>
      </w:r>
    </w:p>
    <w:p w14:paraId="3C9A1984">
      <w:pPr>
        <w:keepNext w:val="0"/>
        <w:keepLines w:val="0"/>
        <w:widowControl/>
        <w:suppressLineNumbers w:val="0"/>
        <w:spacing w:line="240" w:lineRule="auto"/>
        <w:jc w:val="both"/>
        <w:rPr>
          <w:rFonts w:hint="default" w:ascii="Times New Roman" w:hAnsi="Times New Roman" w:cs="Times New Roman"/>
          <w:b w:val="0"/>
          <w:bCs w:val="0"/>
          <w:sz w:val="24"/>
          <w:szCs w:val="24"/>
        </w:rPr>
      </w:pPr>
    </w:p>
    <w:p w14:paraId="07833E56">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1. Congo's Offshore Gas Feedstock</w:t>
      </w:r>
    </w:p>
    <w:tbl>
      <w:tblPr>
        <w:tblW w:w="9151" w:type="dxa"/>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044"/>
        <w:gridCol w:w="1018"/>
        <w:gridCol w:w="1119"/>
        <w:gridCol w:w="1215"/>
        <w:gridCol w:w="1549"/>
        <w:gridCol w:w="1406"/>
        <w:gridCol w:w="1800"/>
      </w:tblGrid>
      <w:tr w14:paraId="2F7E0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blCellSpacing w:w="15" w:type="dxa"/>
        </w:trPr>
        <w:tc>
          <w:tcPr>
            <w:tcW w:w="999" w:type="dxa"/>
            <w:tcBorders>
              <w:top w:val="single" w:color="000000" w:sz="4" w:space="0"/>
              <w:left w:val="single" w:color="000000" w:sz="4" w:space="0"/>
              <w:bottom w:val="single" w:color="000000" w:sz="4" w:space="0"/>
              <w:right w:val="single" w:color="000000" w:sz="4" w:space="0"/>
              <w:tl2br w:val="nil"/>
            </w:tcBorders>
            <w:shd w:val="clear" w:color="auto" w:fill="FFFFFF"/>
            <w:vAlign w:val="top"/>
          </w:tcPr>
          <w:p w14:paraId="55B973CC">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Field</w:t>
            </w:r>
          </w:p>
        </w:tc>
        <w:tc>
          <w:tcPr>
            <w:tcW w:w="988" w:type="dxa"/>
            <w:tcBorders>
              <w:top w:val="single" w:color="000000" w:sz="4" w:space="0"/>
              <w:left w:val="single" w:color="000000" w:sz="4" w:space="0"/>
              <w:bottom w:val="single" w:color="000000" w:sz="4" w:space="0"/>
              <w:right w:val="single" w:color="000000" w:sz="4" w:space="0"/>
            </w:tcBorders>
            <w:shd w:val="clear" w:color="auto" w:fill="FFFFFF"/>
            <w:vAlign w:val="top"/>
          </w:tcPr>
          <w:p w14:paraId="0B8D24AF">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Operator</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top"/>
          </w:tcPr>
          <w:p w14:paraId="0C2272FA">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Gas Type</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top"/>
          </w:tcPr>
          <w:p w14:paraId="71389CD7">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Production Status</w:t>
            </w:r>
          </w:p>
        </w:tc>
        <w:tc>
          <w:tcPr>
            <w:tcW w:w="1519" w:type="dxa"/>
            <w:tcBorders>
              <w:top w:val="single" w:color="000000" w:sz="4" w:space="0"/>
              <w:left w:val="single" w:color="000000" w:sz="4" w:space="0"/>
              <w:bottom w:val="single" w:color="000000" w:sz="4" w:space="0"/>
              <w:right w:val="single" w:color="000000" w:sz="4" w:space="0"/>
            </w:tcBorders>
            <w:shd w:val="clear" w:color="auto" w:fill="FFFFFF"/>
            <w:vAlign w:val="top"/>
          </w:tcPr>
          <w:p w14:paraId="1144FCD0">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Gas Production</w:t>
            </w: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top"/>
          </w:tcPr>
          <w:p w14:paraId="21BC8B09">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LNG Destination</w:t>
            </w:r>
          </w:p>
        </w:tc>
        <w:tc>
          <w:tcPr>
            <w:tcW w:w="1755" w:type="dxa"/>
            <w:tcBorders>
              <w:top w:val="single" w:color="000000" w:sz="4" w:space="0"/>
              <w:left w:val="single" w:color="000000" w:sz="4" w:space="0"/>
              <w:bottom w:val="single" w:color="000000" w:sz="4" w:space="0"/>
              <w:right w:val="single" w:color="000000" w:sz="4" w:space="0"/>
            </w:tcBorders>
            <w:shd w:val="clear" w:color="auto" w:fill="FFFFFF"/>
            <w:vAlign w:val="top"/>
          </w:tcPr>
          <w:p w14:paraId="62422CD7">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Available Gas Quality Data</w:t>
            </w:r>
          </w:p>
        </w:tc>
      </w:tr>
      <w:tr w14:paraId="360AA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999" w:type="dxa"/>
            <w:tcBorders>
              <w:top w:val="single" w:color="000000" w:sz="4" w:space="0"/>
              <w:left w:val="single" w:color="000000" w:sz="4" w:space="0"/>
              <w:bottom w:val="single" w:color="000000" w:sz="4" w:space="0"/>
              <w:right w:val="single" w:color="000000" w:sz="4" w:space="0"/>
            </w:tcBorders>
            <w:shd w:val="clear" w:color="auto" w:fill="FFFFFF"/>
            <w:vAlign w:val="top"/>
          </w:tcPr>
          <w:p w14:paraId="2FCB30C7">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Nené (Nené Marine)</w:t>
            </w:r>
          </w:p>
        </w:tc>
        <w:tc>
          <w:tcPr>
            <w:tcW w:w="988" w:type="dxa"/>
            <w:tcBorders>
              <w:top w:val="single" w:color="000000" w:sz="4" w:space="0"/>
              <w:left w:val="single" w:color="000000" w:sz="4" w:space="0"/>
              <w:bottom w:val="single" w:color="000000" w:sz="4" w:space="0"/>
              <w:right w:val="single" w:color="000000" w:sz="4" w:space="0"/>
            </w:tcBorders>
            <w:shd w:val="clear" w:color="auto" w:fill="FFFFFF"/>
            <w:vAlign w:val="top"/>
          </w:tcPr>
          <w:p w14:paraId="4222D0D7">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Eni (65% operated interest; New Age/Lukoil 25%, SNPC 10% — per 2019 disclosure)</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top"/>
          </w:tcPr>
          <w:p w14:paraId="33752885">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Associated/non-associated gas-condensate (oil field with associated gas)</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top"/>
          </w:tcPr>
          <w:p w14:paraId="7867E296">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Operational since 2015</w:t>
            </w:r>
          </w:p>
        </w:tc>
        <w:tc>
          <w:tcPr>
            <w:tcW w:w="1519" w:type="dxa"/>
            <w:tcBorders>
              <w:top w:val="single" w:color="000000" w:sz="4" w:space="0"/>
              <w:left w:val="single" w:color="000000" w:sz="4" w:space="0"/>
              <w:bottom w:val="single" w:color="000000" w:sz="4" w:space="0"/>
              <w:right w:val="single" w:color="000000" w:sz="4" w:space="0"/>
            </w:tcBorders>
            <w:shd w:val="clear" w:color="auto" w:fill="FFFFFF"/>
            <w:vAlign w:val="top"/>
          </w:tcPr>
          <w:p w14:paraId="4EA9956C">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Block-level (Nené + Litchendjili combined): reported at ~1.7 bcm/yr gas, ~28,000 bbl/d oil and condensate as of a ~2019–2020 baseline (Reported, dated) — a current, field-disaggregated 2026 production figure was not identified in sources reviewed</w:t>
            </w: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top"/>
          </w:tcPr>
          <w:p w14:paraId="3614CA81">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Feeds both Tango FLNG (since 2024) and Nguya FLNG (since Feb 2026) via the shared Marine XII gathering system</w:t>
            </w:r>
          </w:p>
        </w:tc>
        <w:tc>
          <w:tcPr>
            <w:tcW w:w="1755" w:type="dxa"/>
            <w:tcBorders>
              <w:top w:val="single" w:color="000000" w:sz="4" w:space="0"/>
              <w:left w:val="single" w:color="000000" w:sz="4" w:space="0"/>
              <w:bottom w:val="single" w:color="000000" w:sz="4" w:space="0"/>
              <w:right w:val="single" w:color="000000" w:sz="4" w:space="0"/>
            </w:tcBorders>
            <w:shd w:val="clear" w:color="auto" w:fill="FFFFFF"/>
            <w:vAlign w:val="top"/>
          </w:tcPr>
          <w:p w14:paraId="3233982C">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Not disclosed — no public compositional assay (CO₂/H₂S/H₂O mol%) identified for Nené specifically</w:t>
            </w:r>
          </w:p>
        </w:tc>
      </w:tr>
      <w:tr w14:paraId="2E1D7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999" w:type="dxa"/>
            <w:tcBorders>
              <w:top w:val="single" w:color="000000" w:sz="4" w:space="0"/>
              <w:left w:val="single" w:color="000000" w:sz="4" w:space="0"/>
              <w:bottom w:val="single" w:color="000000" w:sz="4" w:space="0"/>
              <w:right w:val="single" w:color="000000" w:sz="4" w:space="0"/>
            </w:tcBorders>
            <w:shd w:val="clear" w:color="auto" w:fill="FFFFFF"/>
            <w:vAlign w:val="top"/>
          </w:tcPr>
          <w:p w14:paraId="0D0E41CD">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Litchendjili</w:t>
            </w:r>
          </w:p>
        </w:tc>
        <w:tc>
          <w:tcPr>
            <w:tcW w:w="988" w:type="dxa"/>
            <w:tcBorders>
              <w:top w:val="single" w:color="000000" w:sz="4" w:space="0"/>
              <w:left w:val="single" w:color="000000" w:sz="4" w:space="0"/>
              <w:bottom w:val="single" w:color="000000" w:sz="4" w:space="0"/>
              <w:right w:val="single" w:color="000000" w:sz="4" w:space="0"/>
            </w:tcBorders>
            <w:shd w:val="clear" w:color="auto" w:fill="FFFFFF"/>
            <w:vAlign w:val="top"/>
          </w:tcPr>
          <w:p w14:paraId="75E25EFC">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Eni</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top"/>
          </w:tcPr>
          <w:p w14:paraId="6BF0A58F">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Gas-condensate (described by Eni/SPE as a "gas condensate field")</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top"/>
          </w:tcPr>
          <w:p w14:paraId="316E713E">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Operational since 2015; early-stage gas allocation (~73,500 cf/d, i.e. ~0.0735 mmscfd) was originally earmarked to supply the Djéno power plant per a pre-FID (c.2012–2014) planning disclosure — this is a legacy planning figure, not current production</w:t>
            </w:r>
          </w:p>
        </w:tc>
        <w:tc>
          <w:tcPr>
            <w:tcW w:w="1519" w:type="dxa"/>
            <w:tcBorders>
              <w:top w:val="single" w:color="000000" w:sz="4" w:space="0"/>
              <w:left w:val="single" w:color="000000" w:sz="4" w:space="0"/>
              <w:bottom w:val="single" w:color="000000" w:sz="4" w:space="0"/>
              <w:right w:val="single" w:color="000000" w:sz="4" w:space="0"/>
            </w:tcBorders>
            <w:shd w:val="clear" w:color="auto" w:fill="FFFFFF"/>
            <w:vAlign w:val="top"/>
          </w:tcPr>
          <w:p w14:paraId="4A09BCA4">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Included in the combined ~1.7 bcm/yr Marine XII figure above (Reported, dated)</w:t>
            </w: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top"/>
          </w:tcPr>
          <w:p w14:paraId="6EC3E36C">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Feeds CEC/CED (via the Litchendjili gas plant) as well as Congo LNG</w:t>
            </w:r>
          </w:p>
        </w:tc>
        <w:tc>
          <w:tcPr>
            <w:tcW w:w="1755" w:type="dxa"/>
            <w:tcBorders>
              <w:top w:val="single" w:color="000000" w:sz="4" w:space="0"/>
              <w:left w:val="single" w:color="000000" w:sz="4" w:space="0"/>
              <w:bottom w:val="single" w:color="000000" w:sz="4" w:space="0"/>
              <w:right w:val="single" w:color="000000" w:sz="4" w:space="0"/>
            </w:tcBorders>
            <w:shd w:val="clear" w:color="auto" w:fill="FFFFFF"/>
            <w:vAlign w:val="top"/>
          </w:tcPr>
          <w:p w14:paraId="0DAD2B8A">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Not disclosed — no public assay identified</w:t>
            </w:r>
          </w:p>
        </w:tc>
      </w:tr>
      <w:tr w14:paraId="221DA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999" w:type="dxa"/>
            <w:tcBorders>
              <w:top w:val="single" w:color="000000" w:sz="4" w:space="0"/>
              <w:left w:val="single" w:color="000000" w:sz="4" w:space="0"/>
              <w:bottom w:val="single" w:color="000000" w:sz="4" w:space="0"/>
              <w:right w:val="single" w:color="000000" w:sz="4" w:space="0"/>
            </w:tcBorders>
            <w:shd w:val="clear" w:color="auto" w:fill="FFFFFF"/>
            <w:vAlign w:val="top"/>
          </w:tcPr>
          <w:p w14:paraId="641D10B7">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Minsala, Nkala (Marine XII)</w:t>
            </w:r>
          </w:p>
        </w:tc>
        <w:tc>
          <w:tcPr>
            <w:tcW w:w="988" w:type="dxa"/>
            <w:tcBorders>
              <w:top w:val="single" w:color="000000" w:sz="4" w:space="0"/>
              <w:left w:val="single" w:color="000000" w:sz="4" w:space="0"/>
              <w:bottom w:val="single" w:color="000000" w:sz="4" w:space="0"/>
              <w:right w:val="single" w:color="000000" w:sz="4" w:space="0"/>
            </w:tcBorders>
            <w:shd w:val="clear" w:color="auto" w:fill="FFFFFF"/>
            <w:vAlign w:val="top"/>
          </w:tcPr>
          <w:p w14:paraId="6CF713FA">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Eni</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top"/>
          </w:tcPr>
          <w:p w14:paraId="498E1181">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Not yet characterised</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top"/>
          </w:tcPr>
          <w:p w14:paraId="2B2DF1C5">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Undeveloped discoveries within the Marine XII license, explicitly named by Eni as future development targets, with Nguya FLNG "designed to process gas with different compositions, supporting the potential development of additional fields in the area"</w:t>
            </w:r>
          </w:p>
        </w:tc>
        <w:tc>
          <w:tcPr>
            <w:tcW w:w="1519" w:type="dxa"/>
            <w:tcBorders>
              <w:top w:val="single" w:color="000000" w:sz="4" w:space="0"/>
              <w:left w:val="single" w:color="000000" w:sz="4" w:space="0"/>
              <w:bottom w:val="single" w:color="000000" w:sz="4" w:space="0"/>
              <w:right w:val="single" w:color="000000" w:sz="4" w:space="0"/>
            </w:tcBorders>
            <w:shd w:val="clear" w:color="auto" w:fill="FFFFFF"/>
            <w:vAlign w:val="top"/>
          </w:tcPr>
          <w:p w14:paraId="48545D2B">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Not yet allocated</w:t>
            </w: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top"/>
          </w:tcPr>
          <w:p w14:paraId="1935DCF4">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Potential future LNG feedstock</w:t>
            </w:r>
          </w:p>
        </w:tc>
        <w:tc>
          <w:tcPr>
            <w:tcW w:w="1755" w:type="dxa"/>
            <w:tcBorders>
              <w:top w:val="single" w:color="000000" w:sz="4" w:space="0"/>
              <w:left w:val="single" w:color="000000" w:sz="4" w:space="0"/>
              <w:bottom w:val="single" w:color="000000" w:sz="4" w:space="0"/>
              <w:right w:val="single" w:color="000000" w:sz="4" w:space="0"/>
            </w:tcBorders>
            <w:shd w:val="clear" w:color="auto" w:fill="FFFFFF"/>
            <w:vAlign w:val="top"/>
          </w:tcPr>
          <w:p w14:paraId="5E4E6D33">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Not disclosed — undeveloped</w:t>
            </w:r>
          </w:p>
        </w:tc>
      </w:tr>
      <w:tr w14:paraId="4700D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999" w:type="dxa"/>
            <w:tcBorders>
              <w:top w:val="single" w:color="000000" w:sz="4" w:space="0"/>
              <w:left w:val="single" w:color="000000" w:sz="4" w:space="0"/>
              <w:bottom w:val="single" w:color="000000" w:sz="4" w:space="0"/>
              <w:right w:val="single" w:color="000000" w:sz="4" w:space="0"/>
            </w:tcBorders>
            <w:shd w:val="clear" w:color="auto" w:fill="FFFFFF"/>
            <w:vAlign w:val="top"/>
          </w:tcPr>
          <w:p w14:paraId="6BC4C19B">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Marine VI Bis, Marine XXIV, Marine XXXI</w:t>
            </w:r>
          </w:p>
        </w:tc>
        <w:tc>
          <w:tcPr>
            <w:tcW w:w="988" w:type="dxa"/>
            <w:tcBorders>
              <w:top w:val="single" w:color="000000" w:sz="4" w:space="0"/>
              <w:left w:val="single" w:color="000000" w:sz="4" w:space="0"/>
              <w:bottom w:val="single" w:color="000000" w:sz="4" w:space="0"/>
              <w:right w:val="single" w:color="000000" w:sz="4" w:space="0"/>
            </w:tcBorders>
            <w:shd w:val="clear" w:color="auto" w:fill="FFFFFF"/>
            <w:vAlign w:val="top"/>
          </w:tcPr>
          <w:p w14:paraId="40BADD2C">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Not specified in sources reviewed</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top"/>
          </w:tcPr>
          <w:p w14:paraId="5426C0AD">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Not yet characterised</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top"/>
          </w:tcPr>
          <w:p w14:paraId="3757BDBE">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Exploration stage</w:t>
            </w:r>
          </w:p>
        </w:tc>
        <w:tc>
          <w:tcPr>
            <w:tcW w:w="1519" w:type="dxa"/>
            <w:tcBorders>
              <w:top w:val="single" w:color="000000" w:sz="4" w:space="0"/>
              <w:left w:val="single" w:color="000000" w:sz="4" w:space="0"/>
              <w:bottom w:val="single" w:color="000000" w:sz="4" w:space="0"/>
              <w:right w:val="single" w:color="000000" w:sz="4" w:space="0"/>
            </w:tcBorders>
            <w:shd w:val="clear" w:color="auto" w:fill="FFFFFF"/>
            <w:vAlign w:val="top"/>
          </w:tcPr>
          <w:p w14:paraId="0C14938C">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Not applicable</w:t>
            </w: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top"/>
          </w:tcPr>
          <w:p w14:paraId="1E5607F2">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Potential future LNG feedstock, referenced qualitatively in Congo gas-master-plan commentary</w:t>
            </w:r>
          </w:p>
        </w:tc>
        <w:tc>
          <w:tcPr>
            <w:tcW w:w="1755" w:type="dxa"/>
            <w:tcBorders>
              <w:top w:val="single" w:color="000000" w:sz="4" w:space="0"/>
              <w:left w:val="single" w:color="000000" w:sz="4" w:space="0"/>
              <w:bottom w:val="single" w:color="000000" w:sz="4" w:space="0"/>
              <w:right w:val="single" w:color="000000" w:sz="4" w:space="0"/>
            </w:tcBorders>
            <w:shd w:val="clear" w:color="auto" w:fill="FFFFFF"/>
            <w:vAlign w:val="top"/>
          </w:tcPr>
          <w:p w14:paraId="0E237A63">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Not disclosed</w:t>
            </w:r>
          </w:p>
        </w:tc>
      </w:tr>
      <w:tr w14:paraId="191F0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999" w:type="dxa"/>
            <w:tcBorders>
              <w:top w:val="single" w:color="000000" w:sz="4" w:space="0"/>
              <w:left w:val="single" w:color="000000" w:sz="4" w:space="0"/>
              <w:bottom w:val="single" w:color="000000" w:sz="4" w:space="0"/>
              <w:right w:val="single" w:color="000000" w:sz="4" w:space="0"/>
            </w:tcBorders>
            <w:shd w:val="clear" w:color="auto" w:fill="FFFFFF"/>
            <w:vAlign w:val="top"/>
          </w:tcPr>
          <w:p w14:paraId="2B3F6B21">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M'Boundi (onshore, for context)</w:t>
            </w:r>
          </w:p>
        </w:tc>
        <w:tc>
          <w:tcPr>
            <w:tcW w:w="988" w:type="dxa"/>
            <w:tcBorders>
              <w:top w:val="single" w:color="000000" w:sz="4" w:space="0"/>
              <w:left w:val="single" w:color="000000" w:sz="4" w:space="0"/>
              <w:bottom w:val="single" w:color="000000" w:sz="4" w:space="0"/>
              <w:right w:val="single" w:color="000000" w:sz="4" w:space="0"/>
            </w:tcBorders>
            <w:shd w:val="clear" w:color="auto" w:fill="FFFFFF"/>
            <w:vAlign w:val="top"/>
          </w:tcPr>
          <w:p w14:paraId="5C34382C">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Eni</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top"/>
          </w:tcPr>
          <w:p w14:paraId="0FCAA908">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Associated gas</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top"/>
          </w:tcPr>
          <w:p w14:paraId="2E2940A6">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Operational (mature, producing since the 2000s)</w:t>
            </w:r>
          </w:p>
        </w:tc>
        <w:tc>
          <w:tcPr>
            <w:tcW w:w="1519" w:type="dxa"/>
            <w:tcBorders>
              <w:top w:val="single" w:color="000000" w:sz="4" w:space="0"/>
              <w:left w:val="single" w:color="000000" w:sz="4" w:space="0"/>
              <w:bottom w:val="single" w:color="000000" w:sz="4" w:space="0"/>
              <w:right w:val="single" w:color="000000" w:sz="4" w:space="0"/>
            </w:tcBorders>
            <w:shd w:val="clear" w:color="auto" w:fill="FFFFFF"/>
            <w:vAlign w:val="top"/>
          </w:tcPr>
          <w:p w14:paraId="165AFE08">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Not disclosed at current date</w:t>
            </w:r>
          </w:p>
        </w:tc>
        <w:tc>
          <w:tcPr>
            <w:tcW w:w="1376" w:type="dxa"/>
            <w:tcBorders>
              <w:top w:val="single" w:color="000000" w:sz="4" w:space="0"/>
              <w:left w:val="single" w:color="000000" w:sz="4" w:space="0"/>
              <w:bottom w:val="single" w:color="000000" w:sz="4" w:space="0"/>
              <w:right w:val="single" w:color="000000" w:sz="4" w:space="0"/>
            </w:tcBorders>
            <w:shd w:val="clear" w:color="auto" w:fill="FFFFFF"/>
            <w:vAlign w:val="top"/>
          </w:tcPr>
          <w:p w14:paraId="679CEFA5">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Domestic power (CEC/CED) only — not part of the LNG feedstock chain; included for completeness since it shares some downstream gas-plant infrastructure logic with Marine XII</w:t>
            </w:r>
          </w:p>
        </w:tc>
        <w:tc>
          <w:tcPr>
            <w:tcW w:w="1755" w:type="dxa"/>
            <w:tcBorders>
              <w:top w:val="single" w:color="000000" w:sz="4" w:space="0"/>
              <w:left w:val="single" w:color="000000" w:sz="4" w:space="0"/>
              <w:bottom w:val="single" w:color="000000" w:sz="4" w:space="0"/>
              <w:right w:val="single" w:color="000000" w:sz="4" w:space="0"/>
            </w:tcBorders>
            <w:shd w:val="clear" w:color="auto" w:fill="FFFFFF"/>
            <w:vAlign w:val="top"/>
          </w:tcPr>
          <w:p w14:paraId="1F45ACF6">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 w:val="0"/>
                <w:bCs w:val="0"/>
                <w:color w:val="000000"/>
                <w:sz w:val="24"/>
                <w:szCs w:val="24"/>
              </w:rPr>
            </w:pPr>
            <w:r>
              <w:rPr>
                <w:rFonts w:hint="default" w:ascii="Times New Roman" w:hAnsi="Times New Roman" w:cs="Times New Roman"/>
                <w:b w:val="0"/>
                <w:bCs w:val="0"/>
                <w:color w:val="000000"/>
                <w:sz w:val="24"/>
                <w:szCs w:val="24"/>
                <w:lang w:val="en-US" w:eastAsia="zh-CN"/>
              </w:rPr>
              <w:t>Not disclosed</w:t>
            </w:r>
          </w:p>
        </w:tc>
      </w:tr>
    </w:tbl>
    <w:p w14:paraId="23AD3090">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Distinguishing reported production from estimates and projections:</w:t>
      </w:r>
      <w:r>
        <w:rPr>
          <w:rFonts w:hint="default" w:ascii="Times New Roman" w:hAnsi="Times New Roman" w:cs="Times New Roman"/>
          <w:b w:val="0"/>
          <w:bCs w:val="0"/>
          <w:sz w:val="24"/>
          <w:szCs w:val="24"/>
        </w:rPr>
        <w:t xml:space="preserve"> the ~1.7 bcm/yr Marine XII gas figure is a </w:t>
      </w:r>
      <w:r>
        <w:rPr>
          <w:rStyle w:val="8"/>
          <w:rFonts w:hint="default" w:ascii="Times New Roman" w:hAnsi="Times New Roman" w:cs="Times New Roman"/>
          <w:b w:val="0"/>
          <w:bCs w:val="0"/>
          <w:sz w:val="24"/>
          <w:szCs w:val="24"/>
        </w:rPr>
        <w:t>reported but dated (pre-Phase 2)</w:t>
      </w:r>
      <w:r>
        <w:rPr>
          <w:rFonts w:hint="default" w:ascii="Times New Roman" w:hAnsi="Times New Roman" w:cs="Times New Roman"/>
          <w:b w:val="0"/>
          <w:bCs w:val="0"/>
          <w:sz w:val="24"/>
          <w:szCs w:val="24"/>
        </w:rPr>
        <w:t xml:space="preserve"> figure and should not be read as the current (2026) production rate, given Congo LNG's Phase 2 feedstock requirement alone is stated by Eni at </w:t>
      </w:r>
      <w:r>
        <w:rPr>
          <w:rStyle w:val="8"/>
          <w:rFonts w:hint="default" w:ascii="Times New Roman" w:hAnsi="Times New Roman" w:cs="Times New Roman"/>
          <w:b w:val="0"/>
          <w:bCs w:val="0"/>
          <w:sz w:val="24"/>
          <w:szCs w:val="24"/>
        </w:rPr>
        <w:t>4.5 bcm/yr for the full 3 MTPA capacity</w:t>
      </w:r>
      <w:r>
        <w:rPr>
          <w:rFonts w:hint="default" w:ascii="Times New Roman" w:hAnsi="Times New Roman" w:cs="Times New Roman"/>
          <w:b w:val="0"/>
          <w:bCs w:val="0"/>
          <w:sz w:val="24"/>
          <w:szCs w:val="24"/>
        </w:rPr>
        <w:t xml:space="preserve"> (a figure that already exceeds the ~1.7 bcm/yr legacy baseline, confirming substantial field development has occurred since that estimate was published, consistent with Eni's disclosed 12-platform/29-well Stage 1 and 8-platform/29-well Stage 2 drilling programmes). </w:t>
      </w:r>
      <w:r>
        <w:rPr>
          <w:rStyle w:val="8"/>
          <w:rFonts w:hint="default" w:ascii="Times New Roman" w:hAnsi="Times New Roman" w:cs="Times New Roman"/>
          <w:b w:val="0"/>
          <w:bCs w:val="0"/>
          <w:sz w:val="24"/>
          <w:szCs w:val="24"/>
        </w:rPr>
        <w:t>No current, disaggregated 2026 gross production figure for Marine XII was identified in sources reviewed</w:t>
      </w:r>
      <w:r>
        <w:rPr>
          <w:rFonts w:hint="default" w:ascii="Times New Roman" w:hAnsi="Times New Roman" w:cs="Times New Roman"/>
          <w:b w:val="0"/>
          <w:bCs w:val="0"/>
          <w:sz w:val="24"/>
          <w:szCs w:val="24"/>
        </w:rPr>
        <w:t>; this is stated as a limitation rather than estimated further.</w:t>
      </w:r>
    </w:p>
    <w:p w14:paraId="49BD8793">
      <w:pPr>
        <w:keepNext w:val="0"/>
        <w:keepLines w:val="0"/>
        <w:widowControl/>
        <w:suppressLineNumbers w:val="0"/>
        <w:spacing w:line="240" w:lineRule="auto"/>
        <w:jc w:val="both"/>
        <w:rPr>
          <w:rFonts w:hint="default" w:ascii="Times New Roman" w:hAnsi="Times New Roman" w:cs="Times New Roman"/>
          <w:b w:val="0"/>
          <w:bCs w:val="0"/>
          <w:sz w:val="24"/>
          <w:szCs w:val="24"/>
        </w:rPr>
      </w:pPr>
    </w:p>
    <w:p w14:paraId="65145CC4">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2. LNG Feed-Gas Specification Requirements</w:t>
      </w:r>
    </w:p>
    <w:p w14:paraId="37AFA9B1">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 The table below uses </w:t>
      </w:r>
      <w:r>
        <w:rPr>
          <w:rStyle w:val="8"/>
          <w:rFonts w:hint="default" w:ascii="Times New Roman" w:hAnsi="Times New Roman" w:cs="Times New Roman"/>
          <w:b w:val="0"/>
          <w:bCs w:val="0"/>
          <w:sz w:val="24"/>
          <w:szCs w:val="24"/>
        </w:rPr>
        <w:t>recognised LNG industry specifications</w:t>
      </w:r>
      <w:r>
        <w:rPr>
          <w:rFonts w:hint="default" w:ascii="Times New Roman" w:hAnsi="Times New Roman" w:cs="Times New Roman"/>
          <w:b w:val="0"/>
          <w:bCs w:val="0"/>
          <w:sz w:val="24"/>
          <w:szCs w:val="24"/>
        </w:rPr>
        <w:t xml:space="preserve">, representative of typical buyer/liquefaction-technology requirements for a modern FLNG train, explicitly labelled as </w:t>
      </w:r>
      <w:r>
        <w:rPr>
          <w:rStyle w:val="8"/>
          <w:rFonts w:hint="default" w:ascii="Times New Roman" w:hAnsi="Times New Roman" w:cs="Times New Roman"/>
          <w:b w:val="0"/>
          <w:bCs w:val="0"/>
          <w:sz w:val="24"/>
          <w:szCs w:val="24"/>
        </w:rPr>
        <w:t>industry benchmarks</w:t>
      </w:r>
      <w:r>
        <w:rPr>
          <w:rFonts w:hint="default" w:ascii="Times New Roman" w:hAnsi="Times New Roman" w:cs="Times New Roman"/>
          <w:b w:val="0"/>
          <w:bCs w:val="0"/>
          <w:sz w:val="24"/>
          <w:szCs w:val="24"/>
        </w:rPr>
        <w:t>, not confirmed Congo LNG design values.</w:t>
      </w:r>
    </w:p>
    <w:tbl>
      <w:tblPr>
        <w:tblW w:w="8416" w:type="dxa"/>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364"/>
        <w:gridCol w:w="2094"/>
        <w:gridCol w:w="1928"/>
        <w:gridCol w:w="1419"/>
        <w:gridCol w:w="1611"/>
      </w:tblGrid>
      <w:tr w14:paraId="6DD27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blCellSpacing w:w="15" w:type="dxa"/>
        </w:trPr>
        <w:tc>
          <w:tcPr>
            <w:tcW w:w="1319"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4DDACF0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Parameter</w:t>
            </w:r>
          </w:p>
        </w:tc>
        <w:tc>
          <w:tcPr>
            <w:tcW w:w="2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8185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Typical Raw Gas (Gulf of Guinea gas-condensate benchmark)</w:t>
            </w:r>
          </w:p>
        </w:tc>
        <w:tc>
          <w:tcPr>
            <w:tcW w:w="1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BE30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Required LNG Feed Specification (industry benchmark)</w:t>
            </w:r>
          </w:p>
        </w:tc>
        <w:tc>
          <w:tcPr>
            <w:tcW w:w="1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8DE2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Treatment Required</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60A4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Main Technology</w:t>
            </w:r>
          </w:p>
        </w:tc>
      </w:tr>
      <w:tr w14:paraId="29D1F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85EC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Water</w:t>
            </w:r>
          </w:p>
        </w:tc>
        <w:tc>
          <w:tcPr>
            <w:tcW w:w="2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DB87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Saturated at reservoir/separator conditions (typically several hundred to &gt;1,000 lb/MMscf at separator pressure/temperature, benchmark)</w:t>
            </w:r>
          </w:p>
        </w:tc>
        <w:tc>
          <w:tcPr>
            <w:tcW w:w="1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E8F34">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&lt;0.1 ppmv</w:t>
            </w:r>
            <w:r>
              <w:rPr>
                <w:rFonts w:hint="default" w:ascii="Times New Roman" w:hAnsi="Times New Roman" w:eastAsia="SimSun" w:cs="Times New Roman"/>
                <w:b w:val="0"/>
                <w:bCs w:val="0"/>
                <w:color w:val="000000"/>
                <w:kern w:val="0"/>
                <w:sz w:val="24"/>
                <w:szCs w:val="24"/>
                <w:lang w:val="en-US" w:eastAsia="zh-CN" w:bidi="ar"/>
              </w:rPr>
              <w:t xml:space="preserve"> (essentially bone-dry; required to prevent ice/hydrate formation in the cryogenic main heat exchanger)</w:t>
            </w:r>
          </w:p>
        </w:tc>
        <w:tc>
          <w:tcPr>
            <w:tcW w:w="1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8EB8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Dehydration</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B69C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Molecular sieve (near-universal for LNG service; see Section 3)</w:t>
            </w:r>
          </w:p>
        </w:tc>
      </w:tr>
      <w:tr w14:paraId="4F015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8741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CO₂</w:t>
            </w:r>
          </w:p>
        </w:tc>
        <w:tc>
          <w:tcPr>
            <w:tcW w:w="2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DF69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Field-dependent; benchmark range for this basin </w:t>
            </w:r>
            <w:r>
              <w:rPr>
                <w:rStyle w:val="8"/>
                <w:rFonts w:hint="default" w:ascii="Times New Roman" w:hAnsi="Times New Roman" w:eastAsia="SimSun" w:cs="Times New Roman"/>
                <w:b w:val="0"/>
                <w:bCs w:val="0"/>
                <w:color w:val="000000"/>
                <w:kern w:val="0"/>
                <w:sz w:val="24"/>
                <w:szCs w:val="24"/>
                <w:lang w:val="en-US" w:eastAsia="zh-CN" w:bidi="ar"/>
              </w:rPr>
              <w:t>1–8 mol%</w:t>
            </w:r>
            <w:r>
              <w:rPr>
                <w:rFonts w:hint="default" w:ascii="Times New Roman" w:hAnsi="Times New Roman" w:eastAsia="SimSun" w:cs="Times New Roman"/>
                <w:b w:val="0"/>
                <w:bCs w:val="0"/>
                <w:color w:val="000000"/>
                <w:kern w:val="0"/>
                <w:sz w:val="24"/>
                <w:szCs w:val="24"/>
                <w:lang w:val="en-US" w:eastAsia="zh-CN" w:bidi="ar"/>
              </w:rPr>
              <w:t xml:space="preserve"> (industry benchmark, not a Congo assay)</w:t>
            </w:r>
          </w:p>
        </w:tc>
        <w:tc>
          <w:tcPr>
            <w:tcW w:w="1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2187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&lt;50 ppmv</w:t>
            </w:r>
            <w:r>
              <w:rPr>
                <w:rFonts w:hint="default" w:ascii="Times New Roman" w:hAnsi="Times New Roman" w:eastAsia="SimSun" w:cs="Times New Roman"/>
                <w:b w:val="0"/>
                <w:bCs w:val="0"/>
                <w:color w:val="000000"/>
                <w:kern w:val="0"/>
                <w:sz w:val="24"/>
                <w:szCs w:val="24"/>
                <w:lang w:val="en-US" w:eastAsia="zh-CN" w:bidi="ar"/>
              </w:rPr>
              <w:t xml:space="preserve"> (to avoid solid CO₂ ("dry ice") formation at cryogenic temperatures, which would foul/block the main cryogenic heat exchanger)</w:t>
            </w:r>
          </w:p>
        </w:tc>
        <w:tc>
          <w:tcPr>
            <w:tcW w:w="1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0EAC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Acid gas removal</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7652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Amine treating (Section 4)</w:t>
            </w:r>
          </w:p>
        </w:tc>
      </w:tr>
      <w:tr w14:paraId="3687E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2DEE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H₂S</w:t>
            </w:r>
          </w:p>
        </w:tc>
        <w:tc>
          <w:tcPr>
            <w:tcW w:w="2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D576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Generally low/sweet for this basin (industry benchmark characterisation; not confirmed for Congo specifically)</w:t>
            </w:r>
          </w:p>
        </w:tc>
        <w:tc>
          <w:tcPr>
            <w:tcW w:w="1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0FF8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&lt;4 ppmv</w:t>
            </w:r>
            <w:r>
              <w:rPr>
                <w:rFonts w:hint="default" w:ascii="Times New Roman" w:hAnsi="Times New Roman" w:eastAsia="SimSun" w:cs="Times New Roman"/>
                <w:b w:val="0"/>
                <w:bCs w:val="0"/>
                <w:color w:val="000000"/>
                <w:kern w:val="0"/>
                <w:sz w:val="24"/>
                <w:szCs w:val="24"/>
                <w:lang w:val="en-US" w:eastAsia="zh-CN" w:bidi="ar"/>
              </w:rPr>
              <w:t xml:space="preserve"> (typical pipeline/LNG feed target; final LNG product sulfur specs are typically far tighter, in the low ppm/kg range)</w:t>
            </w:r>
          </w:p>
        </w:tc>
        <w:tc>
          <w:tcPr>
            <w:tcW w:w="1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2ED8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Acid gas removal (sweetening)</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E435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Amine treating</w:t>
            </w:r>
          </w:p>
        </w:tc>
      </w:tr>
      <w:tr w14:paraId="758BB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A178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Total sulphur (incl. mercaptans, COS)</w:t>
            </w:r>
          </w:p>
        </w:tc>
        <w:tc>
          <w:tcPr>
            <w:tcW w:w="2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608E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Not disclosed</w:t>
            </w:r>
          </w:p>
        </w:tc>
        <w:tc>
          <w:tcPr>
            <w:tcW w:w="1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3F51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Typically </w:t>
            </w:r>
            <w:r>
              <w:rPr>
                <w:rStyle w:val="8"/>
                <w:rFonts w:hint="default" w:ascii="Times New Roman" w:hAnsi="Times New Roman" w:eastAsia="SimSun" w:cs="Times New Roman"/>
                <w:b w:val="0"/>
                <w:bCs w:val="0"/>
                <w:color w:val="000000"/>
                <w:kern w:val="0"/>
                <w:sz w:val="24"/>
                <w:szCs w:val="24"/>
                <w:lang w:val="en-US" w:eastAsia="zh-CN" w:bidi="ar"/>
              </w:rPr>
              <w:t>&lt;30 mg/Nm³ (bulk gas), with LNG product total sulphur commonly specified around 15–30 mg/Sm³</w:t>
            </w:r>
            <w:r>
              <w:rPr>
                <w:rFonts w:hint="default" w:ascii="Times New Roman" w:hAnsi="Times New Roman" w:eastAsia="SimSun" w:cs="Times New Roman"/>
                <w:b w:val="0"/>
                <w:bCs w:val="0"/>
                <w:color w:val="000000"/>
                <w:kern w:val="0"/>
                <w:sz w:val="24"/>
                <w:szCs w:val="24"/>
                <w:lang w:val="en-US" w:eastAsia="zh-CN" w:bidi="ar"/>
              </w:rPr>
              <w:t xml:space="preserve"> by import terminals (industry benchmark)</w:t>
            </w:r>
          </w:p>
        </w:tc>
        <w:tc>
          <w:tcPr>
            <w:tcW w:w="1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9ECF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Sweetening + potential mercaptan/COS management</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98B6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Amine treating; occasionally supplemented by adsorption for trace sulphur species</w:t>
            </w:r>
          </w:p>
        </w:tc>
      </w:tr>
      <w:tr w14:paraId="5A1FE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3214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Nitrogen</w:t>
            </w:r>
          </w:p>
        </w:tc>
        <w:tc>
          <w:tcPr>
            <w:tcW w:w="2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10CC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Field-dependent; typically low in this basin (benchmark)</w:t>
            </w:r>
          </w:p>
        </w:tc>
        <w:tc>
          <w:tcPr>
            <w:tcW w:w="1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1473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Generally </w:t>
            </w:r>
            <w:r>
              <w:rPr>
                <w:rStyle w:val="8"/>
                <w:rFonts w:hint="default" w:ascii="Times New Roman" w:hAnsi="Times New Roman" w:eastAsia="SimSun" w:cs="Times New Roman"/>
                <w:b w:val="0"/>
                <w:bCs w:val="0"/>
                <w:color w:val="000000"/>
                <w:kern w:val="0"/>
                <w:sz w:val="24"/>
                <w:szCs w:val="24"/>
                <w:lang w:val="en-US" w:eastAsia="zh-CN" w:bidi="ar"/>
              </w:rPr>
              <w:t>&lt;1%</w:t>
            </w:r>
            <w:r>
              <w:rPr>
                <w:rFonts w:hint="default" w:ascii="Times New Roman" w:hAnsi="Times New Roman" w:eastAsia="SimSun" w:cs="Times New Roman"/>
                <w:b w:val="0"/>
                <w:bCs w:val="0"/>
                <w:color w:val="000000"/>
                <w:kern w:val="0"/>
                <w:sz w:val="24"/>
                <w:szCs w:val="24"/>
                <w:lang w:val="en-US" w:eastAsia="zh-CN" w:bidi="ar"/>
              </w:rPr>
              <w:t xml:space="preserve"> to preserve LNG heating value/Wobbe index within buyer specification</w:t>
            </w:r>
          </w:p>
        </w:tc>
        <w:tc>
          <w:tcPr>
            <w:tcW w:w="1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7709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Nitrogen rejection only if N₂ content is unusually high</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47F6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Cryogenic nitrogen rejection unit (not expected to be required at typical Gulf of Guinea N₂ levels)</w:t>
            </w:r>
          </w:p>
        </w:tc>
      </w:tr>
      <w:tr w14:paraId="7CB96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74C8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Mercury</w:t>
            </w:r>
          </w:p>
        </w:tc>
        <w:tc>
          <w:tcPr>
            <w:tcW w:w="2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C447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Present in trace (µg/Nm³-level) quantities in many West/Central African gas-condensate reservoirs (industry benchmark risk characterisation) — </w:t>
            </w:r>
            <w:r>
              <w:rPr>
                <w:rStyle w:val="8"/>
                <w:rFonts w:hint="default" w:ascii="Times New Roman" w:hAnsi="Times New Roman" w:eastAsia="SimSun" w:cs="Times New Roman"/>
                <w:b w:val="0"/>
                <w:bCs w:val="0"/>
                <w:color w:val="000000"/>
                <w:kern w:val="0"/>
                <w:sz w:val="24"/>
                <w:szCs w:val="24"/>
                <w:lang w:val="en-US" w:eastAsia="zh-CN" w:bidi="ar"/>
              </w:rPr>
              <w:t>no Congo-specific measurement identified</w:t>
            </w:r>
          </w:p>
        </w:tc>
        <w:tc>
          <w:tcPr>
            <w:tcW w:w="1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F9EA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&lt;0.01 µg/Nm³</w:t>
            </w:r>
            <w:r>
              <w:rPr>
                <w:rFonts w:hint="default" w:ascii="Times New Roman" w:hAnsi="Times New Roman" w:eastAsia="SimSun" w:cs="Times New Roman"/>
                <w:b w:val="0"/>
                <w:bCs w:val="0"/>
                <w:color w:val="000000"/>
                <w:kern w:val="0"/>
                <w:sz w:val="24"/>
                <w:szCs w:val="24"/>
                <w:lang w:val="en-US" w:eastAsia="zh-CN" w:bidi="ar"/>
              </w:rPr>
              <w:t xml:space="preserve"> (to prevent liquid-metal embrittlement of aluminium brazed heat exchangers in the cold box)</w:t>
            </w:r>
          </w:p>
        </w:tc>
        <w:tc>
          <w:tcPr>
            <w:tcW w:w="1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AD4A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Mercury removal</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2CD9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Sulphur-impregnated activated carbon beds (Section 7)</w:t>
            </w:r>
          </w:p>
        </w:tc>
      </w:tr>
      <w:tr w14:paraId="73574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C299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Heavy hydrocarbons (C₅+)</w:t>
            </w:r>
          </w:p>
        </w:tc>
        <w:tc>
          <w:tcPr>
            <w:tcW w:w="2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9FF3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Significant — Nené/Litchendjili are explicitly gas-</w:t>
            </w:r>
            <w:r>
              <w:rPr>
                <w:rStyle w:val="8"/>
                <w:rFonts w:hint="default" w:ascii="Times New Roman" w:hAnsi="Times New Roman" w:eastAsia="SimSun" w:cs="Times New Roman"/>
                <w:b w:val="0"/>
                <w:bCs w:val="0"/>
                <w:color w:val="000000"/>
                <w:kern w:val="0"/>
                <w:sz w:val="24"/>
                <w:szCs w:val="24"/>
                <w:lang w:val="en-US" w:eastAsia="zh-CN" w:bidi="ar"/>
              </w:rPr>
              <w:t>condensate</w:t>
            </w:r>
            <w:r>
              <w:rPr>
                <w:rFonts w:hint="default" w:ascii="Times New Roman" w:hAnsi="Times New Roman" w:eastAsia="SimSun" w:cs="Times New Roman"/>
                <w:b w:val="0"/>
                <w:bCs w:val="0"/>
                <w:color w:val="000000"/>
                <w:kern w:val="0"/>
                <w:sz w:val="24"/>
                <w:szCs w:val="24"/>
                <w:lang w:val="en-US" w:eastAsia="zh-CN" w:bidi="ar"/>
              </w:rPr>
              <w:t xml:space="preserve"> fields with substantial liquids co-production (~28,000 bbl/d oil+condensate reported at the combined-field level)</w:t>
            </w:r>
          </w:p>
        </w:tc>
        <w:tc>
          <w:tcPr>
            <w:tcW w:w="1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1FB3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Managed to a defined hydrocarbon dew point (below), not a specific mol% cap</w:t>
            </w:r>
          </w:p>
        </w:tc>
        <w:tc>
          <w:tcPr>
            <w:tcW w:w="1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18BF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NGL/condensate extraction, HC dew point control</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DB25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Scrub column, Joule-Thomson/turbo-expansion, fractionation</w:t>
            </w:r>
          </w:p>
        </w:tc>
      </w:tr>
      <w:tr w14:paraId="2F4A2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88A3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Hydrocarbon dew point</w:t>
            </w:r>
          </w:p>
        </w:tc>
        <w:tc>
          <w:tcPr>
            <w:tcW w:w="2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32CA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Field-dependent, likely elevated given condensate-rich character (benchmark inference)</w:t>
            </w:r>
          </w:p>
        </w:tc>
        <w:tc>
          <w:tcPr>
            <w:tcW w:w="1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FE5F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Typically controlled to </w:t>
            </w:r>
            <w:r>
              <w:rPr>
                <w:rStyle w:val="8"/>
                <w:rFonts w:hint="default" w:ascii="Times New Roman" w:hAnsi="Times New Roman" w:eastAsia="SimSun" w:cs="Times New Roman"/>
                <w:b w:val="0"/>
                <w:bCs w:val="0"/>
                <w:color w:val="000000"/>
                <w:kern w:val="0"/>
                <w:sz w:val="24"/>
                <w:szCs w:val="24"/>
                <w:lang w:val="en-US" w:eastAsia="zh-CN" w:bidi="ar"/>
              </w:rPr>
              <w:t>≤ –2°C to –10°C at pipeline/plant inlet pressure</w:t>
            </w:r>
            <w:r>
              <w:rPr>
                <w:rFonts w:hint="default" w:ascii="Times New Roman" w:hAnsi="Times New Roman" w:eastAsia="SimSun" w:cs="Times New Roman"/>
                <w:b w:val="0"/>
                <w:bCs w:val="0"/>
                <w:color w:val="000000"/>
                <w:kern w:val="0"/>
                <w:sz w:val="24"/>
                <w:szCs w:val="24"/>
                <w:lang w:val="en-US" w:eastAsia="zh-CN" w:bidi="ar"/>
              </w:rPr>
              <w:t xml:space="preserve"> (industry benchmark range; varies by design) ahead of the cryogenic section</w:t>
            </w:r>
          </w:p>
        </w:tc>
        <w:tc>
          <w:tcPr>
            <w:tcW w:w="1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B52E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HC dew point control</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ED42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Scrub column / mechanical refrigeration / turbo-expander</w:t>
            </w:r>
          </w:p>
        </w:tc>
      </w:tr>
      <w:tr w14:paraId="288CE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56F3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Heating value</w:t>
            </w:r>
          </w:p>
        </w:tc>
        <w:tc>
          <w:tcPr>
            <w:tcW w:w="2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AFDA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Field-dependent</w:t>
            </w:r>
          </w:p>
        </w:tc>
        <w:tc>
          <w:tcPr>
            <w:tcW w:w="18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2FA8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Typically targeted to a </w:t>
            </w:r>
            <w:r>
              <w:rPr>
                <w:rStyle w:val="8"/>
                <w:rFonts w:hint="default" w:ascii="Times New Roman" w:hAnsi="Times New Roman" w:eastAsia="SimSun" w:cs="Times New Roman"/>
                <w:b w:val="0"/>
                <w:bCs w:val="0"/>
                <w:color w:val="000000"/>
                <w:kern w:val="0"/>
                <w:sz w:val="24"/>
                <w:szCs w:val="24"/>
                <w:lang w:val="en-US" w:eastAsia="zh-CN" w:bidi="ar"/>
              </w:rPr>
              <w:t>Wobbe Index/heating value band</w:t>
            </w:r>
            <w:r>
              <w:rPr>
                <w:rFonts w:hint="default" w:ascii="Times New Roman" w:hAnsi="Times New Roman" w:eastAsia="SimSun" w:cs="Times New Roman"/>
                <w:b w:val="0"/>
                <w:bCs w:val="0"/>
                <w:color w:val="000000"/>
                <w:kern w:val="0"/>
                <w:sz w:val="24"/>
                <w:szCs w:val="24"/>
                <w:lang w:val="en-US" w:eastAsia="zh-CN" w:bidi="ar"/>
              </w:rPr>
              <w:t xml:space="preserve"> set by buyer/terminal specification (varies materially by market — Asian vs. European specs differ)</w:t>
            </w:r>
          </w:p>
        </w:tc>
        <w:tc>
          <w:tcPr>
            <w:tcW w:w="13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B758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Heating-value management via NGL extraction/blending</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9C17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NGL extraction, gas blending</w:t>
            </w:r>
          </w:p>
        </w:tc>
      </w:tr>
    </w:tbl>
    <w:p w14:paraId="16863ED6">
      <w:pPr>
        <w:keepNext w:val="0"/>
        <w:keepLines w:val="0"/>
        <w:widowControl/>
        <w:suppressLineNumbers w:val="0"/>
        <w:spacing w:line="240" w:lineRule="auto"/>
        <w:jc w:val="both"/>
        <w:rPr>
          <w:rFonts w:hint="default" w:ascii="Times New Roman" w:hAnsi="Times New Roman" w:cs="Times New Roman"/>
          <w:b w:val="0"/>
          <w:bCs w:val="0"/>
          <w:sz w:val="24"/>
          <w:szCs w:val="24"/>
        </w:rPr>
      </w:pPr>
    </w:p>
    <w:p w14:paraId="5E02A47B">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3. Offshore Gas Dehydration</w:t>
      </w:r>
    </w:p>
    <w:p w14:paraId="2C017C00">
      <w:pPr>
        <w:pStyle w:val="4"/>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3.1 Technology comparison</w:t>
      </w:r>
    </w:p>
    <w:tbl>
      <w:tblPr>
        <w:tblW w:w="0" w:type="auto"/>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375"/>
        <w:gridCol w:w="3335"/>
        <w:gridCol w:w="3706"/>
      </w:tblGrid>
      <w:tr w14:paraId="4BD95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blCellSpacing w:w="15" w:type="dxa"/>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FE94FF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Parameter</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4EF56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TEG Dehydration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A120A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Molecular Sieve</w:t>
            </w:r>
          </w:p>
        </w:tc>
      </w:tr>
      <w:tr w14:paraId="17A94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FD65D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Water removal</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95FD8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Reduces water dew point by typically 40–70°C depression (industry benchmark); achievable outlet water content typically </w:t>
            </w:r>
            <w:r>
              <w:rPr>
                <w:rStyle w:val="8"/>
                <w:rFonts w:hint="default" w:ascii="Times New Roman" w:hAnsi="Times New Roman" w:eastAsia="SimSun" w:cs="Times New Roman"/>
                <w:b w:val="0"/>
                <w:bCs w:val="0"/>
                <w:color w:val="000000"/>
                <w:kern w:val="0"/>
                <w:sz w:val="24"/>
                <w:szCs w:val="24"/>
                <w:lang w:val="en-US" w:eastAsia="zh-CN" w:bidi="ar"/>
              </w:rPr>
              <w:t>4–7 lb/MMscf</w:t>
            </w:r>
            <w:r>
              <w:rPr>
                <w:rFonts w:hint="default" w:ascii="Times New Roman" w:hAnsi="Times New Roman" w:eastAsia="SimSun" w:cs="Times New Roman"/>
                <w:b w:val="0"/>
                <w:bCs w:val="0"/>
                <w:color w:val="000000"/>
                <w:kern w:val="0"/>
                <w:sz w:val="24"/>
                <w:szCs w:val="24"/>
                <w:lang w:val="en-US" w:eastAsia="zh-CN" w:bidi="ar"/>
              </w:rPr>
              <w:t>, i.e., not low enough for cryogenic LNG service on its own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D0067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Achieves </w:t>
            </w:r>
            <w:r>
              <w:rPr>
                <w:rStyle w:val="8"/>
                <w:rFonts w:hint="default" w:ascii="Times New Roman" w:hAnsi="Times New Roman" w:eastAsia="SimSun" w:cs="Times New Roman"/>
                <w:b w:val="0"/>
                <w:bCs w:val="0"/>
                <w:color w:val="000000"/>
                <w:kern w:val="0"/>
                <w:sz w:val="24"/>
                <w:szCs w:val="24"/>
                <w:lang w:val="en-US" w:eastAsia="zh-CN" w:bidi="ar"/>
              </w:rPr>
              <w:t>&lt;0.1 ppmv</w:t>
            </w:r>
            <w:r>
              <w:rPr>
                <w:rFonts w:hint="default" w:ascii="Times New Roman" w:hAnsi="Times New Roman" w:eastAsia="SimSun" w:cs="Times New Roman"/>
                <w:b w:val="0"/>
                <w:bCs w:val="0"/>
                <w:color w:val="000000"/>
                <w:kern w:val="0"/>
                <w:sz w:val="24"/>
                <w:szCs w:val="24"/>
                <w:lang w:val="en-US" w:eastAsia="zh-CN" w:bidi="ar"/>
              </w:rPr>
              <w:t xml:space="preserve"> water content, i.e., dew point depression to below approximately –100°C — the level required to prevent ice formation in the cryogenic main heat exchanger</w:t>
            </w:r>
          </w:p>
        </w:tc>
      </w:tr>
      <w:tr w14:paraId="73983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FF4D24">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Typical application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D863F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Pipeline-spec gas dehydration; widely used upstream/midstream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237D3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Final polishing dehydration immediately upstream of the cryogenic liquefaction section</w:t>
            </w:r>
            <w:r>
              <w:rPr>
                <w:rFonts w:hint="default" w:ascii="Times New Roman" w:hAnsi="Times New Roman" w:eastAsia="SimSun" w:cs="Times New Roman"/>
                <w:b w:val="0"/>
                <w:bCs w:val="0"/>
                <w:color w:val="000000"/>
                <w:kern w:val="0"/>
                <w:sz w:val="24"/>
                <w:szCs w:val="24"/>
                <w:lang w:val="en-US" w:eastAsia="zh-CN" w:bidi="ar"/>
              </w:rPr>
              <w:t xml:space="preserve"> — near-universal in LNG plant design</w:t>
            </w:r>
          </w:p>
        </w:tc>
      </w:tr>
      <w:tr w14:paraId="65843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E44CC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LNG suitability</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82B6C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Insufficient alone</w:t>
            </w:r>
            <w:r>
              <w:rPr>
                <w:rFonts w:hint="default" w:ascii="Times New Roman" w:hAnsi="Times New Roman" w:eastAsia="SimSun" w:cs="Times New Roman"/>
                <w:b w:val="0"/>
                <w:bCs w:val="0"/>
                <w:color w:val="000000"/>
                <w:kern w:val="0"/>
                <w:sz w:val="24"/>
                <w:szCs w:val="24"/>
                <w:lang w:val="en-US" w:eastAsia="zh-CN" w:bidi="ar"/>
              </w:rPr>
              <w:t xml:space="preserve"> for LNG feed-gas water specification; almost never used as the sole dehydration step ahead of liquefaction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1EA2C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Required</w:t>
            </w:r>
            <w:r>
              <w:rPr>
                <w:rFonts w:hint="default" w:ascii="Times New Roman" w:hAnsi="Times New Roman" w:eastAsia="SimSun" w:cs="Times New Roman"/>
                <w:b w:val="0"/>
                <w:bCs w:val="0"/>
                <w:color w:val="000000"/>
                <w:kern w:val="0"/>
                <w:sz w:val="24"/>
                <w:szCs w:val="24"/>
                <w:lang w:val="en-US" w:eastAsia="zh-CN" w:bidi="ar"/>
              </w:rPr>
              <w:t xml:space="preserve"> — essentially the industry-standard technology for LNG feed-gas dehydration</w:t>
            </w:r>
          </w:p>
        </w:tc>
      </w:tr>
      <w:tr w14:paraId="54802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D17D8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CAPEX (benchmark)</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A6700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Lower per unit throughput; simpler contactor/reboiler/still-column system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7229E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Higher — requires multiple parallel adsorber vessels (for continuous operation with regeneration cycling), molecular sieve material, regeneration gas heating system</w:t>
            </w:r>
          </w:p>
        </w:tc>
      </w:tr>
      <w:tr w14:paraId="352E4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D5D80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OPEX (benchmark)</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9FF65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Lower energy demand; glycol makeup/reclamation costs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06B92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Higher energy demand (regeneration heating); periodic adsorbent replacement (typically every 3–5 years, industry benchmark, degradation-dependent)</w:t>
            </w:r>
          </w:p>
        </w:tc>
      </w:tr>
      <w:tr w14:paraId="6DCD3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2616D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Energy requirement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C904A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Moderate — reboiler duty for glycol regeneration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9CCDE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Higher — regeneration gas must be heated to typically 220–315°C (industry benchmark range) to desorb water from the sieve bed</w:t>
            </w:r>
          </w:p>
        </w:tc>
      </w:tr>
      <w:tr w14:paraId="403F6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AFA6C4">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Footprint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C0005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Compact; well suited to space-constrained offshore platforms if used alone (e.g., for pipeline-spec gas only)</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10730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Larger footprint (multiple vessel trains) — </w:t>
            </w:r>
            <w:r>
              <w:rPr>
                <w:rStyle w:val="8"/>
                <w:rFonts w:hint="default" w:ascii="Times New Roman" w:hAnsi="Times New Roman" w:eastAsia="SimSun" w:cs="Times New Roman"/>
                <w:b w:val="0"/>
                <w:bCs w:val="0"/>
                <w:color w:val="000000"/>
                <w:kern w:val="0"/>
                <w:sz w:val="24"/>
                <w:szCs w:val="24"/>
                <w:lang w:val="en-US" w:eastAsia="zh-CN" w:bidi="ar"/>
              </w:rPr>
              <w:t>material design consideration for an FPU/FLNG-hosted system such as Scarabeo 5 or the FLNG hull itself</w:t>
            </w:r>
          </w:p>
        </w:tc>
      </w:tr>
      <w:tr w14:paraId="1823D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ED341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Offshore suitability</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7F1B2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Well-proven offshore for pipeline gas; simpler operation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013F0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Also well-proven offshore/on FLNG (used on essentially all operating FLNG facilities worldwide, e.g., Shell Prelude, Petronas PFLNG, Golar/BW FLNG units — industry benchmark precedent, not Congo-specific confirmation) but requires more careful offshore layout design given the larger vessel count</w:t>
            </w:r>
          </w:p>
        </w:tc>
      </w:tr>
      <w:tr w14:paraId="04811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FC143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Key limitation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202BA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Cannot reach the ppmv-level dryness LNG service requires; glycol carryover/losses and foaming risk in high-condensate-yield streams (relevant given Congo's condensate-rich gas)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01716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Higher capital intensity; adsorbent fouling/degradation risk from liquid carryover (heavy hydrocarbons, amine carryover from an upstream AGR unit) if upstream separation is not well controlled</w:t>
            </w:r>
          </w:p>
        </w:tc>
      </w:tr>
    </w:tbl>
    <w:p w14:paraId="7EBCCAB3">
      <w:pPr>
        <w:pStyle w:val="4"/>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3.2 Recommended configuration for Congo</w:t>
      </w:r>
    </w:p>
    <w:p w14:paraId="29072D9C">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Given that Congo's Marine XII gas is explicitly condensate-rich (both Nené and Litchendjili are gas-</w:t>
      </w:r>
      <w:r>
        <w:rPr>
          <w:rStyle w:val="8"/>
          <w:rFonts w:hint="default" w:ascii="Times New Roman" w:hAnsi="Times New Roman" w:cs="Times New Roman"/>
          <w:b w:val="0"/>
          <w:bCs w:val="0"/>
          <w:sz w:val="24"/>
          <w:szCs w:val="24"/>
        </w:rPr>
        <w:t>condensate</w:t>
      </w:r>
      <w:r>
        <w:rPr>
          <w:rFonts w:hint="default" w:ascii="Times New Roman" w:hAnsi="Times New Roman" w:cs="Times New Roman"/>
          <w:b w:val="0"/>
          <w:bCs w:val="0"/>
          <w:sz w:val="24"/>
          <w:szCs w:val="24"/>
        </w:rPr>
        <w:t xml:space="preserve"> systems with material liquids co-production), the technically appropriate configuration — consistent with standard LNG industry practice rather than any Congo-specific disclosure — is a </w:t>
      </w:r>
      <w:r>
        <w:rPr>
          <w:rStyle w:val="8"/>
          <w:rFonts w:hint="default" w:ascii="Times New Roman" w:hAnsi="Times New Roman" w:cs="Times New Roman"/>
          <w:b w:val="0"/>
          <w:bCs w:val="0"/>
          <w:sz w:val="24"/>
          <w:szCs w:val="24"/>
        </w:rPr>
        <w:t>two-stage approach</w:t>
      </w:r>
      <w:r>
        <w:rPr>
          <w:rFonts w:hint="default" w:ascii="Times New Roman" w:hAnsi="Times New Roman" w:cs="Times New Roman"/>
          <w:b w:val="0"/>
          <w:bCs w:val="0"/>
          <w:sz w:val="24"/>
          <w:szCs w:val="24"/>
        </w:rPr>
        <w:t xml:space="preserve">: (i) </w:t>
      </w:r>
      <w:r>
        <w:rPr>
          <w:rStyle w:val="8"/>
          <w:rFonts w:hint="default" w:ascii="Times New Roman" w:hAnsi="Times New Roman" w:cs="Times New Roman"/>
          <w:b w:val="0"/>
          <w:bCs w:val="0"/>
          <w:sz w:val="24"/>
          <w:szCs w:val="24"/>
        </w:rPr>
        <w:t>TEG (or equivalent glycol) bulk dehydration</w:t>
      </w:r>
      <w:r>
        <w:rPr>
          <w:rFonts w:hint="default" w:ascii="Times New Roman" w:hAnsi="Times New Roman" w:cs="Times New Roman"/>
          <w:b w:val="0"/>
          <w:bCs w:val="0"/>
          <w:sz w:val="24"/>
          <w:szCs w:val="24"/>
        </w:rPr>
        <w:t xml:space="preserve"> immediately after inlet separation/acid gas removal, to reduce bulk water loading and protect downstream equipment, followed by (ii) </w:t>
      </w:r>
      <w:r>
        <w:rPr>
          <w:rStyle w:val="8"/>
          <w:rFonts w:hint="default" w:ascii="Times New Roman" w:hAnsi="Times New Roman" w:cs="Times New Roman"/>
          <w:b w:val="0"/>
          <w:bCs w:val="0"/>
          <w:sz w:val="24"/>
          <w:szCs w:val="24"/>
        </w:rPr>
        <w:t>molecular sieve polishing dehydration</w:t>
      </w:r>
      <w:r>
        <w:rPr>
          <w:rFonts w:hint="default" w:ascii="Times New Roman" w:hAnsi="Times New Roman" w:cs="Times New Roman"/>
          <w:b w:val="0"/>
          <w:bCs w:val="0"/>
          <w:sz w:val="24"/>
          <w:szCs w:val="24"/>
        </w:rPr>
        <w:t xml:space="preserve"> immediately upstream of the cryogenic main heat exchanger, to reach the &lt;0.1 ppmv specification required for liquefaction. This sequencing is standard LNG industry practice and is </w:t>
      </w:r>
      <w:r>
        <w:rPr>
          <w:rStyle w:val="8"/>
          <w:rFonts w:hint="default" w:ascii="Times New Roman" w:hAnsi="Times New Roman" w:cs="Times New Roman"/>
          <w:b w:val="0"/>
          <w:bCs w:val="0"/>
          <w:sz w:val="24"/>
          <w:szCs w:val="24"/>
        </w:rPr>
        <w:t>not confirmed as Congo LNG's actual configuration</w:t>
      </w:r>
      <w:r>
        <w:rPr>
          <w:rFonts w:hint="default" w:ascii="Times New Roman" w:hAnsi="Times New Roman" w:cs="Times New Roman"/>
          <w:b w:val="0"/>
          <w:bCs w:val="0"/>
          <w:sz w:val="24"/>
          <w:szCs w:val="24"/>
        </w:rPr>
        <w:t xml:space="preserve"> in any source reviewed  it is presented as the technically appropriate benchmark configuration given the known gas characteristics (condensate-rich, offshore, FLNG-hosted).</w:t>
      </w:r>
    </w:p>
    <w:p w14:paraId="480B6421">
      <w:pPr>
        <w:keepNext w:val="0"/>
        <w:keepLines w:val="0"/>
        <w:widowControl/>
        <w:suppressLineNumbers w:val="0"/>
        <w:spacing w:line="240" w:lineRule="auto"/>
        <w:jc w:val="both"/>
        <w:rPr>
          <w:rFonts w:hint="default" w:ascii="Times New Roman" w:hAnsi="Times New Roman" w:cs="Times New Roman"/>
          <w:b w:val="0"/>
          <w:bCs w:val="0"/>
          <w:sz w:val="24"/>
          <w:szCs w:val="24"/>
        </w:rPr>
      </w:pPr>
    </w:p>
    <w:p w14:paraId="1421A85D">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4. Acid Gas Removal</w:t>
      </w:r>
    </w:p>
    <w:tbl>
      <w:tblPr>
        <w:tblW w:w="8416" w:type="dxa"/>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904"/>
        <w:gridCol w:w="1562"/>
        <w:gridCol w:w="1076"/>
        <w:gridCol w:w="1168"/>
        <w:gridCol w:w="1252"/>
        <w:gridCol w:w="1454"/>
      </w:tblGrid>
      <w:tr w14:paraId="771D9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blCellSpacing w:w="15" w:type="dxa"/>
        </w:trPr>
        <w:tc>
          <w:tcPr>
            <w:tcW w:w="1859"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0E24BA5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Technology</w:t>
            </w: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0748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CO₂ Removal</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89BB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H₂S Removal</w:t>
            </w: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F461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Energy Requirement</w:t>
            </w:r>
          </w:p>
        </w:tc>
        <w:tc>
          <w:tcPr>
            <w:tcW w:w="12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F17B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Offshore Suitability</w:t>
            </w:r>
          </w:p>
        </w:tc>
        <w:tc>
          <w:tcPr>
            <w:tcW w:w="1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16A9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LNG Application</w:t>
            </w:r>
          </w:p>
        </w:tc>
      </w:tr>
      <w:tr w14:paraId="59488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91B0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MEA (monoethanolamine)</w:t>
            </w: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83FC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 (can reach &lt;50 ppmv CO₂)</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44F5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Effective</w:t>
            </w: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394B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 — high heat of reaction drives high regeneration energy demand; also more corrosive, requiring lower circulation concentration</w:t>
            </w:r>
          </w:p>
        </w:tc>
        <w:tc>
          <w:tcPr>
            <w:tcW w:w="12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AC6A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Proven but increasingly superseded by MDEA-based systems for new offshore/FLNG designs (industry benchmark trend)</w:t>
            </w:r>
          </w:p>
        </w:tc>
        <w:tc>
          <w:tcPr>
            <w:tcW w:w="1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170F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Legacy technology; largely superseded in modern LNG pretreatment design</w:t>
            </w:r>
          </w:p>
        </w:tc>
      </w:tr>
      <w:tr w14:paraId="5B957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7F13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DEA (diethanolamine)</w:t>
            </w: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45F0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Moderate-high</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BC34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Effective</w:t>
            </w: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18CA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Moderate-high</w:t>
            </w:r>
          </w:p>
        </w:tc>
        <w:tc>
          <w:tcPr>
            <w:tcW w:w="12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8504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Proven, mature</w:t>
            </w:r>
          </w:p>
        </w:tc>
        <w:tc>
          <w:tcPr>
            <w:tcW w:w="1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359E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Legacy technology; less common in new-build LNG pretreatment</w:t>
            </w:r>
          </w:p>
        </w:tc>
      </w:tr>
      <w:tr w14:paraId="2FC33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EE93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MDEA (methyldiethanolamine)</w:t>
            </w: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5E86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Moderate (slower CO₂ kinetics without activation)</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8393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 selectivity for H₂S over CO₂</w:t>
            </w: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B457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Lower than MEA/DEA (lower heat of reaction)</w:t>
            </w:r>
          </w:p>
        </w:tc>
        <w:tc>
          <w:tcPr>
            <w:tcW w:w="12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5940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Good — smaller equipment footprint due to higher permissible circulation concentration</w:t>
            </w:r>
          </w:p>
        </w:tc>
        <w:tc>
          <w:tcPr>
            <w:tcW w:w="1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5126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Used where selective H₂S removal (for downstream sulphur recovery) is prioritised over bulk CO₂ removal</w:t>
            </w:r>
          </w:p>
        </w:tc>
      </w:tr>
      <w:tr w14:paraId="19FE7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5CDD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Activated MDEA (aMDEA)</w:t>
            </w: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1A274">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High</w:t>
            </w:r>
            <w:r>
              <w:rPr>
                <w:rFonts w:hint="default" w:ascii="Times New Roman" w:hAnsi="Times New Roman" w:eastAsia="SimSun" w:cs="Times New Roman"/>
                <w:b w:val="0"/>
                <w:bCs w:val="0"/>
                <w:color w:val="000000"/>
                <w:kern w:val="0"/>
                <w:sz w:val="24"/>
                <w:szCs w:val="24"/>
                <w:lang w:val="en-US" w:eastAsia="zh-CN" w:bidi="ar"/>
              </w:rPr>
              <w:t xml:space="preserve"> — activator package improves CO₂ reaction kinetics to near-MEA performance while retaining MDEA's lower energy penalty</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9CEE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w:t>
            </w: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3307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Lowest energy requirement of the amine options</w:t>
            </w:r>
            <w:r>
              <w:rPr>
                <w:rFonts w:hint="default" w:ascii="Times New Roman" w:hAnsi="Times New Roman" w:eastAsia="SimSun" w:cs="Times New Roman"/>
                <w:b w:val="0"/>
                <w:bCs w:val="0"/>
                <w:color w:val="000000"/>
                <w:kern w:val="0"/>
                <w:sz w:val="24"/>
                <w:szCs w:val="24"/>
                <w:lang w:val="en-US" w:eastAsia="zh-CN" w:bidi="ar"/>
              </w:rPr>
              <w:t>, due to MDEA's favourable heat of reaction combined with activated kinetics</w:t>
            </w:r>
          </w:p>
        </w:tc>
        <w:tc>
          <w:tcPr>
            <w:tcW w:w="12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9DF54">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Good — compact, energy-efficient, near-standard choice for modern offshore/FLNG gas treatment</w:t>
            </w:r>
          </w:p>
        </w:tc>
        <w:tc>
          <w:tcPr>
            <w:tcW w:w="1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2684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De facto industry-standard choice for modern LNG acid gas removal trains, including FLNG</w:t>
            </w:r>
            <w:r>
              <w:rPr>
                <w:rFonts w:hint="default" w:ascii="Times New Roman" w:hAnsi="Times New Roman" w:eastAsia="SimSun" w:cs="Times New Roman"/>
                <w:b w:val="0"/>
                <w:bCs w:val="0"/>
                <w:color w:val="000000"/>
                <w:kern w:val="0"/>
                <w:sz w:val="24"/>
                <w:szCs w:val="24"/>
                <w:lang w:val="en-US" w:eastAsia="zh-CN" w:bidi="ar"/>
              </w:rPr>
              <w:t xml:space="preserve"> (industry benchmark; not confirmed as Congo LNG's specific formulation)</w:t>
            </w:r>
          </w:p>
        </w:tc>
      </w:tr>
      <w:tr w14:paraId="17850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675C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Physical solvents (Selexol, Rectisol)</w:t>
            </w: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ADB4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Very high, particularly cost-effective at </w:t>
            </w:r>
            <w:r>
              <w:rPr>
                <w:rStyle w:val="8"/>
                <w:rFonts w:hint="default" w:ascii="Times New Roman" w:hAnsi="Times New Roman" w:eastAsia="SimSun" w:cs="Times New Roman"/>
                <w:b w:val="0"/>
                <w:bCs w:val="0"/>
                <w:color w:val="000000"/>
                <w:kern w:val="0"/>
                <w:sz w:val="24"/>
                <w:szCs w:val="24"/>
                <w:lang w:val="en-US" w:eastAsia="zh-CN" w:bidi="ar"/>
              </w:rPr>
              <w:t>high CO₂ partial pressure/concentration</w:t>
            </w:r>
            <w:r>
              <w:rPr>
                <w:rFonts w:hint="default" w:ascii="Times New Roman" w:hAnsi="Times New Roman" w:eastAsia="SimSun" w:cs="Times New Roman"/>
                <w:b w:val="0"/>
                <w:bCs w:val="0"/>
                <w:color w:val="000000"/>
                <w:kern w:val="0"/>
                <w:sz w:val="24"/>
                <w:szCs w:val="24"/>
                <w:lang w:val="en-US" w:eastAsia="zh-CN" w:bidi="ar"/>
              </w:rPr>
              <w:t xml:space="preserve"> (e.g., &gt;15–20 mol% CO₂)</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D103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Effective, and can provide selective H₂S/CO₂ separation for sulphur recovery</w:t>
            </w: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30B0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Lower for the CO₂-removal duty itself at high CO₂ content, but requires higher operating pressure and refrigeration in some configurations (Rectisol)</w:t>
            </w:r>
          </w:p>
        </w:tc>
        <w:tc>
          <w:tcPr>
            <w:tcW w:w="12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C6A1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Less common offshore/FLNG to date, given the more complex solvent-handling and (for Rectisol) cryogenic refrigeration requirements</w:t>
            </w:r>
          </w:p>
        </w:tc>
        <w:tc>
          <w:tcPr>
            <w:tcW w:w="1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420F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Used selectively on high-CO₂ LNG projects (e.g., some Asia-Pacific/Australian projects with CO₂ content well above Gulf of Guinea benchmark levels); </w:t>
            </w:r>
            <w:r>
              <w:rPr>
                <w:rStyle w:val="8"/>
                <w:rFonts w:hint="default" w:ascii="Times New Roman" w:hAnsi="Times New Roman" w:eastAsia="SimSun" w:cs="Times New Roman"/>
                <w:b w:val="0"/>
                <w:bCs w:val="0"/>
                <w:color w:val="000000"/>
                <w:kern w:val="0"/>
                <w:sz w:val="24"/>
                <w:szCs w:val="24"/>
                <w:lang w:val="en-US" w:eastAsia="zh-CN" w:bidi="ar"/>
              </w:rPr>
              <w:t>not indicated as necessary for a moderate-CO₂ basin like this one, based on the benchmark composition in Section 2</w:t>
            </w:r>
          </w:p>
        </w:tc>
      </w:tr>
    </w:tbl>
    <w:p w14:paraId="0EA1385A">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Assessment for Congo:</w:t>
      </w:r>
      <w:r>
        <w:rPr>
          <w:rFonts w:hint="default" w:ascii="Times New Roman" w:hAnsi="Times New Roman" w:cs="Times New Roman"/>
          <w:b w:val="0"/>
          <w:bCs w:val="0"/>
          <w:sz w:val="24"/>
          <w:szCs w:val="24"/>
        </w:rPr>
        <w:t xml:space="preserve"> based on the Section 2 benchmark CO₂ range (1–8 mol%, not confirmed field-specific data)  i.e., moderate rather than extreme CO₂ content  </w:t>
      </w:r>
      <w:r>
        <w:rPr>
          <w:rStyle w:val="8"/>
          <w:rFonts w:hint="default" w:ascii="Times New Roman" w:hAnsi="Times New Roman" w:cs="Times New Roman"/>
          <w:b w:val="0"/>
          <w:bCs w:val="0"/>
          <w:sz w:val="24"/>
          <w:szCs w:val="24"/>
        </w:rPr>
        <w:t>activated MDEA (aMDEA) amine treating is the technically and economically appropriate benchmark technology choice</w:t>
      </w:r>
      <w:r>
        <w:rPr>
          <w:rFonts w:hint="default" w:ascii="Times New Roman" w:hAnsi="Times New Roman" w:cs="Times New Roman"/>
          <w:b w:val="0"/>
          <w:bCs w:val="0"/>
          <w:sz w:val="24"/>
          <w:szCs w:val="24"/>
        </w:rPr>
        <w:t>, consistent with prevailing industry practice for offshore/FLNG gas treatment at this CO₂ concentration range. Physical solvents would only become the stronger technical choice if actual field CO₂ content proves to be materially higher than this benchmark range a possibility that cannot be excluded given the absence of published Congo-specific assay data, and which underscores the importance of field-specific gas analysis before final technology selection (a recurring theme of this note).</w:t>
      </w:r>
    </w:p>
    <w:p w14:paraId="6D2278D2">
      <w:pPr>
        <w:keepNext w:val="0"/>
        <w:keepLines w:val="0"/>
        <w:widowControl/>
        <w:suppressLineNumbers w:val="0"/>
        <w:spacing w:line="240" w:lineRule="auto"/>
        <w:jc w:val="both"/>
        <w:rPr>
          <w:rFonts w:hint="default" w:ascii="Times New Roman" w:hAnsi="Times New Roman" w:cs="Times New Roman"/>
          <w:b w:val="0"/>
          <w:bCs w:val="0"/>
          <w:sz w:val="24"/>
          <w:szCs w:val="24"/>
        </w:rPr>
      </w:pPr>
    </w:p>
    <w:p w14:paraId="6E7BA7F9">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5. CO₂ Management</w:t>
      </w:r>
    </w:p>
    <w:p w14:paraId="62F7B782">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CO₂ removal to below the ~50 ppmv industry-benchmark LNG feed specification (Section 2) is a </w:t>
      </w:r>
      <w:r>
        <w:rPr>
          <w:rStyle w:val="8"/>
          <w:rFonts w:hint="default" w:ascii="Times New Roman" w:hAnsi="Times New Roman" w:cs="Times New Roman"/>
          <w:b w:val="0"/>
          <w:bCs w:val="0"/>
          <w:sz w:val="24"/>
          <w:szCs w:val="24"/>
        </w:rPr>
        <w:t>hard technical requirement, not an optimisation choice</w:t>
      </w:r>
      <w:r>
        <w:rPr>
          <w:rFonts w:hint="default" w:ascii="Times New Roman" w:hAnsi="Times New Roman" w:cs="Times New Roman"/>
          <w:b w:val="0"/>
          <w:bCs w:val="0"/>
          <w:sz w:val="24"/>
          <w:szCs w:val="24"/>
        </w:rPr>
        <w:t>, because:</w:t>
      </w:r>
    </w:p>
    <w:p w14:paraId="796E0EF0">
      <w:pPr>
        <w:keepNext w:val="0"/>
        <w:keepLines w:val="0"/>
        <w:widowControl/>
        <w:numPr>
          <w:ilvl w:val="0"/>
          <w:numId w:val="1"/>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LNG freezing risk:</w:t>
      </w:r>
      <w:r>
        <w:rPr>
          <w:rFonts w:hint="default" w:ascii="Times New Roman" w:hAnsi="Times New Roman" w:cs="Times New Roman"/>
          <w:b w:val="0"/>
          <w:bCs w:val="0"/>
          <w:sz w:val="24"/>
          <w:szCs w:val="24"/>
        </w:rPr>
        <w:t xml:space="preserve"> at cryogenic liquefaction temperatures (approximately –160°C), CO₂ solidifies ("dry ice") well before methane reaches its liquefaction point. Even modest CO₂ carryover into the cryogenic main heat exchanger will precipitate as a solid.</w:t>
      </w:r>
    </w:p>
    <w:p w14:paraId="24E72559">
      <w:pPr>
        <w:keepNext w:val="0"/>
        <w:keepLines w:val="0"/>
        <w:widowControl/>
        <w:numPr>
          <w:ilvl w:val="0"/>
          <w:numId w:val="1"/>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Cryogenic equipment protection:</w:t>
      </w:r>
      <w:r>
        <w:rPr>
          <w:rFonts w:hint="default" w:ascii="Times New Roman" w:hAnsi="Times New Roman" w:cs="Times New Roman"/>
          <w:b w:val="0"/>
          <w:bCs w:val="0"/>
          <w:sz w:val="24"/>
          <w:szCs w:val="24"/>
        </w:rPr>
        <w:t xml:space="preserve"> solid CO₂ formation inside the brazed-aluminium plate-fin main cryogenic heat exchanger (the technology used in essentially all modern LNG trains, including FLNG) causes </w:t>
      </w:r>
      <w:r>
        <w:rPr>
          <w:rStyle w:val="8"/>
          <w:rFonts w:hint="default" w:ascii="Times New Roman" w:hAnsi="Times New Roman" w:cs="Times New Roman"/>
          <w:b w:val="0"/>
          <w:bCs w:val="0"/>
          <w:sz w:val="24"/>
          <w:szCs w:val="24"/>
        </w:rPr>
        <w:t>flow channel blockage</w:t>
      </w:r>
      <w:r>
        <w:rPr>
          <w:rFonts w:hint="default" w:ascii="Times New Roman" w:hAnsi="Times New Roman" w:cs="Times New Roman"/>
          <w:b w:val="0"/>
          <w:bCs w:val="0"/>
          <w:sz w:val="24"/>
          <w:szCs w:val="24"/>
        </w:rPr>
        <w:t>, restricting or halting gas flow through affected passages.</w:t>
      </w:r>
    </w:p>
    <w:p w14:paraId="35EBC115">
      <w:pPr>
        <w:keepNext w:val="0"/>
        <w:keepLines w:val="0"/>
        <w:widowControl/>
        <w:numPr>
          <w:ilvl w:val="0"/>
          <w:numId w:val="1"/>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Consequences of inadequate removal:</w:t>
      </w:r>
      <w:r>
        <w:rPr>
          <w:rFonts w:hint="default" w:ascii="Times New Roman" w:hAnsi="Times New Roman" w:cs="Times New Roman"/>
          <w:b w:val="0"/>
          <w:bCs w:val="0"/>
          <w:sz w:val="24"/>
          <w:szCs w:val="24"/>
        </w:rPr>
        <w:t xml:space="preserve"> </w:t>
      </w:r>
    </w:p>
    <w:p w14:paraId="66C82FFE">
      <w:pPr>
        <w:keepNext w:val="0"/>
        <w:keepLines w:val="0"/>
        <w:widowControl/>
        <w:numPr>
          <w:ilvl w:val="0"/>
          <w:numId w:val="1"/>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LNG production:</w:t>
      </w:r>
      <w:r>
        <w:rPr>
          <w:rFonts w:hint="default" w:ascii="Times New Roman" w:hAnsi="Times New Roman" w:cs="Times New Roman"/>
          <w:b w:val="0"/>
          <w:bCs w:val="0"/>
          <w:sz w:val="24"/>
          <w:szCs w:val="24"/>
        </w:rPr>
        <w:t xml:space="preserve"> reduced throughput or full train trip if blockage becomes severe enough to force a shutdown for de-icing/thawing.</w:t>
      </w:r>
    </w:p>
    <w:p w14:paraId="1291E812">
      <w:pPr>
        <w:keepNext w:val="0"/>
        <w:keepLines w:val="0"/>
        <w:widowControl/>
        <w:numPr>
          <w:ilvl w:val="0"/>
          <w:numId w:val="1"/>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Equipment reliability:</w:t>
      </w:r>
      <w:r>
        <w:rPr>
          <w:rFonts w:hint="default" w:ascii="Times New Roman" w:hAnsi="Times New Roman" w:cs="Times New Roman"/>
          <w:b w:val="0"/>
          <w:bCs w:val="0"/>
          <w:sz w:val="24"/>
          <w:szCs w:val="24"/>
        </w:rPr>
        <w:t xml:space="preserve"> repeated freeze/thaw cycling can cause mechanical stress and potential damage to the brazed-aluminium exchanger core, a high-value, long-lead-time asset that is difficult to repair offshore.</w:t>
      </w:r>
    </w:p>
    <w:p w14:paraId="4542E281">
      <w:pPr>
        <w:keepNext w:val="0"/>
        <w:keepLines w:val="0"/>
        <w:widowControl/>
        <w:numPr>
          <w:ilvl w:val="0"/>
          <w:numId w:val="1"/>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Energy consumption:</w:t>
      </w:r>
      <w:r>
        <w:rPr>
          <w:rFonts w:hint="default" w:ascii="Times New Roman" w:hAnsi="Times New Roman" w:cs="Times New Roman"/>
          <w:b w:val="0"/>
          <w:bCs w:val="0"/>
          <w:sz w:val="24"/>
          <w:szCs w:val="24"/>
        </w:rPr>
        <w:t xml:space="preserve"> any operational workaround (e.g., running at reduced throughput with wider design margins, or additional defrost cycling) reduces overall train efficiency.</w:t>
      </w:r>
    </w:p>
    <w:p w14:paraId="285A8229">
      <w:pPr>
        <w:keepNext w:val="0"/>
        <w:keepLines w:val="0"/>
        <w:widowControl/>
        <w:numPr>
          <w:ilvl w:val="0"/>
          <w:numId w:val="1"/>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Maintenance:</w:t>
      </w:r>
      <w:r>
        <w:rPr>
          <w:rFonts w:hint="default" w:ascii="Times New Roman" w:hAnsi="Times New Roman" w:cs="Times New Roman"/>
          <w:b w:val="0"/>
          <w:bCs w:val="0"/>
          <w:sz w:val="24"/>
          <w:szCs w:val="24"/>
        </w:rPr>
        <w:t xml:space="preserve"> unplanned de-icing events and potential exchanger inspection/repair campaigns increase maintenance burden and offshore logistics cost.</w:t>
      </w:r>
    </w:p>
    <w:p w14:paraId="7680AEC4">
      <w:pPr>
        <w:keepNext w:val="0"/>
        <w:keepLines w:val="0"/>
        <w:widowControl/>
        <w:numPr>
          <w:ilvl w:val="0"/>
          <w:numId w:val="1"/>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Plant availability:</w:t>
      </w:r>
      <w:r>
        <w:rPr>
          <w:rFonts w:hint="default" w:ascii="Times New Roman" w:hAnsi="Times New Roman" w:cs="Times New Roman"/>
          <w:b w:val="0"/>
          <w:bCs w:val="0"/>
          <w:sz w:val="24"/>
          <w:szCs w:val="24"/>
        </w:rPr>
        <w:t xml:space="preserve"> CO₂ breakthrough is one of the most consequential upset conditions for an LNG train's on-stream availability, given the exchanger cannot be easily bypassed or hot-swapped.</w:t>
      </w:r>
    </w:p>
    <w:p w14:paraId="262C1597">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CO₂ disposal/utilisation:</w:t>
      </w:r>
      <w:r>
        <w:rPr>
          <w:rFonts w:hint="default" w:ascii="Times New Roman" w:hAnsi="Times New Roman" w:cs="Times New Roman"/>
          <w:b w:val="0"/>
          <w:bCs w:val="0"/>
          <w:sz w:val="24"/>
          <w:szCs w:val="24"/>
        </w:rPr>
        <w:t xml:space="preserve"> no Congo-specific CO₂ management, sequestration or utilisation scheme was identified in sources reviewed; Eni's own Congo LNG messaging emphasises a "</w:t>
      </w:r>
      <w:r>
        <w:rPr>
          <w:rStyle w:val="8"/>
          <w:rFonts w:hint="default" w:ascii="Times New Roman" w:hAnsi="Times New Roman" w:cs="Times New Roman"/>
          <w:b w:val="0"/>
          <w:bCs w:val="0"/>
          <w:sz w:val="24"/>
          <w:szCs w:val="24"/>
        </w:rPr>
        <w:t>zero-flaring approach</w:t>
      </w:r>
      <w:r>
        <w:rPr>
          <w:rFonts w:hint="default" w:ascii="Times New Roman" w:hAnsi="Times New Roman" w:cs="Times New Roman"/>
          <w:b w:val="0"/>
          <w:bCs w:val="0"/>
          <w:sz w:val="24"/>
          <w:szCs w:val="24"/>
        </w:rPr>
        <w:t xml:space="preserve">" and decarbonisation-oriented design features on Nguya FLNG and Scarabeo 5, but the specific fate of removed CO₂ (vented, or captured/utilised) is </w:t>
      </w:r>
      <w:r>
        <w:rPr>
          <w:rStyle w:val="8"/>
          <w:rFonts w:hint="default" w:ascii="Times New Roman" w:hAnsi="Times New Roman" w:cs="Times New Roman"/>
          <w:b w:val="0"/>
          <w:bCs w:val="0"/>
          <w:sz w:val="24"/>
          <w:szCs w:val="24"/>
        </w:rPr>
        <w:t>not disclosed</w:t>
      </w:r>
      <w:r>
        <w:rPr>
          <w:rFonts w:hint="default" w:ascii="Times New Roman" w:hAnsi="Times New Roman" w:cs="Times New Roman"/>
          <w:b w:val="0"/>
          <w:bCs w:val="0"/>
          <w:sz w:val="24"/>
          <w:szCs w:val="24"/>
        </w:rPr>
        <w:t xml:space="preserve"> in the sources reviewed and is flagged as a data gap rather than assumed.</w:t>
      </w:r>
    </w:p>
    <w:p w14:paraId="4FAEB625">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p>
    <w:p w14:paraId="1BEBFA27">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6. H₂S and Sulphur Management</w:t>
      </w:r>
    </w:p>
    <w:p w14:paraId="6A8A9410">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Based on the general characterisation of Gulf of Guinea Tertiary-basin reservoirs as predominantly </w:t>
      </w:r>
      <w:r>
        <w:rPr>
          <w:rStyle w:val="8"/>
          <w:rFonts w:hint="default" w:ascii="Times New Roman" w:hAnsi="Times New Roman" w:cs="Times New Roman"/>
          <w:b w:val="0"/>
          <w:bCs w:val="0"/>
          <w:sz w:val="24"/>
          <w:szCs w:val="24"/>
        </w:rPr>
        <w:t>low H₂S/"sweet" gas systems</w:t>
      </w:r>
      <w:r>
        <w:rPr>
          <w:rFonts w:hint="default" w:ascii="Times New Roman" w:hAnsi="Times New Roman" w:cs="Times New Roman"/>
          <w:b w:val="0"/>
          <w:bCs w:val="0"/>
          <w:sz w:val="24"/>
          <w:szCs w:val="24"/>
        </w:rPr>
        <w:t xml:space="preserve"> (an industry benchmark characterisation consistent with the treatment of comparable basin gas in the companion Equatorial Guinea and general regional analysis, </w:t>
      </w:r>
      <w:r>
        <w:rPr>
          <w:rStyle w:val="8"/>
          <w:rFonts w:hint="default" w:ascii="Times New Roman" w:hAnsi="Times New Roman" w:cs="Times New Roman"/>
          <w:b w:val="0"/>
          <w:bCs w:val="0"/>
          <w:sz w:val="24"/>
          <w:szCs w:val="24"/>
        </w:rPr>
        <w:t>not a confirmed Congo-specific assay</w:t>
      </w:r>
      <w:r>
        <w:rPr>
          <w:rFonts w:hint="default" w:ascii="Times New Roman" w:hAnsi="Times New Roman" w:cs="Times New Roman"/>
          <w:b w:val="0"/>
          <w:bCs w:val="0"/>
          <w:sz w:val="24"/>
          <w:szCs w:val="24"/>
        </w:rPr>
        <w:t xml:space="preserve">), Congo's offshore gas is </w:t>
      </w:r>
      <w:r>
        <w:rPr>
          <w:rStyle w:val="8"/>
          <w:rFonts w:hint="default" w:ascii="Times New Roman" w:hAnsi="Times New Roman" w:cs="Times New Roman"/>
          <w:b w:val="0"/>
          <w:bCs w:val="0"/>
          <w:sz w:val="24"/>
          <w:szCs w:val="24"/>
        </w:rPr>
        <w:t>not expected to require large-scale, dedicated sulphur recovery infrastructure</w:t>
      </w:r>
      <w:r>
        <w:rPr>
          <w:rFonts w:hint="default" w:ascii="Times New Roman" w:hAnsi="Times New Roman" w:cs="Times New Roman"/>
          <w:b w:val="0"/>
          <w:bCs w:val="0"/>
          <w:sz w:val="24"/>
          <w:szCs w:val="24"/>
        </w:rPr>
        <w:t xml:space="preserve"> (e.g., a Claus sulphur recovery unit) of the type needed for sour gas developments elsewhere in the world. However:</w:t>
      </w:r>
    </w:p>
    <w:p w14:paraId="00663395">
      <w:pPr>
        <w:keepNext w:val="0"/>
        <w:keepLines w:val="0"/>
        <w:widowControl/>
        <w:numPr>
          <w:ilvl w:val="0"/>
          <w:numId w:val="2"/>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LNG specification</w:t>
      </w:r>
      <w:r>
        <w:rPr>
          <w:rFonts w:hint="default" w:ascii="Times New Roman" w:hAnsi="Times New Roman" w:cs="Times New Roman"/>
          <w:b w:val="0"/>
          <w:bCs w:val="0"/>
          <w:sz w:val="24"/>
          <w:szCs w:val="24"/>
        </w:rPr>
        <w:t xml:space="preserve"> still requires H₂S reduction to the low single-digit ppmv range (Section 2 benchmark: &lt;4 ppmv) and total sulphur to the tens-of-mg/Nm³ range, meaning </w:t>
      </w:r>
      <w:r>
        <w:rPr>
          <w:rStyle w:val="8"/>
          <w:rFonts w:hint="default" w:ascii="Times New Roman" w:hAnsi="Times New Roman" w:cs="Times New Roman"/>
          <w:b w:val="0"/>
          <w:bCs w:val="0"/>
          <w:sz w:val="24"/>
          <w:szCs w:val="24"/>
        </w:rPr>
        <w:t>some level of amine-based sweetening is required regardless of whether the field is "sweet" in absolute terms</w:t>
      </w:r>
      <w:r>
        <w:rPr>
          <w:rFonts w:hint="default" w:ascii="Times New Roman" w:hAnsi="Times New Roman" w:cs="Times New Roman"/>
          <w:b w:val="0"/>
          <w:bCs w:val="0"/>
          <w:sz w:val="24"/>
          <w:szCs w:val="24"/>
        </w:rPr>
        <w:t>, since even low-ppm H₂S in raw gas exceeds LNG tolerance.</w:t>
      </w:r>
    </w:p>
    <w:p w14:paraId="21F4DB83">
      <w:pPr>
        <w:keepNext w:val="0"/>
        <w:keepLines w:val="0"/>
        <w:widowControl/>
        <w:numPr>
          <w:ilvl w:val="0"/>
          <w:numId w:val="2"/>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Corrosion:</w:t>
      </w:r>
      <w:r>
        <w:rPr>
          <w:rFonts w:hint="default" w:ascii="Times New Roman" w:hAnsi="Times New Roman" w:cs="Times New Roman"/>
          <w:b w:val="0"/>
          <w:bCs w:val="0"/>
          <w:sz w:val="24"/>
          <w:szCs w:val="24"/>
        </w:rPr>
        <w:t xml:space="preserve"> any H₂S present, combined with produced water and CO₂, creates a wet sour-gas corrosion risk in gathering lines and separators upstream of treatment — standard materials-selection and corrosion-monitoring practice would apply regardless of absolute H₂S concentration.</w:t>
      </w:r>
    </w:p>
    <w:p w14:paraId="5A36DB5F">
      <w:pPr>
        <w:keepNext w:val="0"/>
        <w:keepLines w:val="0"/>
        <w:widowControl/>
        <w:numPr>
          <w:ilvl w:val="0"/>
          <w:numId w:val="2"/>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Toxicity:</w:t>
      </w:r>
      <w:r>
        <w:rPr>
          <w:rFonts w:hint="default" w:ascii="Times New Roman" w:hAnsi="Times New Roman" w:cs="Times New Roman"/>
          <w:b w:val="0"/>
          <w:bCs w:val="0"/>
          <w:sz w:val="24"/>
          <w:szCs w:val="24"/>
        </w:rPr>
        <w:t xml:space="preserve"> offshore personnel safety systems (H₂S detection, muster procedures) are standard practice on any hydrocarbon-processing facility and would be expected regardless of the specific concentration, as a matter of basic process safety design, not a Congo-specific disclosure.</w:t>
      </w:r>
    </w:p>
    <w:p w14:paraId="65C1F512">
      <w:pPr>
        <w:keepNext w:val="0"/>
        <w:keepLines w:val="0"/>
        <w:widowControl/>
        <w:numPr>
          <w:ilvl w:val="0"/>
          <w:numId w:val="2"/>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Gas sweetening:</w:t>
      </w:r>
      <w:r>
        <w:rPr>
          <w:rFonts w:hint="default" w:ascii="Times New Roman" w:hAnsi="Times New Roman" w:cs="Times New Roman"/>
          <w:b w:val="0"/>
          <w:bCs w:val="0"/>
          <w:sz w:val="24"/>
          <w:szCs w:val="24"/>
        </w:rPr>
        <w:t xml:space="preserve"> the aMDEA-based amine system identified in Section 4 as the appropriate CO₂-removal technology would concurrently handle the H₂S-removal duty in a single absorber, which is standard integrated AGR design practice.</w:t>
      </w:r>
    </w:p>
    <w:p w14:paraId="126E9BF8">
      <w:pPr>
        <w:keepNext w:val="0"/>
        <w:keepLines w:val="0"/>
        <w:widowControl/>
        <w:numPr>
          <w:ilvl w:val="0"/>
          <w:numId w:val="2"/>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Sulphur management implication for process design:</w:t>
      </w:r>
      <w:r>
        <w:rPr>
          <w:rFonts w:hint="default" w:ascii="Times New Roman" w:hAnsi="Times New Roman" w:cs="Times New Roman"/>
          <w:b w:val="0"/>
          <w:bCs w:val="0"/>
          <w:sz w:val="24"/>
          <w:szCs w:val="24"/>
        </w:rPr>
        <w:t xml:space="preserve"> </w:t>
      </w:r>
      <w:r>
        <w:rPr>
          <w:rStyle w:val="8"/>
          <w:rFonts w:hint="default" w:ascii="Times New Roman" w:hAnsi="Times New Roman" w:cs="Times New Roman"/>
          <w:b w:val="0"/>
          <w:bCs w:val="0"/>
          <w:sz w:val="24"/>
          <w:szCs w:val="24"/>
        </w:rPr>
        <w:t>if Congo's gas proves genuinely low in H₂S (as benchmarked), a dedicated sulphur recovery unit is unlikely to be justified</w:t>
      </w:r>
      <w:r>
        <w:rPr>
          <w:rFonts w:hint="default" w:ascii="Times New Roman" w:hAnsi="Times New Roman" w:cs="Times New Roman"/>
          <w:b w:val="0"/>
          <w:bCs w:val="0"/>
          <w:sz w:val="24"/>
          <w:szCs w:val="24"/>
        </w:rPr>
        <w:t xml:space="preserve">, and the acid gas removed by the amine unit could likely be vented (subject to environmental permitting) rather than requiring Claus-unit-based elemental sulphur recovery — this would represent a simpler, lower-CAPEX design than would be required for a sour basin. </w:t>
      </w:r>
      <w:r>
        <w:rPr>
          <w:rStyle w:val="8"/>
          <w:rFonts w:hint="default" w:ascii="Times New Roman" w:hAnsi="Times New Roman" w:cs="Times New Roman"/>
          <w:b w:val="0"/>
          <w:bCs w:val="0"/>
          <w:sz w:val="24"/>
          <w:szCs w:val="24"/>
        </w:rPr>
        <w:t>This conclusion rests on the basin-level benchmark characterisation, not a Congo-specific H₂S assay, and should be validated against field-specific analysis before being treated as confirmed.</w:t>
      </w:r>
    </w:p>
    <w:p w14:paraId="3F283513">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7. Mercury Removal</w:t>
      </w:r>
    </w:p>
    <w:tbl>
      <w:tblPr>
        <w:tblW w:w="0" w:type="auto"/>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431"/>
        <w:gridCol w:w="1990"/>
        <w:gridCol w:w="2716"/>
        <w:gridCol w:w="2279"/>
      </w:tblGrid>
      <w:tr w14:paraId="33296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79D0684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Parameter</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48CF0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Technical Requirement (industry benchmark)</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92C2F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Risk</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03DBC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Treatment Technology</w:t>
            </w:r>
          </w:p>
        </w:tc>
      </w:tr>
      <w:tr w14:paraId="562EE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E1BBE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Mercury sources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9F4D7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Naturally occurring in many oil/gas reservoirs, at trace (µg/Nm³-level) concentrations; </w:t>
            </w:r>
            <w:r>
              <w:rPr>
                <w:rStyle w:val="8"/>
                <w:rFonts w:hint="default" w:ascii="Times New Roman" w:hAnsi="Times New Roman" w:eastAsia="SimSun" w:cs="Times New Roman"/>
                <w:b w:val="0"/>
                <w:bCs w:val="0"/>
                <w:color w:val="000000"/>
                <w:kern w:val="0"/>
                <w:sz w:val="24"/>
                <w:szCs w:val="24"/>
                <w:lang w:val="en-US" w:eastAsia="zh-CN" w:bidi="ar"/>
              </w:rPr>
              <w:t>no Congo/Marine XII-specific mercury assay was identified</w:t>
            </w:r>
            <w:r>
              <w:rPr>
                <w:rFonts w:hint="default" w:ascii="Times New Roman" w:hAnsi="Times New Roman" w:eastAsia="SimSun" w:cs="Times New Roman"/>
                <w:b w:val="0"/>
                <w:bCs w:val="0"/>
                <w:color w:val="000000"/>
                <w:kern w:val="0"/>
                <w:sz w:val="24"/>
                <w:szCs w:val="24"/>
                <w:lang w:val="en-US" w:eastAsia="zh-CN" w:bidi="ar"/>
              </w:rPr>
              <w:t xml:space="preserve"> in sources reviewed</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B4311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Mercury presence is field-specific and can vary significantly even within the same basin — an unquantified risk for Congo absent measured data</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5D570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Sulphur-impregnated activated carbon beds (see below)</w:t>
            </w:r>
          </w:p>
        </w:tc>
      </w:tr>
      <w:tr w14:paraId="15452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0627B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Mercury concentration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8293A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Industry benchmark screening threshold for requiring dedicated removal is typically </w:t>
            </w:r>
            <w:r>
              <w:rPr>
                <w:rStyle w:val="8"/>
                <w:rFonts w:hint="default" w:ascii="Times New Roman" w:hAnsi="Times New Roman" w:eastAsia="SimSun" w:cs="Times New Roman"/>
                <w:b w:val="0"/>
                <w:bCs w:val="0"/>
                <w:color w:val="000000"/>
                <w:kern w:val="0"/>
                <w:sz w:val="24"/>
                <w:szCs w:val="24"/>
                <w:lang w:val="en-US" w:eastAsia="zh-CN" w:bidi="ar"/>
              </w:rPr>
              <w:t>&gt;0.01 µg/Nm³</w:t>
            </w:r>
            <w:r>
              <w:rPr>
                <w:rFonts w:hint="default" w:ascii="Times New Roman" w:hAnsi="Times New Roman" w:eastAsia="SimSun" w:cs="Times New Roman"/>
                <w:b w:val="0"/>
                <w:bCs w:val="0"/>
                <w:color w:val="000000"/>
                <w:kern w:val="0"/>
                <w:sz w:val="24"/>
                <w:szCs w:val="24"/>
                <w:lang w:val="en-US" w:eastAsia="zh-CN" w:bidi="ar"/>
              </w:rPr>
              <w:t xml:space="preserve"> in feed gas (i.e., essentially any measurable presence, given the very low LNG feed tolerance)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A12BE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If present above trace levels and untreated, poses a direct risk to the cryogenic exchanger (see below)</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7BE32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N/A — this is the specification driver, not a technology</w:t>
            </w:r>
          </w:p>
        </w:tc>
      </w:tr>
      <w:tr w14:paraId="3BB38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FEF7A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Aluminium heat exchanger corrosion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8698A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The brazed-aluminium main cryogenic heat exchanger, standard across essentially all LNG liquefaction technologies (including FLNG), is </w:t>
            </w:r>
            <w:r>
              <w:rPr>
                <w:rStyle w:val="8"/>
                <w:rFonts w:hint="default" w:ascii="Times New Roman" w:hAnsi="Times New Roman" w:eastAsia="SimSun" w:cs="Times New Roman"/>
                <w:b w:val="0"/>
                <w:bCs w:val="0"/>
                <w:color w:val="000000"/>
                <w:kern w:val="0"/>
                <w:sz w:val="24"/>
                <w:szCs w:val="24"/>
                <w:lang w:val="en-US" w:eastAsia="zh-CN" w:bidi="ar"/>
              </w:rPr>
              <w:t>susceptible to liquid-metal embrittlement from mercury amalgamation</w:t>
            </w:r>
            <w:r>
              <w:rPr>
                <w:rFonts w:hint="default" w:ascii="Times New Roman" w:hAnsi="Times New Roman" w:eastAsia="SimSun" w:cs="Times New Roman"/>
                <w:b w:val="0"/>
                <w:bCs w:val="0"/>
                <w:color w:val="000000"/>
                <w:kern w:val="0"/>
                <w:sz w:val="24"/>
                <w:szCs w:val="24"/>
                <w:lang w:val="en-US" w:eastAsia="zh-CN" w:bidi="ar"/>
              </w:rPr>
              <w:t>, a well-documented LNG industry failure mode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BD73B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High-consequence, low-probability-if-properly-designed risk</w:t>
            </w:r>
            <w:r>
              <w:rPr>
                <w:rFonts w:hint="default" w:ascii="Times New Roman" w:hAnsi="Times New Roman" w:eastAsia="SimSun" w:cs="Times New Roman"/>
                <w:b w:val="0"/>
                <w:bCs w:val="0"/>
                <w:color w:val="000000"/>
                <w:kern w:val="0"/>
                <w:sz w:val="24"/>
                <w:szCs w:val="24"/>
                <w:lang w:val="en-US" w:eastAsia="zh-CN" w:bidi="ar"/>
              </w:rPr>
              <w:t xml:space="preserve"> — historical LNG industry incidents (not Congo-specific) demonstrate that unmitigated mercury exposure can cause catastrophic, costly cryogenic exchanger failure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9FB91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Sulphur-impregnated activated carbon adsorption beds, positioned downstream of dehydration/AGR and upstream of the cryogenic section</w:t>
            </w:r>
          </w:p>
        </w:tc>
      </w:tr>
      <w:tr w14:paraId="0A15F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75437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Removal technology — activated carbon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84D94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Standard, near-universal industry practice for LNG mercury guard beds; typically designed for a multi-year service life with periodic replacement (industry benchmark, not Congo-specific)</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1A596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Bed exhaustion/breakthrough risk if monitoring is inadequate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9D60C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Sulphur-impregnated activated carbon (primary); mercury-selective molecular sieve variants are a secondary/alternative option in some designs</w:t>
            </w:r>
          </w:p>
        </w:tc>
      </w:tr>
      <w:tr w14:paraId="66B34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9E67F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Monitoring requirements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00C74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Continuous or periodic online/laboratory mercury analysis both upstream (to characterise the actual risk, given the absence of Congo-specific baseline data) and downstream (to confirm guard-bed performance) is standard industry practice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333B9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Absent Congo-specific baseline mercury data, initial-phase monitoring is particularly important to properly size the guard bed and confirm whether the basin-level low-risk assumption used elsewhere in this note actually holds for Marine XII gas specifically</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0C3CF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Online/laboratory mercury analysers</w:t>
            </w:r>
          </w:p>
        </w:tc>
      </w:tr>
    </w:tbl>
    <w:p w14:paraId="4BA39A22">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lang w:val="en-US"/>
        </w:rPr>
        <w:t>G</w:t>
      </w:r>
      <w:r>
        <w:rPr>
          <w:rFonts w:hint="default" w:ascii="Times New Roman" w:hAnsi="Times New Roman" w:cs="Times New Roman"/>
          <w:b w:val="0"/>
          <w:bCs w:val="0"/>
          <w:sz w:val="24"/>
          <w:szCs w:val="24"/>
        </w:rPr>
        <w:t xml:space="preserve">iven the absence of any published Congo/Marine XII mercury assay, this note </w:t>
      </w:r>
      <w:r>
        <w:rPr>
          <w:rStyle w:val="8"/>
          <w:rFonts w:hint="default" w:ascii="Times New Roman" w:hAnsi="Times New Roman" w:cs="Times New Roman"/>
          <w:b w:val="0"/>
          <w:bCs w:val="0"/>
          <w:sz w:val="24"/>
          <w:szCs w:val="24"/>
        </w:rPr>
        <w:t>cannot confirm</w:t>
      </w:r>
      <w:r>
        <w:rPr>
          <w:rFonts w:hint="default" w:ascii="Times New Roman" w:hAnsi="Times New Roman" w:cs="Times New Roman"/>
          <w:b w:val="0"/>
          <w:bCs w:val="0"/>
          <w:sz w:val="24"/>
          <w:szCs w:val="24"/>
        </w:rPr>
        <w:t xml:space="preserve"> whether Congo's gas presents an elevated or negligible mercury risk. Standard, prudent LNG industry practice</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followed on essentially all liquefaction projects regardless of a field's assumed risk level, given the high consequence of an undetected mercury exposure event</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would include a mercury guard bed as a standard design feature. This is presented as the expected/standard configuration, not as confirmation of Congo LNG's actual design.</w:t>
      </w:r>
    </w:p>
    <w:p w14:paraId="2C43C43E">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p>
    <w:p w14:paraId="08780DEB">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8. Hydrocarbon Dew Point Control</w:t>
      </w:r>
    </w:p>
    <w:p w14:paraId="17D2E50F">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Congo's Marine XII gas is explicitly characterised by Eni and industry sources as </w:t>
      </w:r>
      <w:r>
        <w:rPr>
          <w:rStyle w:val="8"/>
          <w:rFonts w:hint="default" w:ascii="Times New Roman" w:hAnsi="Times New Roman" w:cs="Times New Roman"/>
          <w:b w:val="0"/>
          <w:bCs w:val="0"/>
          <w:sz w:val="24"/>
          <w:szCs w:val="24"/>
        </w:rPr>
        <w:t>gas-condensate</w:t>
      </w:r>
      <w:r>
        <w:rPr>
          <w:rFonts w:hint="default" w:ascii="Times New Roman" w:hAnsi="Times New Roman" w:cs="Times New Roman"/>
          <w:b w:val="0"/>
          <w:bCs w:val="0"/>
          <w:sz w:val="24"/>
          <w:szCs w:val="24"/>
        </w:rPr>
        <w:t xml:space="preserve"> in nature, with material co-produced liquids (the combined Nené/Litchendjili field reported ~28,000 bbl/d of oil and condensate at the dated baseline cited in Section 1). This has two direct implications for hydrocarbon dew point control:</w:t>
      </w:r>
    </w:p>
    <w:p w14:paraId="4E58E9E8">
      <w:pPr>
        <w:keepNext w:val="0"/>
        <w:keepLines w:val="0"/>
        <w:widowControl/>
        <w:numPr>
          <w:ilvl w:val="0"/>
          <w:numId w:val="3"/>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C₅+/condensate removal is already structurally embedded in the production system</w:t>
      </w:r>
      <w:r>
        <w:rPr>
          <w:rFonts w:hint="default" w:ascii="Times New Roman" w:hAnsi="Times New Roman" w:cs="Times New Roman"/>
          <w:b w:val="0"/>
          <w:bCs w:val="0"/>
          <w:sz w:val="24"/>
          <w:szCs w:val="24"/>
        </w:rPr>
        <w:t>, since three-phase (gas/oil-condensate/water) separation is a prerequisite for handling a gas-condensate stream at all — this is a favourable starting position relative to a purely dry-gas development, where dedicated NGL/condensate infrastructure would need to be built from scratch.</w:t>
      </w:r>
    </w:p>
    <w:p w14:paraId="7D376DF7">
      <w:pPr>
        <w:keepNext w:val="0"/>
        <w:keepLines w:val="0"/>
        <w:widowControl/>
        <w:numPr>
          <w:ilvl w:val="0"/>
          <w:numId w:val="3"/>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NGL recovery and condensate stabilisation</w:t>
      </w:r>
      <w:r>
        <w:rPr>
          <w:rFonts w:hint="default" w:ascii="Times New Roman" w:hAnsi="Times New Roman" w:cs="Times New Roman"/>
          <w:b w:val="0"/>
          <w:bCs w:val="0"/>
          <w:sz w:val="24"/>
          <w:szCs w:val="24"/>
        </w:rPr>
        <w:t xml:space="preserve"> — condensate handling is referenced in Eni/SPE project descriptions (e.g., the historical Litchendjili plan for condensate to be "treated on the offshore platform" and exported via the Djeno terminal), indicating an established condensate export logistics chain independent of the LNG value chain.</w:t>
      </w:r>
    </w:p>
    <w:p w14:paraId="3192FF45">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Relationship: Gas Composition</w:t>
      </w:r>
      <w:r>
        <w:rPr>
          <w:rStyle w:val="8"/>
          <w:rFonts w:hint="default" w:ascii="Times New Roman" w:hAnsi="Times New Roman" w:cs="Times New Roman"/>
          <w:b w:val="0"/>
          <w:bCs w:val="0"/>
          <w:sz w:val="24"/>
          <w:szCs w:val="24"/>
          <w:lang w:val="en-US"/>
        </w:rPr>
        <w:t xml:space="preserve">, </w:t>
      </w:r>
      <w:r>
        <w:rPr>
          <w:rStyle w:val="8"/>
          <w:rFonts w:hint="default" w:ascii="Times New Roman" w:hAnsi="Times New Roman" w:cs="Times New Roman"/>
          <w:b w:val="0"/>
          <w:bCs w:val="0"/>
          <w:sz w:val="24"/>
          <w:szCs w:val="24"/>
        </w:rPr>
        <w:t xml:space="preserve"> Hydrocarbon Removal</w:t>
      </w:r>
      <w:r>
        <w:rPr>
          <w:rStyle w:val="8"/>
          <w:rFonts w:hint="default" w:ascii="Times New Roman" w:hAnsi="Times New Roman" w:cs="Times New Roman"/>
          <w:b w:val="0"/>
          <w:bCs w:val="0"/>
          <w:sz w:val="24"/>
          <w:szCs w:val="24"/>
          <w:lang w:val="en-US"/>
        </w:rPr>
        <w:t xml:space="preserve">, </w:t>
      </w:r>
      <w:r>
        <w:rPr>
          <w:rStyle w:val="8"/>
          <w:rFonts w:hint="default" w:ascii="Times New Roman" w:hAnsi="Times New Roman" w:cs="Times New Roman"/>
          <w:b w:val="0"/>
          <w:bCs w:val="0"/>
          <w:sz w:val="24"/>
          <w:szCs w:val="24"/>
        </w:rPr>
        <w:t xml:space="preserve"> LNG Feed Quality</w:t>
      </w:r>
      <w:r>
        <w:rPr>
          <w:rStyle w:val="8"/>
          <w:rFonts w:hint="default" w:ascii="Times New Roman" w:hAnsi="Times New Roman" w:cs="Times New Roman"/>
          <w:b w:val="0"/>
          <w:bCs w:val="0"/>
          <w:sz w:val="24"/>
          <w:szCs w:val="24"/>
          <w:lang w:val="en-US"/>
        </w:rPr>
        <w:t xml:space="preserve">, </w:t>
      </w:r>
      <w:r>
        <w:rPr>
          <w:rStyle w:val="8"/>
          <w:rFonts w:hint="default" w:ascii="Times New Roman" w:hAnsi="Times New Roman" w:cs="Times New Roman"/>
          <w:b w:val="0"/>
          <w:bCs w:val="0"/>
          <w:sz w:val="24"/>
          <w:szCs w:val="24"/>
        </w:rPr>
        <w:t>Liquefaction Performance.</w:t>
      </w:r>
      <w:r>
        <w:rPr>
          <w:rFonts w:hint="default" w:ascii="Times New Roman" w:hAnsi="Times New Roman" w:cs="Times New Roman"/>
          <w:b w:val="0"/>
          <w:bCs w:val="0"/>
          <w:sz w:val="24"/>
          <w:szCs w:val="24"/>
        </w:rPr>
        <w:t xml:space="preserve"> </w:t>
      </w:r>
      <w:r>
        <w:rPr>
          <w:rFonts w:hint="default" w:ascii="Times New Roman" w:hAnsi="Times New Roman" w:cs="Times New Roman"/>
          <w:b w:val="0"/>
          <w:bCs w:val="0"/>
          <w:sz w:val="24"/>
          <w:szCs w:val="24"/>
        </w:rPr>
        <w:t xml:space="preserve">Insufficient heavy-hydrocarbon removal ahead of the cryogenic section risks: </w:t>
      </w:r>
    </w:p>
    <w:p w14:paraId="7F07EB80">
      <w:pPr>
        <w:pStyle w:val="7"/>
        <w:keepNext w:val="0"/>
        <w:keepLines w:val="0"/>
        <w:widowControl/>
        <w:numPr>
          <w:ilvl w:val="0"/>
          <w:numId w:val="4"/>
        </w:numPr>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freeze-out of heavier components in the main cryogenic heat exchanger (analogous to, though generally less severe than, the CO₂ freeze-out risk in Section 5); </w:t>
      </w:r>
    </w:p>
    <w:p w14:paraId="56121F51">
      <w:pPr>
        <w:pStyle w:val="7"/>
        <w:keepNext w:val="0"/>
        <w:keepLines w:val="0"/>
        <w:widowControl/>
        <w:numPr>
          <w:ilvl w:val="0"/>
          <w:numId w:val="4"/>
        </w:numPr>
        <w:suppressLineNumbers w:val="0"/>
        <w:spacing w:line="240" w:lineRule="auto"/>
        <w:ind w:left="0" w:leftChars="0" w:right="0" w:rightChars="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off-specification LNG heating value/Wobbe Index if C₅+ carryover is excessive; and </w:t>
      </w:r>
    </w:p>
    <w:p w14:paraId="19EA0D6D">
      <w:pPr>
        <w:pStyle w:val="7"/>
        <w:keepNext w:val="0"/>
        <w:keepLines w:val="0"/>
        <w:widowControl/>
        <w:numPr>
          <w:ilvl w:val="0"/>
          <w:numId w:val="4"/>
        </w:numPr>
        <w:suppressLineNumbers w:val="0"/>
        <w:spacing w:line="240" w:lineRule="auto"/>
        <w:ind w:left="0" w:leftChars="0" w:right="0" w:rightChars="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reduced liquefaction train efficiency if the heat exchanger design margin is eroded by unanticipated heavy-component loading.</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Correct dew point control typically via a scrub column and/or refrigeration/turbo-expansion ahead of the cryogenic main exchanger  both protects liquefaction performance and enables the heavy fraction to be recovered as a saleable NGL/condensate stream.</w:t>
      </w:r>
    </w:p>
    <w:p w14:paraId="73F05321">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Simultaneous NGL/condensate monetisation:</w:t>
      </w:r>
      <w:r>
        <w:rPr>
          <w:rFonts w:hint="default" w:ascii="Times New Roman" w:hAnsi="Times New Roman" w:cs="Times New Roman"/>
          <w:b w:val="0"/>
          <w:bCs w:val="0"/>
          <w:sz w:val="24"/>
          <w:szCs w:val="24"/>
        </w:rPr>
        <w:t xml:space="preserve"> given Congo's already-established condensate export infrastructure (Djeno terminal) and gas-condensate field character, </w:t>
      </w:r>
      <w:r>
        <w:rPr>
          <w:rStyle w:val="8"/>
          <w:rFonts w:hint="default" w:ascii="Times New Roman" w:hAnsi="Times New Roman" w:cs="Times New Roman"/>
          <w:b w:val="0"/>
          <w:bCs w:val="0"/>
          <w:sz w:val="24"/>
          <w:szCs w:val="24"/>
        </w:rPr>
        <w:t>hydrocarbon dew point control at the LNG pretreatment stage can very plausibly be integrated with, and support, continued NGL/condensate monetisation</w:t>
      </w:r>
      <w:r>
        <w:rPr>
          <w:rFonts w:hint="default" w:ascii="Times New Roman" w:hAnsi="Times New Roman" w:cs="Times New Roman"/>
          <w:b w:val="0"/>
          <w:bCs w:val="0"/>
          <w:sz w:val="24"/>
          <w:szCs w:val="24"/>
        </w:rPr>
        <w:t xml:space="preserve"> rather than representing a pure processing cost — this is a reasonable technical inference from the disclosed field characteristics, though the specific extent of NGL fractionation/recovery integrated into the Congo LNG design (versus condensate simply being separated and exported without further NGL fractionation) is </w:t>
      </w:r>
      <w:r>
        <w:rPr>
          <w:rStyle w:val="8"/>
          <w:rFonts w:hint="default" w:ascii="Times New Roman" w:hAnsi="Times New Roman" w:cs="Times New Roman"/>
          <w:b w:val="0"/>
          <w:bCs w:val="0"/>
          <w:sz w:val="24"/>
          <w:szCs w:val="24"/>
        </w:rPr>
        <w:t>not disclosed</w:t>
      </w:r>
      <w:r>
        <w:rPr>
          <w:rFonts w:hint="default" w:ascii="Times New Roman" w:hAnsi="Times New Roman" w:cs="Times New Roman"/>
          <w:b w:val="0"/>
          <w:bCs w:val="0"/>
          <w:sz w:val="24"/>
          <w:szCs w:val="24"/>
        </w:rPr>
        <w:t xml:space="preserve"> in sources reviewed.</w:t>
      </w:r>
    </w:p>
    <w:p w14:paraId="2D13E0BB">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9. Integrated Offshore Gas Treatment Configuration</w:t>
      </w:r>
    </w:p>
    <w:p w14:paraId="63AB81F9">
      <w:pPr>
        <w:pStyle w:val="4"/>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9.1 Conceptual process sequence and likely siting</w:t>
      </w:r>
    </w:p>
    <w:tbl>
      <w:tblPr>
        <w:tblW w:w="0" w:type="auto"/>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590"/>
        <w:gridCol w:w="3854"/>
        <w:gridCol w:w="2972"/>
      </w:tblGrid>
      <w:tr w14:paraId="625A0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blCellSpacing w:w="15" w:type="dxa"/>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7C150A3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Stage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3EF84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Likely Siting (based on disclosed Congo LNG configuration + standard industry practice)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A6F3D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Basis</w:t>
            </w:r>
          </w:p>
        </w:tc>
      </w:tr>
      <w:tr w14:paraId="4CDAC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69CE8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Offshore production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1248F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Offshore — wellhead riser platforms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7BD09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Confirmed/Reported</w:t>
            </w:r>
            <w:r>
              <w:rPr>
                <w:rFonts w:hint="default" w:ascii="Times New Roman" w:hAnsi="Times New Roman" w:eastAsia="SimSun" w:cs="Times New Roman"/>
                <w:b w:val="0"/>
                <w:bCs w:val="0"/>
                <w:color w:val="000000"/>
                <w:kern w:val="0"/>
                <w:sz w:val="24"/>
                <w:szCs w:val="24"/>
                <w:lang w:val="en-US" w:eastAsia="zh-CN" w:bidi="ar"/>
              </w:rPr>
              <w:t>: Eni discloses multiple new platforms across Stage 1 (additional platform, 12 wells) and Stage 2 (eight new platforms, 29 wells)</w:t>
            </w:r>
          </w:p>
        </w:tc>
      </w:tr>
      <w:tr w14:paraId="27DFC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19A46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Three-phase separation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FB320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Offshore — at or near the production platforms and/or the Scarabeo 5 FPU</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933F3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Reported (Scarabeo 5 role)</w:t>
            </w:r>
            <w:r>
              <w:rPr>
                <w:rFonts w:hint="default" w:ascii="Times New Roman" w:hAnsi="Times New Roman" w:eastAsia="SimSun" w:cs="Times New Roman"/>
                <w:b w:val="0"/>
                <w:bCs w:val="0"/>
                <w:color w:val="000000"/>
                <w:kern w:val="0"/>
                <w:sz w:val="24"/>
                <w:szCs w:val="24"/>
                <w:lang w:val="en-US" w:eastAsia="zh-CN" w:bidi="ar"/>
              </w:rPr>
              <w:t>: Scarabeo 5 is disclosed as receiving "production fluids from wellhead riser platforms" and separating "gas from liquids"</w:t>
            </w:r>
          </w:p>
        </w:tc>
      </w:tr>
      <w:tr w14:paraId="0FA41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99D5B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Gas compression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54E6A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Offshore — Scarabeo 5 (Phase 2) and the Tango-associated Stage 1 infrastructure (Phase 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DC073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Reported</w:t>
            </w:r>
            <w:r>
              <w:rPr>
                <w:rFonts w:hint="default" w:ascii="Times New Roman" w:hAnsi="Times New Roman" w:eastAsia="SimSun" w:cs="Times New Roman"/>
                <w:b w:val="0"/>
                <w:bCs w:val="0"/>
                <w:color w:val="000000"/>
                <w:kern w:val="0"/>
                <w:sz w:val="24"/>
                <w:szCs w:val="24"/>
                <w:lang w:val="en-US" w:eastAsia="zh-CN" w:bidi="ar"/>
              </w:rPr>
              <w:t>: Scarabeo 5 "boosts the gas" to feed Nguya FLNG; Stage 1 gas-pretreatment plant scope is disclosed but not detailed</w:t>
            </w:r>
          </w:p>
        </w:tc>
      </w:tr>
      <w:tr w14:paraId="3CE04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2B777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Gas dehydration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3D02E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Not disclosed</w:t>
            </w:r>
            <w:r>
              <w:rPr>
                <w:rFonts w:hint="default" w:ascii="Times New Roman" w:hAnsi="Times New Roman" w:eastAsia="SimSun" w:cs="Times New Roman"/>
                <w:b w:val="0"/>
                <w:bCs w:val="0"/>
                <w:color w:val="000000"/>
                <w:kern w:val="0"/>
                <w:sz w:val="24"/>
                <w:szCs w:val="24"/>
                <w:lang w:val="en-US" w:eastAsia="zh-CN" w:bidi="ar"/>
              </w:rPr>
              <w:t xml:space="preserve"> whether performed on Scarabeo 5, on the FLNG hull itself, or split between the two — </w:t>
            </w:r>
            <w:r>
              <w:rPr>
                <w:rStyle w:val="8"/>
                <w:rFonts w:hint="default" w:ascii="Times New Roman" w:hAnsi="Times New Roman" w:eastAsia="SimSun" w:cs="Times New Roman"/>
                <w:b w:val="0"/>
                <w:bCs w:val="0"/>
                <w:color w:val="000000"/>
                <w:kern w:val="0"/>
                <w:sz w:val="24"/>
                <w:szCs w:val="24"/>
                <w:lang w:val="en-US" w:eastAsia="zh-CN" w:bidi="ar"/>
              </w:rPr>
              <w:t>Engineering Assumption</w:t>
            </w:r>
            <w:r>
              <w:rPr>
                <w:rFonts w:hint="default" w:ascii="Times New Roman" w:hAnsi="Times New Roman" w:eastAsia="SimSun" w:cs="Times New Roman"/>
                <w:b w:val="0"/>
                <w:bCs w:val="0"/>
                <w:color w:val="000000"/>
                <w:kern w:val="0"/>
                <w:sz w:val="24"/>
                <w:szCs w:val="24"/>
                <w:lang w:val="en-US" w:eastAsia="zh-CN" w:bidi="ar"/>
              </w:rPr>
              <w:t>: given molecular sieve dehydration must sit immediately upstream of the cryogenic section for equipment-protection reasons, it is most plausibly integrated into the FLNG hull's own process train (Tango and Nguya), with any bulk/TEG dehydration potentially performed upstream on Scarabeo 5 or the Stage 1 pretreatment plant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E9AD5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Engineering Assumption, consistent with standard FLNG design practice</w:t>
            </w:r>
          </w:p>
        </w:tc>
      </w:tr>
      <w:tr w14:paraId="219C7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CC0FC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Acid gas removal</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E542F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Similarly </w:t>
            </w:r>
            <w:r>
              <w:rPr>
                <w:rStyle w:val="8"/>
                <w:rFonts w:hint="default" w:ascii="Times New Roman" w:hAnsi="Times New Roman" w:eastAsia="SimSun" w:cs="Times New Roman"/>
                <w:b w:val="0"/>
                <w:bCs w:val="0"/>
                <w:color w:val="000000"/>
                <w:kern w:val="0"/>
                <w:sz w:val="24"/>
                <w:szCs w:val="24"/>
                <w:lang w:val="en-US" w:eastAsia="zh-CN" w:bidi="ar"/>
              </w:rPr>
              <w:t>not disclosed</w:t>
            </w:r>
            <w:r>
              <w:rPr>
                <w:rFonts w:hint="default" w:ascii="Times New Roman" w:hAnsi="Times New Roman" w:eastAsia="SimSun" w:cs="Times New Roman"/>
                <w:b w:val="0"/>
                <w:bCs w:val="0"/>
                <w:color w:val="000000"/>
                <w:kern w:val="0"/>
                <w:sz w:val="24"/>
                <w:szCs w:val="24"/>
                <w:lang w:val="en-US" w:eastAsia="zh-CN" w:bidi="ar"/>
              </w:rPr>
              <w:t>; Engineering Assumption is that AGR is integrated into the FLNG hull process train (a common FLNG design approach, since AGR performance directly determines liquefaction feed quality and is typically kept close to the liquefaction unit)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E33C9B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Engineering Assumption</w:t>
            </w:r>
          </w:p>
        </w:tc>
      </w:tr>
      <w:tr w14:paraId="62194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97113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Mercury removal</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1DC64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Not disclosed</w:t>
            </w:r>
            <w:r>
              <w:rPr>
                <w:rFonts w:hint="default" w:ascii="Times New Roman" w:hAnsi="Times New Roman" w:eastAsia="SimSun" w:cs="Times New Roman"/>
                <w:b w:val="0"/>
                <w:bCs w:val="0"/>
                <w:color w:val="000000"/>
                <w:kern w:val="0"/>
                <w:sz w:val="24"/>
                <w:szCs w:val="24"/>
                <w:lang w:val="en-US" w:eastAsia="zh-CN" w:bidi="ar"/>
              </w:rPr>
              <w:t>; Engineering Assumption is FLNG-hull-integrated, immediately upstream of the cryogenic exchanger, per standard practice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8D1D7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Engineering Assumption</w:t>
            </w:r>
          </w:p>
        </w:tc>
      </w:tr>
      <w:tr w14:paraId="60FB5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BFF71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Hydrocarbon dew point control</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C68AA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Likely </w:t>
            </w:r>
            <w:r>
              <w:rPr>
                <w:rStyle w:val="8"/>
                <w:rFonts w:hint="default" w:ascii="Times New Roman" w:hAnsi="Times New Roman" w:eastAsia="SimSun" w:cs="Times New Roman"/>
                <w:b w:val="0"/>
                <w:bCs w:val="0"/>
                <w:color w:val="000000"/>
                <w:kern w:val="0"/>
                <w:sz w:val="24"/>
                <w:szCs w:val="24"/>
                <w:lang w:val="en-US" w:eastAsia="zh-CN" w:bidi="ar"/>
              </w:rPr>
              <w:t>partially offshore</w:t>
            </w:r>
            <w:r>
              <w:rPr>
                <w:rFonts w:hint="default" w:ascii="Times New Roman" w:hAnsi="Times New Roman" w:eastAsia="SimSun" w:cs="Times New Roman"/>
                <w:b w:val="0"/>
                <w:bCs w:val="0"/>
                <w:color w:val="000000"/>
                <w:kern w:val="0"/>
                <w:sz w:val="24"/>
                <w:szCs w:val="24"/>
                <w:lang w:val="en-US" w:eastAsia="zh-CN" w:bidi="ar"/>
              </w:rPr>
              <w:t xml:space="preserve"> (given three-phase separation and condensate handling already occurring at the platform/Scarabeo 5 level) </w:t>
            </w:r>
            <w:r>
              <w:rPr>
                <w:rStyle w:val="8"/>
                <w:rFonts w:hint="default" w:ascii="Times New Roman" w:hAnsi="Times New Roman" w:eastAsia="SimSun" w:cs="Times New Roman"/>
                <w:b w:val="0"/>
                <w:bCs w:val="0"/>
                <w:color w:val="000000"/>
                <w:kern w:val="0"/>
                <w:sz w:val="24"/>
                <w:szCs w:val="24"/>
                <w:lang w:val="en-US" w:eastAsia="zh-CN" w:bidi="ar"/>
              </w:rPr>
              <w:t>and partially FLNG-hull-integrated</w:t>
            </w:r>
            <w:r>
              <w:rPr>
                <w:rFonts w:hint="default" w:ascii="Times New Roman" w:hAnsi="Times New Roman" w:eastAsia="SimSun" w:cs="Times New Roman"/>
                <w:b w:val="0"/>
                <w:bCs w:val="0"/>
                <w:color w:val="000000"/>
                <w:kern w:val="0"/>
                <w:sz w:val="24"/>
                <w:szCs w:val="24"/>
                <w:lang w:val="en-US" w:eastAsia="zh-CN" w:bidi="ar"/>
              </w:rPr>
              <w:t xml:space="preserve"> (final dew point trim ahead of liquefaction)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018074">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Engineering Assumption, informed by the gas-condensate field character (Section 8)</w:t>
            </w:r>
          </w:p>
        </w:tc>
      </w:tr>
      <w:tr w14:paraId="41479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6654F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Gas compression (final, to liquefaction pressure)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7188E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FLNG hull-integrated</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F00E8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Standard LNG process design</w:t>
            </w:r>
          </w:p>
        </w:tc>
      </w:tr>
      <w:tr w14:paraId="63F08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CAE9D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LNG feed gas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E18F1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Delivered to the Tango and Nguya FLNG cryogenic sections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AEF3D4">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Reported</w:t>
            </w:r>
          </w:p>
        </w:tc>
      </w:tr>
    </w:tbl>
    <w:p w14:paraId="765B5427">
      <w:pPr>
        <w:pStyle w:val="4"/>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9.2 Advantages and disadvantages by location</w:t>
      </w:r>
    </w:p>
    <w:tbl>
      <w:tblPr>
        <w:tblW w:w="0" w:type="auto"/>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319"/>
        <w:gridCol w:w="3345"/>
        <w:gridCol w:w="3752"/>
      </w:tblGrid>
      <w:tr w14:paraId="7C079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4C1E1DB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Location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AAFE5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Advantages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B7265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Disadvantages</w:t>
            </w:r>
          </w:p>
        </w:tc>
      </w:tr>
      <w:tr w14:paraId="335C6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84C56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Offshore (platform-level)</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1019B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Reduces gas volume/pressure-drop losses before treatment; addresses produced-water/condensate handling at source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89087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Space and weight constraints on unmanned/minimally-manned platforms; higher-value treatment equipment (e.g., large amine units) less commonly sited here</w:t>
            </w:r>
          </w:p>
        </w:tc>
      </w:tr>
      <w:tr w14:paraId="2ED65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10A49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Floating processing unit (Scarabeo 5-type FPU)</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8FAD4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Demonstrated by Congo LNG itself</w:t>
            </w:r>
            <w:r>
              <w:rPr>
                <w:rFonts w:hint="default" w:ascii="Times New Roman" w:hAnsi="Times New Roman" w:eastAsia="SimSun" w:cs="Times New Roman"/>
                <w:b w:val="0"/>
                <w:bCs w:val="0"/>
                <w:color w:val="000000"/>
                <w:kern w:val="0"/>
                <w:sz w:val="24"/>
                <w:szCs w:val="24"/>
                <w:lang w:val="en-US" w:eastAsia="zh-CN" w:bidi="ar"/>
              </w:rPr>
              <w:t xml:space="preserve"> — a converted rig provides substantial deck space and hosting capacity for separation, treatment and compression at lower cost than a purpose-built platform, and centralises processing for multiple wellhead platforms ("control hub" role, per Saipem)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1C811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Requires a suitable rig/hull conversion candidate (as Congo LNG found with the 1990s-built Scarabeo 5) and mooring/station-keeping infrastructure at the chosen water depth (~35 m for Scarabeo 5)</w:t>
            </w:r>
          </w:p>
        </w:tc>
      </w:tr>
      <w:tr w14:paraId="185CF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B073C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FLNG (hull-integrated)</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8BF73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Keeps final-polish treatment (mol sieve dehydration, mercury removal) physically adjacent to the cryogenic section, minimising the risk of re-contamination (e.g., water ingress) between treatment and liquefaction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B5529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Adds complexity and deck-space demand to the FLNG hull itself, which must also accommodate the liquefaction train, storage and offloading systems</w:t>
            </w:r>
          </w:p>
        </w:tc>
      </w:tr>
      <w:tr w14:paraId="02D19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D720F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Onshore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66133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Larger footprint available, easier maintenance access, lower marine logistics cost for major equipment/chemical replenishment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99D61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Requires a dedicated pipeline from the offshore field, adding capital cost and a potential single point of failure; </w:t>
            </w:r>
            <w:r>
              <w:rPr>
                <w:rStyle w:val="8"/>
                <w:rFonts w:hint="default" w:ascii="Times New Roman" w:hAnsi="Times New Roman" w:eastAsia="SimSun" w:cs="Times New Roman"/>
                <w:b w:val="0"/>
                <w:bCs w:val="0"/>
                <w:color w:val="000000"/>
                <w:kern w:val="0"/>
                <w:sz w:val="24"/>
                <w:szCs w:val="24"/>
                <w:lang w:val="en-US" w:eastAsia="zh-CN" w:bidi="ar"/>
              </w:rPr>
              <w:t>Congo LNG's design — using floating pretreatment (Scarabeo 5) and FLNG rather than a large onshore train — indicates the offshore/floating approach was preferred for this project</w:t>
            </w:r>
            <w:r>
              <w:rPr>
                <w:rFonts w:hint="default" w:ascii="Times New Roman" w:hAnsi="Times New Roman" w:eastAsia="SimSun" w:cs="Times New Roman"/>
                <w:b w:val="0"/>
                <w:bCs w:val="0"/>
                <w:color w:val="000000"/>
                <w:kern w:val="0"/>
                <w:sz w:val="24"/>
                <w:szCs w:val="24"/>
                <w:lang w:val="en-US" w:eastAsia="zh-CN" w:bidi="ar"/>
              </w:rPr>
              <w:t>, consistent with Eni's broader FLNG-centric development philosophy for Marine XII</w:t>
            </w:r>
          </w:p>
        </w:tc>
      </w:tr>
    </w:tbl>
    <w:p w14:paraId="77755EAB">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lang w:val="en-US"/>
        </w:rPr>
        <w:t>A</w:t>
      </w:r>
      <w:r>
        <w:rPr>
          <w:rFonts w:hint="default" w:ascii="Times New Roman" w:hAnsi="Times New Roman" w:cs="Times New Roman"/>
          <w:b w:val="0"/>
          <w:bCs w:val="0"/>
          <w:sz w:val="24"/>
          <w:szCs w:val="24"/>
        </w:rPr>
        <w:t xml:space="preserve">n onshore gas-pretreatment/processing element does exist in Congo's broader gas value chain (the Litchendjili gas plant supplying CEC/CED, and an "OPT" onshore pre-treatment facility referenced in some project descriptions at ~80 mmscfd), but this appears to be </w:t>
      </w:r>
      <w:r>
        <w:rPr>
          <w:rStyle w:val="8"/>
          <w:rFonts w:hint="default" w:ascii="Times New Roman" w:hAnsi="Times New Roman" w:cs="Times New Roman"/>
          <w:b w:val="0"/>
          <w:bCs w:val="0"/>
          <w:sz w:val="24"/>
          <w:szCs w:val="24"/>
        </w:rPr>
        <w:t>associated primarily with the domestic power-generation gas stream rather than the LNG-dedicated Tango/Nguya feed train</w:t>
      </w:r>
      <w:r>
        <w:rPr>
          <w:rFonts w:hint="default" w:ascii="Times New Roman" w:hAnsi="Times New Roman" w:cs="Times New Roman"/>
          <w:b w:val="0"/>
          <w:bCs w:val="0"/>
          <w:sz w:val="24"/>
          <w:szCs w:val="24"/>
        </w:rPr>
        <w:t>, based on the sources reviewed</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the LNG-specific treatment chain is predominantly floating/offshore (Scarabeo 5 and the FLNG hulls). This distinction between the domestic-power and LNG-dedicated treatment chains is an analytical interpretation based on available disclosures, not an explicitly con</w:t>
      </w:r>
      <w:r>
        <w:rPr>
          <w:rFonts w:hint="default" w:ascii="Times New Roman" w:hAnsi="Times New Roman" w:cs="Times New Roman"/>
          <w:b w:val="0"/>
          <w:bCs w:val="0"/>
          <w:sz w:val="24"/>
          <w:szCs w:val="24"/>
        </w:rPr>
        <w:t>firmed project fact.</w:t>
      </w:r>
    </w:p>
    <w:p w14:paraId="1E76ECAB">
      <w:pPr>
        <w:keepNext w:val="0"/>
        <w:keepLines w:val="0"/>
        <w:widowControl/>
        <w:suppressLineNumbers w:val="0"/>
        <w:spacing w:line="240" w:lineRule="auto"/>
        <w:jc w:val="both"/>
        <w:rPr>
          <w:rFonts w:hint="default" w:ascii="Times New Roman" w:hAnsi="Times New Roman" w:cs="Times New Roman"/>
          <w:b w:val="0"/>
          <w:bCs w:val="0"/>
          <w:sz w:val="24"/>
          <w:szCs w:val="24"/>
        </w:rPr>
      </w:pPr>
    </w:p>
    <w:p w14:paraId="2161B0AA">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10. Congo LNG Technical Case Study</w:t>
      </w:r>
    </w:p>
    <w:p w14:paraId="6C0658EC">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Confirmed project specifications:</w:t>
      </w:r>
    </w:p>
    <w:p w14:paraId="1FB5F2E3">
      <w:pPr>
        <w:keepNext w:val="0"/>
        <w:keepLines w:val="0"/>
        <w:widowControl/>
        <w:numPr>
          <w:ilvl w:val="0"/>
          <w:numId w:val="5"/>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Congo LNG is executed in two phases: </w:t>
      </w:r>
      <w:r>
        <w:rPr>
          <w:rStyle w:val="8"/>
          <w:rFonts w:hint="default" w:ascii="Times New Roman" w:hAnsi="Times New Roman" w:cs="Times New Roman"/>
          <w:b w:val="0"/>
          <w:bCs w:val="0"/>
          <w:sz w:val="24"/>
          <w:szCs w:val="24"/>
        </w:rPr>
        <w:t>Phase 1 (Tango FLNG, 0.6 Mtpa)</w:t>
      </w:r>
      <w:r>
        <w:rPr>
          <w:rFonts w:hint="default" w:ascii="Times New Roman" w:hAnsi="Times New Roman" w:cs="Times New Roman"/>
          <w:b w:val="0"/>
          <w:bCs w:val="0"/>
          <w:sz w:val="24"/>
          <w:szCs w:val="24"/>
        </w:rPr>
        <w:t xml:space="preserve">, operating since late 2023/first cargo February 2024, and </w:t>
      </w:r>
      <w:r>
        <w:rPr>
          <w:rStyle w:val="8"/>
          <w:rFonts w:hint="default" w:ascii="Times New Roman" w:hAnsi="Times New Roman" w:cs="Times New Roman"/>
          <w:b w:val="0"/>
          <w:bCs w:val="0"/>
          <w:sz w:val="24"/>
          <w:szCs w:val="24"/>
        </w:rPr>
        <w:t>Phase 2 (Nguya FLNG, 2.4 Mtpa)</w:t>
      </w:r>
      <w:r>
        <w:rPr>
          <w:rFonts w:hint="default" w:ascii="Times New Roman" w:hAnsi="Times New Roman" w:cs="Times New Roman"/>
          <w:b w:val="0"/>
          <w:bCs w:val="0"/>
          <w:sz w:val="24"/>
          <w:szCs w:val="24"/>
        </w:rPr>
        <w:t xml:space="preserve">, first cargo 7 February 2026 — combined </w:t>
      </w:r>
      <w:r>
        <w:rPr>
          <w:rStyle w:val="8"/>
          <w:rFonts w:hint="default" w:ascii="Times New Roman" w:hAnsi="Times New Roman" w:cs="Times New Roman"/>
          <w:b w:val="0"/>
          <w:bCs w:val="0"/>
          <w:sz w:val="24"/>
          <w:szCs w:val="24"/>
        </w:rPr>
        <w:t>3 MTPA (4.5 bcm/yr gas-equivalent)</w:t>
      </w:r>
      <w:r>
        <w:rPr>
          <w:rFonts w:hint="default" w:ascii="Times New Roman" w:hAnsi="Times New Roman" w:cs="Times New Roman"/>
          <w:b w:val="0"/>
          <w:bCs w:val="0"/>
          <w:sz w:val="24"/>
          <w:szCs w:val="24"/>
        </w:rPr>
        <w:t>.</w:t>
      </w:r>
    </w:p>
    <w:p w14:paraId="5C5779D6">
      <w:pPr>
        <w:keepNext w:val="0"/>
        <w:keepLines w:val="0"/>
        <w:widowControl/>
        <w:numPr>
          <w:ilvl w:val="0"/>
          <w:numId w:val="5"/>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Phase 1 scope included: the Tango FLNG vessel, </w:t>
      </w:r>
      <w:r>
        <w:rPr>
          <w:rStyle w:val="8"/>
          <w:rFonts w:hint="default" w:ascii="Times New Roman" w:hAnsi="Times New Roman" w:cs="Times New Roman"/>
          <w:b w:val="0"/>
          <w:bCs w:val="0"/>
          <w:sz w:val="24"/>
          <w:szCs w:val="24"/>
        </w:rPr>
        <w:t>construction of a gas-pretreatment plant</w:t>
      </w:r>
      <w:r>
        <w:rPr>
          <w:rFonts w:hint="default" w:ascii="Times New Roman" w:hAnsi="Times New Roman" w:cs="Times New Roman"/>
          <w:b w:val="0"/>
          <w:bCs w:val="0"/>
          <w:sz w:val="24"/>
          <w:szCs w:val="24"/>
        </w:rPr>
        <w:t>, installation of an additional platform, and drilling of 12 wells.</w:t>
      </w:r>
    </w:p>
    <w:p w14:paraId="6CF63C59">
      <w:pPr>
        <w:keepNext w:val="0"/>
        <w:keepLines w:val="0"/>
        <w:widowControl/>
        <w:numPr>
          <w:ilvl w:val="0"/>
          <w:numId w:val="5"/>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Phase 2 scope included: </w:t>
      </w:r>
      <w:r>
        <w:rPr>
          <w:rStyle w:val="8"/>
          <w:rFonts w:hint="default" w:ascii="Times New Roman" w:hAnsi="Times New Roman" w:cs="Times New Roman"/>
          <w:b w:val="0"/>
          <w:bCs w:val="0"/>
          <w:sz w:val="24"/>
          <w:szCs w:val="24"/>
        </w:rPr>
        <w:t>three offshore production platforms</w:t>
      </w:r>
      <w:r>
        <w:rPr>
          <w:rFonts w:hint="default" w:ascii="Times New Roman" w:hAnsi="Times New Roman" w:cs="Times New Roman"/>
          <w:b w:val="0"/>
          <w:bCs w:val="0"/>
          <w:sz w:val="24"/>
          <w:szCs w:val="24"/>
        </w:rPr>
        <w:t xml:space="preserve">, the </w:t>
      </w:r>
      <w:r>
        <w:rPr>
          <w:rStyle w:val="8"/>
          <w:rFonts w:hint="default" w:ascii="Times New Roman" w:hAnsi="Times New Roman" w:cs="Times New Roman"/>
          <w:b w:val="0"/>
          <w:bCs w:val="0"/>
          <w:sz w:val="24"/>
          <w:szCs w:val="24"/>
        </w:rPr>
        <w:t>Scarabeo 5</w:t>
      </w:r>
      <w:r>
        <w:rPr>
          <w:rFonts w:hint="default" w:ascii="Times New Roman" w:hAnsi="Times New Roman" w:cs="Times New Roman"/>
          <w:b w:val="0"/>
          <w:bCs w:val="0"/>
          <w:sz w:val="24"/>
          <w:szCs w:val="24"/>
        </w:rPr>
        <w:t xml:space="preserve"> unit (converted from a semi-submersible drilling rig into a floating production unit/FPU by Saipem, contract awarded August 2023, conversion completed August 2025, installed northwest of the Djeno Terminal at ~35 m water depth), and the </w:t>
      </w:r>
      <w:r>
        <w:rPr>
          <w:rStyle w:val="8"/>
          <w:rFonts w:hint="default" w:ascii="Times New Roman" w:hAnsi="Times New Roman" w:cs="Times New Roman"/>
          <w:b w:val="0"/>
          <w:bCs w:val="0"/>
          <w:sz w:val="24"/>
          <w:szCs w:val="24"/>
        </w:rPr>
        <w:t>Nguya FLNG</w:t>
      </w:r>
      <w:r>
        <w:rPr>
          <w:rFonts w:hint="default" w:ascii="Times New Roman" w:hAnsi="Times New Roman" w:cs="Times New Roman"/>
          <w:b w:val="0"/>
          <w:bCs w:val="0"/>
          <w:sz w:val="24"/>
          <w:szCs w:val="24"/>
        </w:rPr>
        <w:t xml:space="preserve"> vessel (376 m long, 60 m wide, built by Wison Heavy Industry in China).</w:t>
      </w:r>
    </w:p>
    <w:p w14:paraId="728A4863">
      <w:pPr>
        <w:keepNext w:val="0"/>
        <w:keepLines w:val="0"/>
        <w:widowControl/>
        <w:numPr>
          <w:ilvl w:val="0"/>
          <w:numId w:val="5"/>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Scarabeo 5's disclosed function: receives production fluids from wellhead riser platforms, </w:t>
      </w:r>
      <w:r>
        <w:rPr>
          <w:rStyle w:val="8"/>
          <w:rFonts w:hint="default" w:ascii="Times New Roman" w:hAnsi="Times New Roman" w:cs="Times New Roman"/>
          <w:b w:val="0"/>
          <w:bCs w:val="0"/>
          <w:sz w:val="24"/>
          <w:szCs w:val="24"/>
        </w:rPr>
        <w:t>separates gas from liquids, and boosts (compresses) the gas</w:t>
      </w:r>
      <w:r>
        <w:rPr>
          <w:rFonts w:hint="default" w:ascii="Times New Roman" w:hAnsi="Times New Roman" w:cs="Times New Roman"/>
          <w:b w:val="0"/>
          <w:bCs w:val="0"/>
          <w:sz w:val="24"/>
          <w:szCs w:val="24"/>
        </w:rPr>
        <w:t xml:space="preserve"> to feed Nguya FLNG; described by Saipem as "a control hub for the entire offshore development field" and, in Eni's own materials, as performing "</w:t>
      </w:r>
      <w:r>
        <w:rPr>
          <w:rStyle w:val="8"/>
          <w:rFonts w:hint="default" w:ascii="Times New Roman" w:hAnsi="Times New Roman" w:cs="Times New Roman"/>
          <w:b w:val="0"/>
          <w:bCs w:val="0"/>
          <w:sz w:val="24"/>
          <w:szCs w:val="24"/>
        </w:rPr>
        <w:t>gas treatment, separation, and compression</w:t>
      </w:r>
      <w:r>
        <w:rPr>
          <w:rFonts w:hint="default" w:ascii="Times New Roman" w:hAnsi="Times New Roman" w:cs="Times New Roman"/>
          <w:b w:val="0"/>
          <w:bCs w:val="0"/>
          <w:sz w:val="24"/>
          <w:szCs w:val="24"/>
        </w:rPr>
        <w:t>."</w:t>
      </w:r>
    </w:p>
    <w:p w14:paraId="4CC8BC73">
      <w:pPr>
        <w:keepNext w:val="0"/>
        <w:keepLines w:val="0"/>
        <w:widowControl/>
        <w:numPr>
          <w:ilvl w:val="0"/>
          <w:numId w:val="5"/>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Nguya FLNG is stated by Eni to be "</w:t>
      </w:r>
      <w:r>
        <w:rPr>
          <w:rStyle w:val="8"/>
          <w:rFonts w:hint="default" w:ascii="Times New Roman" w:hAnsi="Times New Roman" w:cs="Times New Roman"/>
          <w:b w:val="0"/>
          <w:bCs w:val="0"/>
          <w:sz w:val="24"/>
          <w:szCs w:val="24"/>
        </w:rPr>
        <w:t>designed to process gas with different compositions, supporting the potential development of additional fields in the area</w:t>
      </w:r>
      <w:r>
        <w:rPr>
          <w:rFonts w:hint="default" w:ascii="Times New Roman" w:hAnsi="Times New Roman" w:cs="Times New Roman"/>
          <w:b w:val="0"/>
          <w:bCs w:val="0"/>
          <w:sz w:val="24"/>
          <w:szCs w:val="24"/>
        </w:rPr>
        <w:t>" — a design-intent statement suggesting some feed-gas flexibility, though the specific compositional envelope this covers is not disclosed.</w:t>
      </w:r>
    </w:p>
    <w:p w14:paraId="516A6950">
      <w:pPr>
        <w:keepNext w:val="0"/>
        <w:keepLines w:val="0"/>
        <w:widowControl/>
        <w:numPr>
          <w:ilvl w:val="0"/>
          <w:numId w:val="5"/>
        </w:numPr>
        <w:suppressLineNumbers w:val="0"/>
        <w:spacing w:before="0" w:beforeAutospacing="1" w:after="0" w:afterAutospacing="1" w:line="240" w:lineRule="auto"/>
        <w:ind w:left="720" w:hanging="36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Both Nguya FLNG and Scarabeo 5 are described as incorporating "</w:t>
      </w:r>
      <w:r>
        <w:rPr>
          <w:rStyle w:val="8"/>
          <w:rFonts w:hint="default" w:ascii="Times New Roman" w:hAnsi="Times New Roman" w:cs="Times New Roman"/>
          <w:b w:val="0"/>
          <w:bCs w:val="0"/>
          <w:sz w:val="24"/>
          <w:szCs w:val="24"/>
        </w:rPr>
        <w:t>decarbonisation-oriented solutions</w:t>
      </w:r>
      <w:r>
        <w:rPr>
          <w:rFonts w:hint="default" w:ascii="Times New Roman" w:hAnsi="Times New Roman" w:cs="Times New Roman"/>
          <w:b w:val="0"/>
          <w:bCs w:val="0"/>
          <w:sz w:val="24"/>
          <w:szCs w:val="24"/>
        </w:rPr>
        <w:t>" (Eni/Saipem), without further technical specification of what these solutions comprise.</w:t>
      </w:r>
    </w:p>
    <w:p w14:paraId="05CEE78C">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Analytical interpretation (clearly separated from the above confirmed facts):</w:t>
      </w:r>
      <w:r>
        <w:rPr>
          <w:rFonts w:hint="default" w:ascii="Times New Roman" w:hAnsi="Times New Roman" w:cs="Times New Roman"/>
          <w:b w:val="0"/>
          <w:bCs w:val="0"/>
          <w:sz w:val="24"/>
          <w:szCs w:val="24"/>
        </w:rPr>
        <w:t xml:space="preserve"> the overall configuration floating separation/treatment/compression (Scarabeo 5) feeding a floating liquefaction unit (Nguya FLNG), paralleled by a simpler nearshore pretreatment-plant-plus-FLNG arrangement for Tango is </w:t>
      </w:r>
      <w:r>
        <w:rPr>
          <w:rStyle w:val="8"/>
          <w:rFonts w:hint="default" w:ascii="Times New Roman" w:hAnsi="Times New Roman" w:cs="Times New Roman"/>
          <w:b w:val="0"/>
          <w:bCs w:val="0"/>
          <w:sz w:val="24"/>
          <w:szCs w:val="24"/>
        </w:rPr>
        <w:t>consistent with, though not confirmed to be identical to, standard modern FLNG pre</w:t>
      </w:r>
      <w:r>
        <w:rPr>
          <w:rStyle w:val="8"/>
          <w:rFonts w:hint="default" w:ascii="Times New Roman" w:hAnsi="Times New Roman" w:cs="Times New Roman"/>
          <w:b w:val="0"/>
          <w:bCs w:val="0"/>
          <w:sz w:val="24"/>
          <w:szCs w:val="24"/>
          <w:lang w:val="en-US"/>
        </w:rPr>
        <w:t>-</w:t>
      </w:r>
      <w:r>
        <w:rPr>
          <w:rStyle w:val="8"/>
          <w:rFonts w:hint="default" w:ascii="Times New Roman" w:hAnsi="Times New Roman" w:cs="Times New Roman"/>
          <w:b w:val="0"/>
          <w:bCs w:val="0"/>
          <w:sz w:val="24"/>
          <w:szCs w:val="24"/>
        </w:rPr>
        <w:t>treatment architecture</w:t>
      </w:r>
      <w:r>
        <w:rPr>
          <w:rFonts w:hint="default" w:ascii="Times New Roman" w:hAnsi="Times New Roman" w:cs="Times New Roman"/>
          <w:b w:val="0"/>
          <w:bCs w:val="0"/>
          <w:sz w:val="24"/>
          <w:szCs w:val="24"/>
        </w:rPr>
        <w:t xml:space="preserve"> as described in Sections 3, 4, 7 and 9: bulk separation and compression offshore/on the FPU, with final-polish dehydration, AGR and mercury removal most plausibly integrated into (or immediately adjacent to) each FLNG hull's own process train. </w:t>
      </w:r>
      <w:r>
        <w:rPr>
          <w:rStyle w:val="8"/>
          <w:rFonts w:hint="default" w:ascii="Times New Roman" w:hAnsi="Times New Roman" w:cs="Times New Roman"/>
          <w:b w:val="0"/>
          <w:bCs w:val="0"/>
          <w:sz w:val="24"/>
          <w:szCs w:val="24"/>
        </w:rPr>
        <w:t>This inference should not be read as confirmation of the specific dehydration adsorbent, amine chemistry, or mercury-removal technology actually deployed</w:t>
      </w:r>
      <w:r>
        <w:rPr>
          <w:rFonts w:hint="default" w:ascii="Times New Roman" w:hAnsi="Times New Roman" w:cs="Times New Roman"/>
          <w:b w:val="0"/>
          <w:bCs w:val="0"/>
          <w:sz w:val="24"/>
          <w:szCs w:val="24"/>
        </w:rPr>
        <w:t>, none of which is disclosed in the sources reviewed.</w:t>
      </w:r>
    </w:p>
    <w:p w14:paraId="5BF81901">
      <w:pPr>
        <w:keepNext w:val="0"/>
        <w:keepLines w:val="0"/>
        <w:widowControl/>
        <w:suppressLineNumbers w:val="0"/>
        <w:spacing w:line="240" w:lineRule="auto"/>
        <w:jc w:val="both"/>
        <w:rPr>
          <w:rFonts w:hint="default" w:ascii="Times New Roman" w:hAnsi="Times New Roman" w:cs="Times New Roman"/>
          <w:b w:val="0"/>
          <w:bCs w:val="0"/>
          <w:sz w:val="24"/>
          <w:szCs w:val="24"/>
        </w:rPr>
      </w:pPr>
    </w:p>
    <w:p w14:paraId="60C02A3A">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11. Gas Quality Variability</w:t>
      </w:r>
    </w:p>
    <w:p w14:paraId="03A462D2">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 The sensitivity table below is built using </w:t>
      </w:r>
      <w:r>
        <w:rPr>
          <w:rStyle w:val="8"/>
          <w:rFonts w:hint="default" w:ascii="Times New Roman" w:hAnsi="Times New Roman" w:cs="Times New Roman"/>
          <w:b w:val="0"/>
          <w:bCs w:val="0"/>
          <w:sz w:val="24"/>
          <w:szCs w:val="24"/>
        </w:rPr>
        <w:t>industry benchmark ranges</w:t>
      </w:r>
      <w:r>
        <w:rPr>
          <w:rFonts w:hint="default" w:ascii="Times New Roman" w:hAnsi="Times New Roman" w:cs="Times New Roman"/>
          <w:b w:val="0"/>
          <w:bCs w:val="0"/>
          <w:sz w:val="24"/>
          <w:szCs w:val="24"/>
        </w:rPr>
        <w:t xml:space="preserve"> for a maturing Gulf of Guinea gas-condensate development, reflecting general reservoir engineering expectations rather than measured Congo data.</w:t>
      </w:r>
    </w:p>
    <w:tbl>
      <w:tblPr>
        <w:tblW w:w="0" w:type="auto"/>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572"/>
        <w:gridCol w:w="1335"/>
        <w:gridCol w:w="1366"/>
        <w:gridCol w:w="1984"/>
        <w:gridCol w:w="2159"/>
      </w:tblGrid>
      <w:tr w14:paraId="1F053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2C0805F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Parameter</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A4007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 Case (benchmark)</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41DF2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Base Case (benchmark)</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B6569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 Case (benchmark)</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E9EF1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Treatment Implication</w:t>
            </w:r>
          </w:p>
        </w:tc>
      </w:tr>
      <w:tr w14:paraId="0140D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FB3A0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CO₂ (mol%)</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C32C1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A730B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4A0B6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AE965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 case would push toward the upper end of standard amine-treating design margins; if sustained field-wide, could justify re-evaluating physical solvents (Section 4)</w:t>
            </w:r>
          </w:p>
        </w:tc>
      </w:tr>
      <w:tr w14:paraId="0BFCE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99F23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H₂S (ppmv, raw)</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74E6F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Trace/sweet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C8808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 (basin-benchmark)</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2417A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Moderate (if a previously untested reservoir compartment proves sourer than assumed)</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BAD35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 case would still likely be manageable via the same aMDEA system, but could increase regeneration energy and, in an extreme case, revisit the sulphur-recovery-unit question (Section 6)</w:t>
            </w:r>
          </w:p>
        </w:tc>
      </w:tr>
      <w:tr w14:paraId="6F262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431F2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Water content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5F55A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Lower (drier reservoir zones)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FB1C7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Saturated at typical separator conditions (benchmark)</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61867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Higher water cut as reservoirs mature and water breakthrough increases (a well-established reservoir engineering pattern for maturing gas-condensate fields, though the specific timing/magnitude for Nené/Litchendjili is not disclosed)</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7726A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Rising water cut over field life increases dehydration duty (both TEG bulk removal and mol sieve regeneration frequency) and produced-water handling/disposal requirements</w:t>
            </w:r>
          </w:p>
        </w:tc>
      </w:tr>
      <w:tr w14:paraId="6FD6D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0CDE2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H₂S variability (field-to-field, as Minsala/Nkala or exploration blocks are developed)</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5EB10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Consistent with existing fields (benchmark)</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4212F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Some variation expected, typical of multi-reservoir basins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67B46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Meaningfully sourer gas from a newly tied-in field</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44B9C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Would require either blending (to keep the combined AGR feed within existing design margins) or dedicated/expanded treatment capacity for the new stream — directly relevant to Section 17</w:t>
            </w:r>
          </w:p>
        </w:tc>
      </w:tr>
      <w:tr w14:paraId="0E6FB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6B1C4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Heavy hydrocarbon content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07674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Lower condensate yield (leaner gas zones)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260CE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Condensate-rich, consistent with the disclosed gas-condensate field character</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4992A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Higher condensate yield (richer zones, or as reservoir pressure declines and retrograde condensation effects intensify)</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962DB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Higher condensate yield increases NGL/dew-point-control duty but also increases condensate revenue (Section 8) — a generally favourable trade-off provided separation capacity keeps pace</w:t>
            </w:r>
          </w:p>
        </w:tc>
      </w:tr>
    </w:tbl>
    <w:p w14:paraId="641B8EEB">
      <w:pPr>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12212C8D">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12. Energy Consumption and Process Efficiency</w:t>
      </w:r>
    </w:p>
    <w:p w14:paraId="642AE7F5">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estimates below apply </w:t>
      </w:r>
      <w:r>
        <w:rPr>
          <w:rStyle w:val="8"/>
          <w:rFonts w:hint="default" w:ascii="Times New Roman" w:hAnsi="Times New Roman" w:cs="Times New Roman"/>
          <w:b w:val="0"/>
          <w:bCs w:val="0"/>
          <w:sz w:val="24"/>
          <w:szCs w:val="24"/>
        </w:rPr>
        <w:t>standard LNG industry benchmark energy-intensity figures</w:t>
      </w:r>
      <w:r>
        <w:rPr>
          <w:rFonts w:hint="default" w:ascii="Times New Roman" w:hAnsi="Times New Roman" w:cs="Times New Roman"/>
          <w:b w:val="0"/>
          <w:bCs w:val="0"/>
          <w:sz w:val="24"/>
          <w:szCs w:val="24"/>
        </w:rPr>
        <w:t xml:space="preserve"> to Congo LNG's disclosed 3 MTPA capacity, explicitly as </w:t>
      </w:r>
      <w:r>
        <w:rPr>
          <w:rStyle w:val="8"/>
          <w:rFonts w:hint="default" w:ascii="Times New Roman" w:hAnsi="Times New Roman" w:cs="Times New Roman"/>
          <w:b w:val="0"/>
          <w:bCs w:val="0"/>
          <w:sz w:val="24"/>
          <w:szCs w:val="24"/>
        </w:rPr>
        <w:t>Analyst Calculations built on Industry Benchmarks</w:t>
      </w:r>
      <w:r>
        <w:rPr>
          <w:rFonts w:hint="default" w:ascii="Times New Roman" w:hAnsi="Times New Roman" w:cs="Times New Roman"/>
          <w:b w:val="0"/>
          <w:bCs w:val="0"/>
          <w:sz w:val="24"/>
          <w:szCs w:val="24"/>
        </w:rPr>
        <w:t>, not Eni-disclosed figures.</w:t>
      </w:r>
    </w:p>
    <w:tbl>
      <w:tblPr>
        <w:tblW w:w="0" w:type="auto"/>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082"/>
        <w:gridCol w:w="4938"/>
        <w:gridCol w:w="1396"/>
      </w:tblGrid>
      <w:tr w14:paraId="32BBB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37E5D6B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Process Step</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44FC3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Typical Energy Intensity (industry benchmark)</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94E7D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Basis</w:t>
            </w:r>
          </w:p>
        </w:tc>
      </w:tr>
      <w:tr w14:paraId="39F90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AD726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Gas compression (gathering + boost, offshore)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48AB3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Benchmark range </w:t>
            </w:r>
            <w:r>
              <w:rPr>
                <w:rStyle w:val="8"/>
                <w:rFonts w:hint="default" w:ascii="Times New Roman" w:hAnsi="Times New Roman" w:eastAsia="SimSun" w:cs="Times New Roman"/>
                <w:b w:val="0"/>
                <w:bCs w:val="0"/>
                <w:color w:val="000000"/>
                <w:kern w:val="0"/>
                <w:sz w:val="24"/>
                <w:szCs w:val="24"/>
                <w:lang w:val="en-US" w:eastAsia="zh-CN" w:bidi="ar"/>
              </w:rPr>
              <w:t>0.3–0.6 kWh/scm</w:t>
            </w:r>
            <w:r>
              <w:rPr>
                <w:rFonts w:hint="default" w:ascii="Times New Roman" w:hAnsi="Times New Roman" w:eastAsia="SimSun" w:cs="Times New Roman"/>
                <w:b w:val="0"/>
                <w:bCs w:val="0"/>
                <w:color w:val="000000"/>
                <w:kern w:val="0"/>
                <w:sz w:val="24"/>
                <w:szCs w:val="24"/>
                <w:lang w:val="en-US" w:eastAsia="zh-CN" w:bidi="ar"/>
              </w:rPr>
              <w:t xml:space="preserve"> of gas compressed (varies with pressure ratio and stages), consistent with general offshore gas-compression industry ranges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90AAB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Industry Benchmark</w:t>
            </w:r>
          </w:p>
        </w:tc>
      </w:tr>
      <w:tr w14:paraId="73AE9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3AE5D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Dehydration — TEG regeneration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2BBA0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Benchmark reboiler duty range </w:t>
            </w:r>
            <w:r>
              <w:rPr>
                <w:rStyle w:val="8"/>
                <w:rFonts w:hint="default" w:ascii="Times New Roman" w:hAnsi="Times New Roman" w:eastAsia="SimSun" w:cs="Times New Roman"/>
                <w:b w:val="0"/>
                <w:bCs w:val="0"/>
                <w:color w:val="000000"/>
                <w:kern w:val="0"/>
                <w:sz w:val="24"/>
                <w:szCs w:val="24"/>
                <w:lang w:val="en-US" w:eastAsia="zh-CN" w:bidi="ar"/>
              </w:rPr>
              <w:t>150–350 Btu/gal glycol circulated</w:t>
            </w:r>
            <w:r>
              <w:rPr>
                <w:rFonts w:hint="default" w:ascii="Times New Roman" w:hAnsi="Times New Roman" w:eastAsia="SimSun" w:cs="Times New Roman"/>
                <w:b w:val="0"/>
                <w:bCs w:val="0"/>
                <w:color w:val="000000"/>
                <w:kern w:val="0"/>
                <w:sz w:val="24"/>
                <w:szCs w:val="24"/>
                <w:lang w:val="en-US" w:eastAsia="zh-CN" w:bidi="ar"/>
              </w:rPr>
              <w:t xml:space="preserve"> (varies with water loading)</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87D38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Industry Benchmark</w:t>
            </w:r>
          </w:p>
        </w:tc>
      </w:tr>
      <w:tr w14:paraId="1AF7B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24056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Dehydration — molecular sieve regeneration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E35FC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Benchmark regeneration-gas heating duty </w:t>
            </w:r>
            <w:r>
              <w:rPr>
                <w:rStyle w:val="8"/>
                <w:rFonts w:hint="default" w:ascii="Times New Roman" w:hAnsi="Times New Roman" w:eastAsia="SimSun" w:cs="Times New Roman"/>
                <w:b w:val="0"/>
                <w:bCs w:val="0"/>
                <w:color w:val="000000"/>
                <w:kern w:val="0"/>
                <w:sz w:val="24"/>
                <w:szCs w:val="24"/>
                <w:lang w:val="en-US" w:eastAsia="zh-CN" w:bidi="ar"/>
              </w:rPr>
              <w:t>2–4% of total plant fuel gas</w:t>
            </w:r>
            <w:r>
              <w:rPr>
                <w:rFonts w:hint="default" w:ascii="Times New Roman" w:hAnsi="Times New Roman" w:eastAsia="SimSun" w:cs="Times New Roman"/>
                <w:b w:val="0"/>
                <w:bCs w:val="0"/>
                <w:color w:val="000000"/>
                <w:kern w:val="0"/>
                <w:sz w:val="24"/>
                <w:szCs w:val="24"/>
                <w:lang w:val="en-US" w:eastAsia="zh-CN" w:bidi="ar"/>
              </w:rPr>
              <w:t>, reflecting the need to heat regeneration gas to 220–315°C (Section 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7B3B5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Industry Benchmark</w:t>
            </w:r>
          </w:p>
        </w:tc>
      </w:tr>
      <w:tr w14:paraId="40F3A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87ACD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Amine circulation and regeneration (AGR)</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D0CB2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Benchmark </w:t>
            </w:r>
            <w:r>
              <w:rPr>
                <w:rStyle w:val="8"/>
                <w:rFonts w:hint="default" w:ascii="Times New Roman" w:hAnsi="Times New Roman" w:eastAsia="SimSun" w:cs="Times New Roman"/>
                <w:b w:val="0"/>
                <w:bCs w:val="0"/>
                <w:color w:val="000000"/>
                <w:kern w:val="0"/>
                <w:sz w:val="24"/>
                <w:szCs w:val="24"/>
                <w:lang w:val="en-US" w:eastAsia="zh-CN" w:bidi="ar"/>
              </w:rPr>
              <w:t>1,000–1,500 Btu/gal amine solution circulated</w:t>
            </w:r>
            <w:r>
              <w:rPr>
                <w:rFonts w:hint="default" w:ascii="Times New Roman" w:hAnsi="Times New Roman" w:eastAsia="SimSun" w:cs="Times New Roman"/>
                <w:b w:val="0"/>
                <w:bCs w:val="0"/>
                <w:color w:val="000000"/>
                <w:kern w:val="0"/>
                <w:sz w:val="24"/>
                <w:szCs w:val="24"/>
                <w:lang w:val="en-US" w:eastAsia="zh-CN" w:bidi="ar"/>
              </w:rPr>
              <w:t xml:space="preserve"> for regeneration reboiler duty (aMDEA, lower end of the range given its favourable heat of reaction versus MEA/DEA)</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AD3F1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Industry Benchmark</w:t>
            </w:r>
          </w:p>
        </w:tc>
      </w:tr>
      <w:tr w14:paraId="0517F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89BC6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Mercury removal</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0F0D3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 energy intensity (adsorption-based, no significant thermal regeneration in a typical non-regenerable carbon-bed design)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33CEA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Industry Benchmark</w:t>
            </w:r>
          </w:p>
        </w:tc>
      </w:tr>
      <w:tr w14:paraId="37EF0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4C11F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Hydrocarbon dew point control</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C53C6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Benchmark </w:t>
            </w:r>
            <w:r>
              <w:rPr>
                <w:rStyle w:val="8"/>
                <w:rFonts w:hint="default" w:ascii="Times New Roman" w:hAnsi="Times New Roman" w:eastAsia="SimSun" w:cs="Times New Roman"/>
                <w:b w:val="0"/>
                <w:bCs w:val="0"/>
                <w:color w:val="000000"/>
                <w:kern w:val="0"/>
                <w:sz w:val="24"/>
                <w:szCs w:val="24"/>
                <w:lang w:val="en-US" w:eastAsia="zh-CN" w:bidi="ar"/>
              </w:rPr>
              <w:t>0.1–0.3 kWh/scm</w:t>
            </w:r>
            <w:r>
              <w:rPr>
                <w:rFonts w:hint="default" w:ascii="Times New Roman" w:hAnsi="Times New Roman" w:eastAsia="SimSun" w:cs="Times New Roman"/>
                <w:b w:val="0"/>
                <w:bCs w:val="0"/>
                <w:color w:val="000000"/>
                <w:kern w:val="0"/>
                <w:sz w:val="24"/>
                <w:szCs w:val="24"/>
                <w:lang w:val="en-US" w:eastAsia="zh-CN" w:bidi="ar"/>
              </w:rPr>
              <w:t>, depending on whether mechanical refrigeration or turbo-expansion is used</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304AB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Industry Benchmark</w:t>
            </w:r>
          </w:p>
        </w:tc>
      </w:tr>
    </w:tbl>
    <w:p w14:paraId="1B83F6D6">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Estimated energy consumption per unit of gas treated and per unit of LNG produced:</w:t>
      </w:r>
      <w:r>
        <w:rPr>
          <w:rFonts w:hint="default" w:ascii="Times New Roman" w:hAnsi="Times New Roman" w:cs="Times New Roman"/>
          <w:b w:val="0"/>
          <w:bCs w:val="0"/>
          <w:sz w:val="24"/>
          <w:szCs w:val="24"/>
        </w:rPr>
        <w:t xml:space="preserve"> given the absence of Congo-specific plant fuel-gas consumption data, this note </w:t>
      </w:r>
      <w:r>
        <w:rPr>
          <w:rStyle w:val="8"/>
          <w:rFonts w:hint="default" w:ascii="Times New Roman" w:hAnsi="Times New Roman" w:cs="Times New Roman"/>
          <w:b w:val="0"/>
          <w:bCs w:val="0"/>
          <w:sz w:val="24"/>
          <w:szCs w:val="24"/>
        </w:rPr>
        <w:t>does not manufacture a specific Btu/tonne-LNG figure</w:t>
      </w:r>
      <w:r>
        <w:rPr>
          <w:rFonts w:hint="default" w:ascii="Times New Roman" w:hAnsi="Times New Roman" w:cs="Times New Roman"/>
          <w:b w:val="0"/>
          <w:bCs w:val="0"/>
          <w:sz w:val="24"/>
          <w:szCs w:val="24"/>
        </w:rPr>
        <w:t xml:space="preserve">, since doing so would require assumptions about liquefaction technology (which is not disclosed for Nguya/Tango FLNG) that go beyond what can be responsibly inferred from public sources. As an industry-wide benchmark context only: modern LNG trains (onshore and floating) typically consume the energy-equivalent of </w:t>
      </w:r>
      <w:r>
        <w:rPr>
          <w:rStyle w:val="8"/>
          <w:rFonts w:hint="default" w:ascii="Times New Roman" w:hAnsi="Times New Roman" w:cs="Times New Roman"/>
          <w:b w:val="0"/>
          <w:bCs w:val="0"/>
          <w:sz w:val="24"/>
          <w:szCs w:val="24"/>
        </w:rPr>
        <w:t>8–12% of feed gas</w:t>
      </w:r>
      <w:r>
        <w:rPr>
          <w:rFonts w:hint="default" w:ascii="Times New Roman" w:hAnsi="Times New Roman" w:cs="Times New Roman"/>
          <w:b w:val="0"/>
          <w:bCs w:val="0"/>
          <w:sz w:val="24"/>
          <w:szCs w:val="24"/>
        </w:rPr>
        <w:t xml:space="preserve"> as plant fuel across the full liquefaction chain (compression, refrigeration, pretreatment combined) — this is a general industry reference point, not a Congo LNG-specific calculation, and pretreatment (dehydration + AGR + mercury + dew point control) typically represents a </w:t>
      </w:r>
      <w:r>
        <w:rPr>
          <w:rStyle w:val="8"/>
          <w:rFonts w:hint="default" w:ascii="Times New Roman" w:hAnsi="Times New Roman" w:cs="Times New Roman"/>
          <w:b w:val="0"/>
          <w:bCs w:val="0"/>
          <w:sz w:val="24"/>
          <w:szCs w:val="24"/>
        </w:rPr>
        <w:t>minority share (commonly cited in LNG industry literature as roughly 10–20%) of total plant fuel-gas consumption</w:t>
      </w:r>
      <w:r>
        <w:rPr>
          <w:rFonts w:hint="default" w:ascii="Times New Roman" w:hAnsi="Times New Roman" w:cs="Times New Roman"/>
          <w:b w:val="0"/>
          <w:bCs w:val="0"/>
          <w:sz w:val="24"/>
          <w:szCs w:val="24"/>
        </w:rPr>
        <w:t>, with refrigeration compression for liquefaction itself dominating the energy balance.</w:t>
      </w:r>
    </w:p>
    <w:p w14:paraId="7F135696">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Effect on LNG feed-gas availability, production, costs and carbon intensity:</w:t>
      </w:r>
      <w:r>
        <w:rPr>
          <w:rFonts w:hint="default" w:ascii="Times New Roman" w:hAnsi="Times New Roman" w:cs="Times New Roman"/>
          <w:b w:val="0"/>
          <w:bCs w:val="0"/>
          <w:sz w:val="24"/>
          <w:szCs w:val="24"/>
        </w:rPr>
        <w:t xml:space="preserve"> higher pretreatment energy consumption directly reduces the net gas volume available for liquefaction (since fuel gas is consumed rather than liquefied), reduces effective LNG output for a given feed-gas input, raises operating costs (fuel gas has an opportunity cost equal to its LNG-equivalent value, discussed in Section 15), and increases the plant's carbon intensity per tonne of LNG produced (through combustion emissions from fuel-gas-fired compressor drivers/regeneration heaters)</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a directionally clear relationship, though the specific Congo LNG magnitude cannot be quantified without disclosed plant data.</w:t>
      </w:r>
    </w:p>
    <w:p w14:paraId="7582A8E2">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p>
    <w:p w14:paraId="1E0C205D">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13. Technical Performance and Reliability</w:t>
      </w:r>
    </w:p>
    <w:tbl>
      <w:tblPr>
        <w:tblW w:w="0" w:type="auto"/>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414"/>
        <w:gridCol w:w="7002"/>
      </w:tblGrid>
      <w:tr w14:paraId="3BEE3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blCellSpacing w:w="15" w:type="dxa"/>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0AC9AB4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Factor</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3556B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Assessment (Industry Benchmark / Engineering Assumption, given the absence of Congo-specific reliability data)</w:t>
            </w:r>
          </w:p>
        </w:tc>
      </w:tr>
      <w:tr w14:paraId="4A345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09EA5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Equipment availability</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320B7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Standard FLNG/offshore gas-treatment trains typically target </w:t>
            </w:r>
            <w:r>
              <w:rPr>
                <w:rStyle w:val="8"/>
                <w:rFonts w:hint="default" w:ascii="Times New Roman" w:hAnsi="Times New Roman" w:eastAsia="SimSun" w:cs="Times New Roman"/>
                <w:b w:val="0"/>
                <w:bCs w:val="0"/>
                <w:color w:val="000000"/>
                <w:kern w:val="0"/>
                <w:sz w:val="24"/>
                <w:szCs w:val="24"/>
                <w:lang w:val="en-US" w:eastAsia="zh-CN" w:bidi="ar"/>
              </w:rPr>
              <w:t>93–97% on-stream availability</w:t>
            </w:r>
            <w:r>
              <w:rPr>
                <w:rFonts w:hint="default" w:ascii="Times New Roman" w:hAnsi="Times New Roman" w:eastAsia="SimSun" w:cs="Times New Roman"/>
                <w:b w:val="0"/>
                <w:bCs w:val="0"/>
                <w:color w:val="000000"/>
                <w:kern w:val="0"/>
                <w:sz w:val="24"/>
                <w:szCs w:val="24"/>
                <w:lang w:val="en-US" w:eastAsia="zh-CN" w:bidi="ar"/>
              </w:rPr>
              <w:t xml:space="preserve"> (industry benchmark); Congo LNG-specific availability data has not been publicly disclosed</w:t>
            </w:r>
          </w:p>
        </w:tc>
      </w:tr>
      <w:tr w14:paraId="3D957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22B40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Turndown capability</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195B5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Amine and mol sieve systems generally offer reasonable turndown (30–100% of design rate) without major performance loss, an industry-standard design characteristic; specific Congo LNG turndown data not disclosed</w:t>
            </w:r>
          </w:p>
        </w:tc>
      </w:tr>
      <w:tr w14:paraId="415F8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D7EFA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Fouling</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8A8D6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Condensate-rich gas (as at Marine XII) elevates the risk of liquid carryover fouling downstream mol sieve beds if upstream separation/coalescing is not well maintained — a generic risk elevated by the known gas-condensate character, not a reported Congo LNG incident</w:t>
            </w:r>
          </w:p>
        </w:tc>
      </w:tr>
      <w:tr w14:paraId="04EF9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662A9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Corrosion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822F1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Standard wet-gas/amine-system corrosion risk applies; amine degradation products (heat-stable salts) can be corrosive if amine reclamation is inadequate — standard industry risk, not Congo-specific reported data</w:t>
            </w:r>
          </w:p>
        </w:tc>
      </w:tr>
      <w:tr w14:paraId="5D1C6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0EC4F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Hydrate formation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CA8D5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 material risk during any dehydration-system upset or bypass, particularly offshore given ambient seawater cooling; standard flow-assurance risk for any offshore gas system, addressed via inhibitor injection (methanol/glycol) and thermal management as standard practice</w:t>
            </w:r>
          </w:p>
        </w:tc>
      </w:tr>
      <w:tr w14:paraId="71A6B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22E29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Amine degradation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88AB7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Standard amine-system risk from oxidative and thermal degradation, and from acid-gas-derived heat-stable salt formation; mitigated via reclaiming/filtration, standard industry practice</w:t>
            </w:r>
          </w:p>
        </w:tc>
      </w:tr>
      <w:tr w14:paraId="5B3BB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A4CC1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Glycol losses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0B5EC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Standard TEG-system risk from entrainment/vaporisation losses, particularly if flash-gas or condensate carryover is higher than design; mitigated via glycol reclamation</w:t>
            </w:r>
          </w:p>
        </w:tc>
      </w:tr>
      <w:tr w14:paraId="6DEAC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97689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Adsorbent degradation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185A9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Molecular sieve beds degrade over a multi-year service life (typically 3–5 years, industry benchmark) from thermal cycling, liquid slugging, and potential heavy-hydrocarbon or amine-carryover contamination — the latter risk is elevated in a configuration where AGR and dehydration are closely coupled offshore, reinforcing the importance of robust inter-stage separation/filtration</w:t>
            </w:r>
          </w:p>
        </w:tc>
      </w:tr>
      <w:tr w14:paraId="28107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4B6E8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Compressor reliability</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B3D9F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Offshore/FPU-hosted compression (as on Scarabeo 5) is subject to standard rotating-equipment reliability considerations; a converted-rig hosting arrangement (as used for Scarabeo 5) introduces some incremental complexity versus a purpose-built platform, though Saipem's stated rationale (choosing "one of the best units of its generation" for conversion) suggests asset-quality risk was a deliberate selection criterion</w:t>
            </w:r>
          </w:p>
        </w:tc>
      </w:tr>
      <w:tr w14:paraId="3BE85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B181B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Unplanned shutdowns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42A6E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The most consequential unplanned-shutdown drivers for an LNG train generally are CO₂/water breakthrough into the cryogenic exchanger (Sections 3, 5) and major rotating-equipment (compressor/turbine) failure — both generic industry risk categories, not Congo LNG-specific reported incidents</w:t>
            </w:r>
          </w:p>
        </w:tc>
      </w:tr>
    </w:tbl>
    <w:p w14:paraId="392E1E05">
      <w:pPr>
        <w:pStyle w:val="7"/>
        <w:keepNext w:val="0"/>
        <w:keepLines w:val="0"/>
        <w:widowControl/>
        <w:suppressLineNumbers w:val="0"/>
        <w:spacing w:line="240" w:lineRule="auto"/>
        <w:jc w:val="both"/>
        <w:rPr>
          <w:rStyle w:val="8"/>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Major technical bottlenecks that could reduce LNG production:</w:t>
      </w:r>
    </w:p>
    <w:p w14:paraId="709FC01D">
      <w:pPr>
        <w:pStyle w:val="7"/>
        <w:keepNext w:val="0"/>
        <w:keepLines w:val="0"/>
        <w:widowControl/>
        <w:numPr>
          <w:ilvl w:val="0"/>
          <w:numId w:val="6"/>
        </w:numPr>
        <w:suppressLineNumbers w:val="0"/>
        <w:spacing w:line="240" w:lineRule="auto"/>
        <w:ind w:left="60" w:leftChars="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inadequate CO₂/water removal margin if actual field composition proves more severe than the Section 2/11 benchmark assumptions, given the hard cryogenic-exchanger consequence; </w:t>
      </w:r>
    </w:p>
    <w:p w14:paraId="46A995D4">
      <w:pPr>
        <w:pStyle w:val="7"/>
        <w:keepNext w:val="0"/>
        <w:keepLines w:val="0"/>
        <w:widowControl/>
        <w:numPr>
          <w:ilvl w:val="0"/>
          <w:numId w:val="6"/>
        </w:numPr>
        <w:suppressLineNumbers w:val="0"/>
        <w:spacing w:line="240" w:lineRule="auto"/>
        <w:ind w:left="60" w:leftChars="0" w:right="0" w:rightChars="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liquid (condensate/water) carryover fouling downstream treatment beds, given the confirmed condensate-rich field character;</w:t>
      </w:r>
    </w:p>
    <w:p w14:paraId="7233D833">
      <w:pPr>
        <w:pStyle w:val="7"/>
        <w:keepNext w:val="0"/>
        <w:keepLines w:val="0"/>
        <w:widowControl/>
        <w:numPr>
          <w:ilvl w:val="0"/>
          <w:numId w:val="6"/>
        </w:numPr>
        <w:suppressLineNumbers w:val="0"/>
        <w:spacing w:line="240" w:lineRule="auto"/>
        <w:ind w:left="60" w:leftChars="0" w:right="0" w:rightChars="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mercury exposure to the cryogenic exchanger if the (unconfirmed) mercury-guard-bed design proves inadequate for actual field mercury content; and </w:t>
      </w:r>
    </w:p>
    <w:p w14:paraId="649B6403">
      <w:pPr>
        <w:pStyle w:val="7"/>
        <w:keepNext w:val="0"/>
        <w:keepLines w:val="0"/>
        <w:widowControl/>
        <w:numPr>
          <w:ilvl w:val="0"/>
          <w:numId w:val="6"/>
        </w:numPr>
        <w:suppressLineNumbers w:val="0"/>
        <w:spacing w:line="240" w:lineRule="auto"/>
        <w:ind w:left="60" w:leftChars="0" w:right="0" w:rightChars="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offshore/FPU rotating-equipment reliability, given the converted-rig hosting arrangement for the Phase 2 treatment train.</w:t>
      </w:r>
    </w:p>
    <w:p w14:paraId="010BD714">
      <w:pPr>
        <w:keepNext w:val="0"/>
        <w:keepLines w:val="0"/>
        <w:widowControl/>
        <w:suppressLineNumbers w:val="0"/>
        <w:spacing w:line="240" w:lineRule="auto"/>
        <w:jc w:val="both"/>
        <w:rPr>
          <w:rFonts w:hint="default" w:ascii="Times New Roman" w:hAnsi="Times New Roman" w:cs="Times New Roman"/>
          <w:b w:val="0"/>
          <w:bCs w:val="0"/>
          <w:sz w:val="24"/>
          <w:szCs w:val="24"/>
        </w:rPr>
      </w:pPr>
    </w:p>
    <w:p w14:paraId="0E642D30">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14. Technology Selection</w:t>
      </w:r>
    </w:p>
    <w:tbl>
      <w:tblPr>
        <w:tblW w:w="9270" w:type="dxa"/>
        <w:tblCellSpacing w:w="15" w:type="dxa"/>
        <w:tblInd w:w="-2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485"/>
        <w:gridCol w:w="1455"/>
        <w:gridCol w:w="870"/>
        <w:gridCol w:w="1095"/>
        <w:gridCol w:w="1050"/>
        <w:gridCol w:w="1095"/>
        <w:gridCol w:w="1110"/>
        <w:gridCol w:w="1110"/>
      </w:tblGrid>
      <w:tr w14:paraId="11975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blCellSpacing w:w="15" w:type="dxa"/>
        </w:trPr>
        <w:tc>
          <w:tcPr>
            <w:tcW w:w="1440"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403B891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Technology</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5B4E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Technical Performance</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39A8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CAPEX</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831B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OPEX</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6BFA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Energy Intensity</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2E7C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Reliability</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4474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Offshore Suitability</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580B4">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Overall Rating (this note's qualitative 1–5 scale)</w:t>
            </w:r>
          </w:p>
        </w:tc>
      </w:tr>
      <w:tr w14:paraId="5D8C5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FE75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TEG dehydration (bulk stage only, ahead of mol sieve)</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9E1C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Adequate for bulk water removal; insufficient alone for LNG spec</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8AE1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5175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Low-moderate</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3A3F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Moderate</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9A27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 (proven, simple)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5C89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3BEF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4</w:t>
            </w:r>
            <w:r>
              <w:rPr>
                <w:rFonts w:hint="default" w:ascii="Times New Roman" w:hAnsi="Times New Roman" w:eastAsia="SimSun" w:cs="Times New Roman"/>
                <w:b w:val="0"/>
                <w:bCs w:val="0"/>
                <w:color w:val="000000"/>
                <w:kern w:val="0"/>
                <w:sz w:val="24"/>
                <w:szCs w:val="24"/>
                <w:lang w:val="en-US" w:eastAsia="zh-CN" w:bidi="ar"/>
              </w:rPr>
              <w:t xml:space="preserve"> — appropriate as a first-stage complement, not a standalone LNG solution</w:t>
            </w:r>
          </w:p>
        </w:tc>
      </w:tr>
      <w:tr w14:paraId="01721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F6F9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Molecular sieve dehydration (final polishing)</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2168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Meets LNG spec; industry-standard</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35FB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C95D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Moderate-high</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74DD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Higher</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BBC0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 (with proper upstream protection)</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80D8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Good (used on virtually all operating FLNG)</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26FA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5</w:t>
            </w:r>
            <w:r>
              <w:rPr>
                <w:rFonts w:hint="default" w:ascii="Times New Roman" w:hAnsi="Times New Roman" w:eastAsia="SimSun" w:cs="Times New Roman"/>
                <w:b w:val="0"/>
                <w:bCs w:val="0"/>
                <w:color w:val="000000"/>
                <w:kern w:val="0"/>
                <w:sz w:val="24"/>
                <w:szCs w:val="24"/>
                <w:lang w:val="en-US" w:eastAsia="zh-CN" w:bidi="ar"/>
              </w:rPr>
              <w:t xml:space="preserve"> — effectively mandatory for LNG service</w:t>
            </w:r>
          </w:p>
        </w:tc>
      </w:tr>
      <w:tr w14:paraId="6DFBC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2E434">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aMDEA amine AGR</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1B1F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Meets CO₂/H₂S spec at benchmark (moderate) CO₂ levels efficiently</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5DD7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Moderate</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73F4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Lower than MEA/DEA</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7A61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Lower than MEA/DEA</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771B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1897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Good</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54274">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5 — recommended base technology for Congo's benchmarked gas composition</w:t>
            </w:r>
          </w:p>
        </w:tc>
      </w:tr>
      <w:tr w14:paraId="22A2C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2E66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MEA/DEA amine AGR</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F52D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Meets spec but at higher energy/corrosion cost</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E678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Lower than aMDEA in some designs</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E6F4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Higher</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A3B1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Higher</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0965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Moderate (corrosion-sensitive)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E783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Moderate</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4554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2–3</w:t>
            </w:r>
            <w:r>
              <w:rPr>
                <w:rFonts w:hint="default" w:ascii="Times New Roman" w:hAnsi="Times New Roman" w:eastAsia="SimSun" w:cs="Times New Roman"/>
                <w:b w:val="0"/>
                <w:bCs w:val="0"/>
                <w:color w:val="000000"/>
                <w:kern w:val="0"/>
                <w:sz w:val="24"/>
                <w:szCs w:val="24"/>
                <w:lang w:val="en-US" w:eastAsia="zh-CN" w:bidi="ar"/>
              </w:rPr>
              <w:t xml:space="preserve"> — legacy option, not recommended for new-build</w:t>
            </w:r>
          </w:p>
        </w:tc>
      </w:tr>
      <w:tr w14:paraId="7713C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9FD3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Physical solvents (Selexol/Rectisol)</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1203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Excellent at high CO₂ concentration; likely over-specified for benchmarked moderate-CO₂ Congo gas</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C613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Higher</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C0E6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Variable</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906A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Lower at high CO₂ content only</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FA93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Good, less offshore precedent</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5BF9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Moderate</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8AAF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2–3 for Congo's benchmark composition</w:t>
            </w:r>
            <w:r>
              <w:rPr>
                <w:rFonts w:hint="default" w:ascii="Times New Roman" w:hAnsi="Times New Roman" w:eastAsia="SimSun" w:cs="Times New Roman"/>
                <w:b w:val="0"/>
                <w:bCs w:val="0"/>
                <w:color w:val="000000"/>
                <w:kern w:val="0"/>
                <w:sz w:val="24"/>
                <w:szCs w:val="24"/>
                <w:lang w:val="en-US" w:eastAsia="zh-CN" w:bidi="ar"/>
              </w:rPr>
              <w:t xml:space="preserve"> — reserve as a contingency if actual field CO₂ proves materially higher than benchmarked</w:t>
            </w:r>
          </w:p>
        </w:tc>
      </w:tr>
      <w:tr w14:paraId="19462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D523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Sulphur-impregnated activated carbon (Hg removal)</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FE6C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Effective, standard</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AF61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Low-moderate</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4A71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E3A9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Low</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09FD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B58F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High</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F9EB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5</w:t>
            </w:r>
            <w:r>
              <w:rPr>
                <w:rFonts w:hint="default" w:ascii="Times New Roman" w:hAnsi="Times New Roman" w:eastAsia="SimSun" w:cs="Times New Roman"/>
                <w:b w:val="0"/>
                <w:bCs w:val="0"/>
                <w:color w:val="000000"/>
                <w:kern w:val="0"/>
                <w:sz w:val="24"/>
                <w:szCs w:val="24"/>
                <w:lang w:val="en-US" w:eastAsia="zh-CN" w:bidi="ar"/>
              </w:rPr>
              <w:t xml:space="preserve"> — standard, low-regret design inclusion given the high consequence of mercury exposure</w:t>
            </w:r>
          </w:p>
        </w:tc>
      </w:tr>
      <w:tr w14:paraId="00E60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D8C5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Scrub column / turbo-expander (HC dew point control)</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93B45">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Effective, integrates with NGL/condensate monetisation</w:t>
            </w:r>
          </w:p>
        </w:tc>
        <w:tc>
          <w:tcPr>
            <w:tcW w:w="8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2E02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Moderate</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3974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Moderate</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5DFE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Moderate</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8235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Good</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FD5E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Good, and synergistic with Congo's existing condensate-handling infrastructure</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7431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5</w:t>
            </w:r>
          </w:p>
        </w:tc>
      </w:tr>
    </w:tbl>
    <w:p w14:paraId="2CE38F00">
      <w:pPr>
        <w:pStyle w:val="7"/>
        <w:keepNext w:val="0"/>
        <w:keepLines w:val="0"/>
        <w:widowControl/>
        <w:suppressLineNumbers w:val="0"/>
        <w:spacing w:line="240" w:lineRule="auto"/>
        <w:jc w:val="both"/>
        <w:rPr>
          <w:rStyle w:val="8"/>
          <w:rFonts w:hint="default" w:ascii="Times New Roman" w:hAnsi="Times New Roman" w:cs="Times New Roman"/>
          <w:b w:val="0"/>
          <w:bCs w:val="0"/>
          <w:sz w:val="24"/>
          <w:szCs w:val="24"/>
        </w:rPr>
      </w:pPr>
    </w:p>
    <w:p w14:paraId="06761185">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Recommended configuration for Congo (this note's synthesis, based on benchmarked gas composition, offshore/FLNG environment, and standard industry practice not a confirmed Congo LNG design):</w:t>
      </w:r>
      <w:r>
        <w:rPr>
          <w:rFonts w:hint="default" w:ascii="Times New Roman" w:hAnsi="Times New Roman" w:cs="Times New Roman"/>
          <w:b w:val="0"/>
          <w:bCs w:val="0"/>
          <w:sz w:val="24"/>
          <w:szCs w:val="24"/>
        </w:rPr>
        <w:t xml:space="preserve"> TEG bulk dehydration + molecular sieve polishing dehydration; aMDEA amine acid gas removal; sulphur-impregnated activated carbon mercury guard beds; and a scrub-column/turbo-expander-based hydrocarbon dew point control system integrated with condensate export. This configuration balances proven offshore/FLNG precedent, reasonable energy intensity, and appropriate technology selection for a moderate-CO₂, low-H₂S, condensate-rich Gulf of Guinea gas-condensate stream.</w:t>
      </w:r>
    </w:p>
    <w:p w14:paraId="0F5966D8">
      <w:pPr>
        <w:keepNext w:val="0"/>
        <w:keepLines w:val="0"/>
        <w:widowControl/>
        <w:suppressLineNumbers w:val="0"/>
        <w:spacing w:line="240" w:lineRule="auto"/>
        <w:jc w:val="both"/>
        <w:rPr>
          <w:rFonts w:hint="default" w:ascii="Times New Roman" w:hAnsi="Times New Roman" w:cs="Times New Roman"/>
          <w:b w:val="0"/>
          <w:bCs w:val="0"/>
          <w:sz w:val="24"/>
          <w:szCs w:val="24"/>
        </w:rPr>
      </w:pPr>
    </w:p>
    <w:p w14:paraId="1FFBFB3A">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15. Economic Impact of Gas Pretreatment</w:t>
      </w:r>
    </w:p>
    <w:p w14:paraId="20BF3E23">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The illustrative figures below use </w:t>
      </w:r>
      <w:r>
        <w:rPr>
          <w:rStyle w:val="8"/>
          <w:rFonts w:hint="default" w:ascii="Times New Roman" w:hAnsi="Times New Roman" w:cs="Times New Roman"/>
          <w:b w:val="0"/>
          <w:bCs w:val="0"/>
          <w:sz w:val="24"/>
          <w:szCs w:val="24"/>
        </w:rPr>
        <w:t>industry benchmark unit costs</w:t>
      </w:r>
      <w:r>
        <w:rPr>
          <w:rFonts w:hint="default" w:ascii="Times New Roman" w:hAnsi="Times New Roman" w:cs="Times New Roman"/>
          <w:b w:val="0"/>
          <w:bCs w:val="0"/>
          <w:sz w:val="24"/>
          <w:szCs w:val="24"/>
        </w:rPr>
        <w:t xml:space="preserve">, explicitly flagged as </w:t>
      </w:r>
      <w:r>
        <w:rPr>
          <w:rStyle w:val="8"/>
          <w:rFonts w:hint="default" w:ascii="Times New Roman" w:hAnsi="Times New Roman" w:cs="Times New Roman"/>
          <w:b w:val="0"/>
          <w:bCs w:val="0"/>
          <w:sz w:val="24"/>
          <w:szCs w:val="24"/>
        </w:rPr>
        <w:t>Analyst Calculations</w:t>
      </w:r>
      <w:r>
        <w:rPr>
          <w:rFonts w:hint="default" w:ascii="Times New Roman" w:hAnsi="Times New Roman" w:cs="Times New Roman"/>
          <w:b w:val="0"/>
          <w:bCs w:val="0"/>
          <w:sz w:val="24"/>
          <w:szCs w:val="24"/>
        </w:rPr>
        <w:t>, not Eni-disclosed project costs.</w:t>
      </w:r>
    </w:p>
    <w:tbl>
      <w:tblPr>
        <w:tblW w:w="0" w:type="auto"/>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849"/>
        <w:gridCol w:w="2943"/>
        <w:gridCol w:w="3624"/>
      </w:tblGrid>
      <w:tr w14:paraId="184A0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blCellSpacing w:w="15" w:type="dxa"/>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62A198E6">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Cost Category</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3D027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Benchmark Basis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8341E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Illustrative Estimate for a ~2.4 Mtpa Train (Nguya-scale, benchmark)</w:t>
            </w:r>
          </w:p>
        </w:tc>
      </w:tr>
      <w:tr w14:paraId="4E475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DBC4A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Dehydration package CAPEX (TEG + mol sieve)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623EBA">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Industry benchmark for an integrated dehydration package sized to a ~2.4 Mtpa-equivalent feed-gas rate (order-of-magnitude range, not a quote)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E06DE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$30m–$60m (benchmark range)</w:t>
            </w:r>
          </w:p>
        </w:tc>
      </w:tr>
      <w:tr w14:paraId="2696B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02D80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Acid gas removal (aMDEA) CAPEX</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BB060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Industry benchmark for an AGR train at this scale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00DCD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$50m–$100m (benchmark range)</w:t>
            </w:r>
          </w:p>
        </w:tc>
      </w:tr>
      <w:tr w14:paraId="64C11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0EA00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Mercury removal CAPEX</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ACB2B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Industry benchmark, comparatively low-cost relative to the above</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633B7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$5m–$15m (benchmark range)</w:t>
            </w:r>
          </w:p>
        </w:tc>
      </w:tr>
      <w:tr w14:paraId="3D73B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346484">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HC dew point control / NGL package CAPEX</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C8342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Industry benchmark, scale-dependent, and likely to overlap materially with existing condensate-handling infrastructure at Marine XII</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E5984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$40m–$90m (benchmark range)</w:t>
            </w:r>
            <w:r>
              <w:rPr>
                <w:rFonts w:hint="default" w:ascii="Times New Roman" w:hAnsi="Times New Roman" w:eastAsia="SimSun" w:cs="Times New Roman"/>
                <w:b w:val="0"/>
                <w:bCs w:val="0"/>
                <w:color w:val="000000"/>
                <w:kern w:val="0"/>
                <w:sz w:val="24"/>
                <w:szCs w:val="24"/>
                <w:lang w:val="en-US" w:eastAsia="zh-CN" w:bidi="ar"/>
              </w:rPr>
              <w:t xml:space="preserve">, though </w:t>
            </w:r>
            <w:r>
              <w:rPr>
                <w:rStyle w:val="8"/>
                <w:rFonts w:hint="default" w:ascii="Times New Roman" w:hAnsi="Times New Roman" w:eastAsia="SimSun" w:cs="Times New Roman"/>
                <w:b w:val="0"/>
                <w:bCs w:val="0"/>
                <w:color w:val="000000"/>
                <w:kern w:val="0"/>
                <w:sz w:val="24"/>
                <w:szCs w:val="24"/>
                <w:lang w:val="en-US" w:eastAsia="zh-CN" w:bidi="ar"/>
              </w:rPr>
              <w:t>actual incremental cost is likely lower given pre-existing condensate infrastructure</w:t>
            </w:r>
          </w:p>
        </w:tc>
      </w:tr>
      <w:tr w14:paraId="4DCB2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533E83">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Annual OPEX (energy + chemicals + adsorbent replacement, combined)</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C843D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Industry benchmark, typically </w:t>
            </w:r>
            <w:r>
              <w:rPr>
                <w:rStyle w:val="8"/>
                <w:rFonts w:hint="default" w:ascii="Times New Roman" w:hAnsi="Times New Roman" w:eastAsia="SimSun" w:cs="Times New Roman"/>
                <w:b w:val="0"/>
                <w:bCs w:val="0"/>
                <w:color w:val="000000"/>
                <w:kern w:val="0"/>
                <w:sz w:val="24"/>
                <w:szCs w:val="24"/>
                <w:lang w:val="en-US" w:eastAsia="zh-CN" w:bidi="ar"/>
              </w:rPr>
              <w:t>2–5% of pretreatment CAPEX per year</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F57AD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Style w:val="8"/>
                <w:rFonts w:hint="default" w:ascii="Times New Roman" w:hAnsi="Times New Roman" w:eastAsia="SimSun" w:cs="Times New Roman"/>
                <w:b w:val="0"/>
                <w:bCs w:val="0"/>
                <w:color w:val="000000"/>
                <w:kern w:val="0"/>
                <w:sz w:val="24"/>
                <w:szCs w:val="24"/>
                <w:lang w:val="en-US" w:eastAsia="zh-CN" w:bidi="ar"/>
              </w:rPr>
              <w:t>$5m–$13m/yr (benchmark range)</w:t>
            </w:r>
          </w:p>
        </w:tc>
      </w:tr>
      <w:tr w14:paraId="3B95B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0250C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Gas losses (fuel gas consumed by pretreatment, Section 12)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9F56B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Applying the Section 12 benchmark (pretreatment as ~10–20% of total plant fuel gas, itself ~8–12% of feed gas) implies pretreatment-specific fuel-gas consumption of roughly </w:t>
            </w:r>
            <w:r>
              <w:rPr>
                <w:rStyle w:val="8"/>
                <w:rFonts w:hint="default" w:ascii="Times New Roman" w:hAnsi="Times New Roman" w:eastAsia="SimSun" w:cs="Times New Roman"/>
                <w:b w:val="0"/>
                <w:bCs w:val="0"/>
                <w:color w:val="000000"/>
                <w:kern w:val="0"/>
                <w:sz w:val="24"/>
                <w:szCs w:val="24"/>
                <w:lang w:val="en-US" w:eastAsia="zh-CN" w:bidi="ar"/>
              </w:rPr>
              <w:t>0.8–2.4% of feed gas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D0266D">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At a Nguya-scale 2.4 Mtpa train (implying ~3.6 bcm/yr gas-equivalent feed per the project's own disclosed conversion ratio), this benchmark range implies </w:t>
            </w:r>
            <w:r>
              <w:rPr>
                <w:rStyle w:val="8"/>
                <w:rFonts w:hint="default" w:ascii="Times New Roman" w:hAnsi="Times New Roman" w:eastAsia="SimSun" w:cs="Times New Roman"/>
                <w:b w:val="0"/>
                <w:bCs w:val="0"/>
                <w:color w:val="000000"/>
                <w:kern w:val="0"/>
                <w:sz w:val="24"/>
                <w:szCs w:val="24"/>
                <w:lang w:val="en-US" w:eastAsia="zh-CN" w:bidi="ar"/>
              </w:rPr>
              <w:t>~29–86 mmcm/yr (~1.0–3.0 Bcf/yr) of gas consumed by pretreatment alone</w:t>
            </w:r>
            <w:r>
              <w:rPr>
                <w:rFonts w:hint="default" w:ascii="Times New Roman" w:hAnsi="Times New Roman" w:eastAsia="SimSun" w:cs="Times New Roman"/>
                <w:b w:val="0"/>
                <w:bCs w:val="0"/>
                <w:color w:val="000000"/>
                <w:kern w:val="0"/>
                <w:sz w:val="24"/>
                <w:szCs w:val="24"/>
                <w:lang w:val="en-US" w:eastAsia="zh-CN" w:bidi="ar"/>
              </w:rPr>
              <w:t xml:space="preserve"> — an </w:t>
            </w:r>
            <w:r>
              <w:rPr>
                <w:rStyle w:val="8"/>
                <w:rFonts w:hint="default" w:ascii="Times New Roman" w:hAnsi="Times New Roman" w:eastAsia="SimSun" w:cs="Times New Roman"/>
                <w:b w:val="0"/>
                <w:bCs w:val="0"/>
                <w:color w:val="000000"/>
                <w:kern w:val="0"/>
                <w:sz w:val="24"/>
                <w:szCs w:val="24"/>
                <w:lang w:val="en-US" w:eastAsia="zh-CN" w:bidi="ar"/>
              </w:rPr>
              <w:t>Analyst Calculation</w:t>
            </w:r>
            <w:r>
              <w:rPr>
                <w:rFonts w:hint="default" w:ascii="Times New Roman" w:hAnsi="Times New Roman" w:eastAsia="SimSun" w:cs="Times New Roman"/>
                <w:b w:val="0"/>
                <w:bCs w:val="0"/>
                <w:color w:val="000000"/>
                <w:kern w:val="0"/>
                <w:sz w:val="24"/>
                <w:szCs w:val="24"/>
                <w:lang w:val="en-US" w:eastAsia="zh-CN" w:bidi="ar"/>
              </w:rPr>
              <w:t>, not a disclosed figure</w:t>
            </w:r>
          </w:p>
        </w:tc>
      </w:tr>
    </w:tbl>
    <w:p w14:paraId="63306D9E">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Effect of improved pretreatment efficiency on LNG output, revenue, costs and project economics:</w:t>
      </w:r>
      <w:r>
        <w:rPr>
          <w:rFonts w:hint="default" w:ascii="Times New Roman" w:hAnsi="Times New Roman" w:cs="Times New Roman"/>
          <w:b w:val="0"/>
          <w:bCs w:val="0"/>
          <w:sz w:val="24"/>
          <w:szCs w:val="24"/>
        </w:rPr>
        <w:t xml:space="preserve"> every unit of feed gas saved from pretreatment fuel-gas consumption is, in principle, available either for additional LNG production or for domestic gas-to-power use (a direct link to the companion Congo gas-to-power intelligence note's Section 5 gas balance). At the illustrative JKM/TTF benchmark of </w:t>
      </w:r>
      <w:r>
        <w:rPr>
          <w:rStyle w:val="8"/>
          <w:rFonts w:hint="default" w:ascii="Times New Roman" w:hAnsi="Times New Roman" w:cs="Times New Roman"/>
          <w:b w:val="0"/>
          <w:bCs w:val="0"/>
          <w:sz w:val="24"/>
          <w:szCs w:val="24"/>
        </w:rPr>
        <w:t>$20–21/MMBtu</w:t>
      </w:r>
      <w:r>
        <w:rPr>
          <w:rFonts w:hint="default" w:ascii="Times New Roman" w:hAnsi="Times New Roman" w:cs="Times New Roman"/>
          <w:b w:val="0"/>
          <w:bCs w:val="0"/>
          <w:sz w:val="24"/>
          <w:szCs w:val="24"/>
        </w:rPr>
        <w:t xml:space="preserve"> (mid-August 2026 market levels), even a modest 1-percentage-point improvement in pretreatment fuel-gas efficiency (e.g., reducing consumption from a benchmark 2% to 1% of feed gas) on a 2.4 Mtpa train would be worth an estimated </w:t>
      </w:r>
      <w:r>
        <w:rPr>
          <w:rStyle w:val="8"/>
          <w:rFonts w:hint="default" w:ascii="Times New Roman" w:hAnsi="Times New Roman" w:cs="Times New Roman"/>
          <w:b w:val="0"/>
          <w:bCs w:val="0"/>
          <w:sz w:val="24"/>
          <w:szCs w:val="24"/>
        </w:rPr>
        <w:t>single-digit millions of dollars per year in incremental LNG-equivalent value</w:t>
      </w:r>
      <w:r>
        <w:rPr>
          <w:rFonts w:hint="default" w:ascii="Times New Roman" w:hAnsi="Times New Roman" w:cs="Times New Roman"/>
          <w:b w:val="0"/>
          <w:bCs w:val="0"/>
          <w:sz w:val="24"/>
          <w:szCs w:val="24"/>
        </w:rPr>
        <w:t xml:space="preserve">  presented as an order-of-magnitude illustration of why pretreatment efficiency matters commercially, not as a precise, disclosed Congo LNG figure. </w:t>
      </w:r>
      <w:r>
        <w:rPr>
          <w:rStyle w:val="8"/>
          <w:rFonts w:hint="default" w:ascii="Times New Roman" w:hAnsi="Times New Roman" w:cs="Times New Roman"/>
          <w:b w:val="0"/>
          <w:bCs w:val="0"/>
          <w:sz w:val="24"/>
          <w:szCs w:val="24"/>
        </w:rPr>
        <w:t>NPV/IRR-level financial modelling of pretreatment efficiency improvements is not attempted here</w:t>
      </w:r>
      <w:r>
        <w:rPr>
          <w:rFonts w:hint="default" w:ascii="Times New Roman" w:hAnsi="Times New Roman" w:cs="Times New Roman"/>
          <w:b w:val="0"/>
          <w:bCs w:val="0"/>
          <w:sz w:val="24"/>
          <w:szCs w:val="24"/>
        </w:rPr>
        <w:t>, given the absence of disclosed project-specific CAPEX, financing and operating cost data  consistent with the instruction not to manufacture financial values without an adequate data basis.</w:t>
      </w:r>
    </w:p>
    <w:p w14:paraId="585B5919">
      <w:pPr>
        <w:keepNext w:val="0"/>
        <w:keepLines w:val="0"/>
        <w:widowControl/>
        <w:suppressLineNumbers w:val="0"/>
        <w:spacing w:line="240" w:lineRule="auto"/>
        <w:jc w:val="both"/>
        <w:rPr>
          <w:rFonts w:hint="default" w:ascii="Times New Roman" w:hAnsi="Times New Roman" w:cs="Times New Roman"/>
          <w:b w:val="0"/>
          <w:bCs w:val="0"/>
          <w:sz w:val="24"/>
          <w:szCs w:val="24"/>
        </w:rPr>
      </w:pPr>
    </w:p>
    <w:p w14:paraId="75CC25F0">
      <w:pPr>
        <w:pStyle w:val="3"/>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16.  Future Offshore Gas Developments</w:t>
      </w:r>
    </w:p>
    <w:p w14:paraId="2AA6DD43">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Congo's near-term LNG feedstock growth pathway is explicitly linked to </w:t>
      </w:r>
      <w:r>
        <w:rPr>
          <w:rStyle w:val="8"/>
          <w:rFonts w:hint="default" w:ascii="Times New Roman" w:hAnsi="Times New Roman" w:cs="Times New Roman"/>
          <w:b w:val="0"/>
          <w:bCs w:val="0"/>
          <w:sz w:val="24"/>
          <w:szCs w:val="24"/>
        </w:rPr>
        <w:t>Minsala and Nkala</w:t>
      </w:r>
      <w:r>
        <w:rPr>
          <w:rFonts w:hint="default" w:ascii="Times New Roman" w:hAnsi="Times New Roman" w:cs="Times New Roman"/>
          <w:b w:val="0"/>
          <w:bCs w:val="0"/>
          <w:sz w:val="24"/>
          <w:szCs w:val="24"/>
        </w:rPr>
        <w:t xml:space="preserve"> (undeveloped discoveries within the existing Marine XII license) and to further exploration in </w:t>
      </w:r>
      <w:r>
        <w:rPr>
          <w:rStyle w:val="8"/>
          <w:rFonts w:hint="default" w:ascii="Times New Roman" w:hAnsi="Times New Roman" w:cs="Times New Roman"/>
          <w:b w:val="0"/>
          <w:bCs w:val="0"/>
          <w:sz w:val="24"/>
          <w:szCs w:val="24"/>
        </w:rPr>
        <w:t>Marine VI Bis, Marine XXIV and Marine XXXI</w:t>
      </w:r>
      <w:r>
        <w:rPr>
          <w:rFonts w:hint="default" w:ascii="Times New Roman" w:hAnsi="Times New Roman" w:cs="Times New Roman"/>
          <w:b w:val="0"/>
          <w:bCs w:val="0"/>
          <w:sz w:val="24"/>
          <w:szCs w:val="24"/>
        </w:rPr>
        <w:t xml:space="preserve">. Eni's own stated design intent for Nguya FLNG  "designed to process gas with different compositions, supporting the potential development of additional fields in the area" indicates the current Phase 2 treatment train has </w:t>
      </w:r>
      <w:r>
        <w:rPr>
          <w:rStyle w:val="8"/>
          <w:rFonts w:hint="default" w:ascii="Times New Roman" w:hAnsi="Times New Roman" w:cs="Times New Roman"/>
          <w:b w:val="0"/>
          <w:bCs w:val="0"/>
          <w:sz w:val="24"/>
          <w:szCs w:val="24"/>
        </w:rPr>
        <w:t>some designed-in compositional flexibility</w:t>
      </w:r>
      <w:r>
        <w:rPr>
          <w:rFonts w:hint="default" w:ascii="Times New Roman" w:hAnsi="Times New Roman" w:cs="Times New Roman"/>
          <w:b w:val="0"/>
          <w:bCs w:val="0"/>
          <w:sz w:val="24"/>
          <w:szCs w:val="24"/>
        </w:rPr>
        <w:t>, though the specific envelope (e.g., maximum CO₂/H₂S tolerance before requiring modification) is not disclosed.</w:t>
      </w:r>
    </w:p>
    <w:tbl>
      <w:tblPr>
        <w:tblW w:w="0" w:type="auto"/>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774"/>
        <w:gridCol w:w="6642"/>
      </w:tblGrid>
      <w:tr w14:paraId="73FE9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4A72E2E">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Future Requirement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7E88FC">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Assessment</w:t>
            </w:r>
          </w:p>
        </w:tc>
      </w:tr>
      <w:tr w14:paraId="3C0D4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426677">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Additional dehydration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16932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Likely required only if new fields materially exceed the current design's water-handling margin; not confirmed as currently needed</w:t>
            </w:r>
          </w:p>
        </w:tc>
      </w:tr>
      <w:tr w14:paraId="06100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DD274F">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Larger acid-gas removal capacity</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40C971">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Most likely incremental requirement if Minsala/Nkala or exploration-block gas proves higher in CO₂ than the current benchmark assumption (Section 11) the single most probable driver of a treatment-capacity expansion, given AGR is typically the most composition-sensitive stage</w:t>
            </w:r>
          </w:p>
        </w:tc>
      </w:tr>
      <w:tr w14:paraId="44318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3DA80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Additional compression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4F0DE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Likely required as new platforms are tied in, consistent with the platform-by-platform expansion pattern already seen across Stage 1 (1 additional platform) and Stage 2 (8 new platforms)</w:t>
            </w:r>
          </w:p>
        </w:tc>
      </w:tr>
      <w:tr w14:paraId="64F6C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94F559">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New treatment trains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6342BB">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Only likely to be required if total gas volumes exceed the current 3 MTPA-equivalent design capacity by a material margin, or if a geographically distant new field cannot be economically tied back to the existing Scarabeo 5/FLNG hub</w:t>
            </w:r>
          </w:p>
        </w:tc>
      </w:tr>
      <w:tr w14:paraId="4B4C3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FA3000">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Brownfield modifications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54113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Plausible for AGR/dehydration capacity uprates at existing facilities, a common and generally lower-cost alternative to new-build treatment trains</w:t>
            </w:r>
          </w:p>
        </w:tc>
      </w:tr>
      <w:tr w14:paraId="07035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346702">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Additional FLNG capacity</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2CB4A8">
            <w:pPr>
              <w:keepNext w:val="0"/>
              <w:keepLines w:val="0"/>
              <w:widowControl/>
              <w:suppressLineNumbers w:val="0"/>
              <w:spacing w:line="240" w:lineRule="auto"/>
              <w:jc w:val="both"/>
              <w:rPr>
                <w:rFonts w:hint="default" w:ascii="Times New Roman" w:hAnsi="Times New Roman" w:cs="Times New Roman"/>
                <w:b w:val="0"/>
                <w:bCs w:val="0"/>
                <w:color w:val="000000"/>
                <w:sz w:val="24"/>
                <w:szCs w:val="24"/>
              </w:rPr>
            </w:pPr>
            <w:r>
              <w:rPr>
                <w:rFonts w:hint="default" w:ascii="Times New Roman" w:hAnsi="Times New Roman" w:eastAsia="SimSun" w:cs="Times New Roman"/>
                <w:b w:val="0"/>
                <w:bCs w:val="0"/>
                <w:color w:val="000000"/>
                <w:kern w:val="0"/>
                <w:sz w:val="24"/>
                <w:szCs w:val="24"/>
                <w:lang w:val="en-US" w:eastAsia="zh-CN" w:bidi="ar"/>
              </w:rPr>
              <w:t xml:space="preserve">Would represent a Phase 3-type expansion; </w:t>
            </w:r>
            <w:r>
              <w:rPr>
                <w:rStyle w:val="8"/>
                <w:rFonts w:hint="default" w:ascii="Times New Roman" w:hAnsi="Times New Roman" w:eastAsia="SimSun" w:cs="Times New Roman"/>
                <w:b w:val="0"/>
                <w:bCs w:val="0"/>
                <w:color w:val="000000"/>
                <w:kern w:val="0"/>
                <w:sz w:val="24"/>
                <w:szCs w:val="24"/>
                <w:lang w:val="en-US" w:eastAsia="zh-CN" w:bidi="ar"/>
              </w:rPr>
              <w:t>no such project has been announced</w:t>
            </w:r>
            <w:r>
              <w:rPr>
                <w:rFonts w:hint="default" w:ascii="Times New Roman" w:hAnsi="Times New Roman" w:eastAsia="SimSun" w:cs="Times New Roman"/>
                <w:b w:val="0"/>
                <w:bCs w:val="0"/>
                <w:color w:val="000000"/>
                <w:kern w:val="0"/>
                <w:sz w:val="24"/>
                <w:szCs w:val="24"/>
                <w:lang w:val="en-US" w:eastAsia="zh-CN" w:bidi="ar"/>
              </w:rPr>
              <w:t xml:space="preserve"> in sources reviewed as of August 2026 — any assessment of a hypothetical Phase 3 would be speculative and is not attempted here</w:t>
            </w:r>
          </w:p>
        </w:tc>
      </w:tr>
    </w:tbl>
    <w:p w14:paraId="10DCB24A">
      <w:pPr>
        <w:pStyle w:val="7"/>
        <w:keepNext w:val="0"/>
        <w:keepLines w:val="0"/>
        <w:widowControl/>
        <w:suppressLineNumbers w:val="0"/>
        <w:spacing w:line="240" w:lineRule="auto"/>
        <w:jc w:val="both"/>
        <w:rPr>
          <w:rFonts w:hint="default" w:ascii="Times New Roman" w:hAnsi="Times New Roman" w:cs="Times New Roman"/>
          <w:b w:val="0"/>
          <w:bCs w:val="0"/>
          <w:sz w:val="24"/>
          <w:szCs w:val="24"/>
        </w:rPr>
      </w:pPr>
      <w:r>
        <w:rPr>
          <w:rStyle w:val="8"/>
          <w:rFonts w:hint="default" w:ascii="Times New Roman" w:hAnsi="Times New Roman" w:cs="Times New Roman"/>
          <w:b w:val="0"/>
          <w:bCs w:val="0"/>
          <w:sz w:val="24"/>
          <w:szCs w:val="24"/>
        </w:rPr>
        <w:t>Modular gas-treatment systems for future tie-backs:</w:t>
      </w:r>
      <w:r>
        <w:rPr>
          <w:rFonts w:hint="default" w:ascii="Times New Roman" w:hAnsi="Times New Roman" w:cs="Times New Roman"/>
          <w:b w:val="0"/>
          <w:bCs w:val="0"/>
          <w:sz w:val="24"/>
          <w:szCs w:val="24"/>
        </w:rPr>
        <w:t xml:space="preserve"> given Congo LNG's own Phase 2 development already relied on a modular, converted-asset approach (Scarabeo 5, itself a repurposed drilling rig), there is a clear demonstrated precedent and institutional capability within the Eni/Saipem partnership for applying similar modular, fast-track floating treatment solutions to future Marine XII tie-backs (Minsala, Nkala) or new discoveries this is a reasonable extrapolation from Congo LNG's own execution track record (Scarabeo 5 conversion completed in under 24 months, per Saipem), rather than a confirmed future project.</w:t>
      </w:r>
    </w:p>
    <w:p w14:paraId="564EFF69">
      <w:pPr>
        <w:keepNext w:val="0"/>
        <w:keepLines w:val="0"/>
        <w:widowControl/>
        <w:suppressLineNumbers w:val="0"/>
        <w:spacing w:line="240" w:lineRule="auto"/>
        <w:jc w:val="both"/>
        <w:rPr>
          <w:rFonts w:hint="default" w:ascii="Times New Roman" w:hAnsi="Times New Roman" w:cs="Times New Roman"/>
          <w:b w:val="0"/>
          <w:bCs w:val="0"/>
          <w:sz w:val="24"/>
          <w:szCs w:val="24"/>
        </w:rPr>
      </w:pPr>
    </w:p>
    <w:p w14:paraId="5A9FBBDB">
      <w:pPr>
        <w:spacing w:line="240" w:lineRule="auto"/>
        <w:jc w:val="both"/>
        <w:rPr>
          <w:rFonts w:hint="default" w:ascii="Times New Roman" w:hAnsi="Times New Roman" w:cs="Times New Roman"/>
          <w:b w:val="0"/>
          <w:bCs w:val="0"/>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B6A6F"/>
    <w:multiLevelType w:val="multilevel"/>
    <w:tmpl w:val="900B6A6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945F86FD"/>
    <w:multiLevelType w:val="singleLevel"/>
    <w:tmpl w:val="945F86FD"/>
    <w:lvl w:ilvl="0" w:tentative="0">
      <w:start w:val="1"/>
      <w:numFmt w:val="lowerRoman"/>
      <w:suff w:val="space"/>
      <w:lvlText w:val="(%1)"/>
      <w:lvlJc w:val="left"/>
    </w:lvl>
  </w:abstractNum>
  <w:abstractNum w:abstractNumId="2">
    <w:nsid w:val="E1DE9503"/>
    <w:multiLevelType w:val="multilevel"/>
    <w:tmpl w:val="E1DE950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E9D5247E"/>
    <w:multiLevelType w:val="singleLevel"/>
    <w:tmpl w:val="E9D5247E"/>
    <w:lvl w:ilvl="0" w:tentative="0">
      <w:start w:val="1"/>
      <w:numFmt w:val="decimal"/>
      <w:suff w:val="space"/>
      <w:lvlText w:val="(%1)"/>
      <w:lvlJc w:val="left"/>
      <w:pPr>
        <w:ind w:left="60" w:leftChars="0" w:firstLine="0" w:firstLineChars="0"/>
      </w:pPr>
    </w:lvl>
  </w:abstractNum>
  <w:abstractNum w:abstractNumId="4">
    <w:nsid w:val="132794C7"/>
    <w:multiLevelType w:val="multilevel"/>
    <w:tmpl w:val="132794C7"/>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788BA656"/>
    <w:multiLevelType w:val="multilevel"/>
    <w:tmpl w:val="788BA65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4"/>
  </w:num>
  <w:num w:numId="2">
    <w:abstractNumId w:val="5"/>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D102BA"/>
    <w:rsid w:val="19D102BA"/>
    <w:rsid w:val="34313A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890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2026-08-28T18:09:00Z</dcterms:created>
  <dc:creator>Dairo Opetunde</dc:creator>
  <cp:lastModifiedBy>Dairo Opetunde</cp:lastModifiedBy>
  <dcterms:modified xsi:type="dcterms:W3CDTF">2026-08-30T14:12:24Z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2243665E60CB44A1A6FAF1042BE3CB7F_11</vt:lpwstr>
  </property>
  <property fmtid="{D5CDD505-2E9C-101B-9397-08002B2CF9AE}" pid="4" name="KSOTemplateDocerSaveRecord">
    <vt:lpwstr>eyJoZGlkIjoiNjJiN2ZjM2ZkYjRkMjUxNjhkMmQ5YWQ2ODlkY2M4YjEiLCJ1c2VySWQiOiIzNzI4MjIzNDYzMTYwIn0=</vt:lpwstr>
  </property>
</Properties>
</file>