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B86C1" w14:textId="4CD5CD29" w:rsidR="00B96DD0" w:rsidRPr="00B47C05" w:rsidRDefault="00000000" w:rsidP="001C6CD2">
      <w:pPr>
        <w:pStyle w:val="Heading1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X135e9daabb74602ea611b7f79637acdf22743bf"/>
      <w:r w:rsidRPr="00B47C05">
        <w:rPr>
          <w:rFonts w:ascii="Times New Roman" w:hAnsi="Times New Roman" w:cs="Times New Roman"/>
          <w:color w:val="auto"/>
          <w:sz w:val="24"/>
          <w:szCs w:val="24"/>
        </w:rPr>
        <w:t>LPG &amp; Condensate Recovery from Congo’s Associated Gas Stream</w:t>
      </w:r>
    </w:p>
    <w:p w14:paraId="4471E4DC" w14:textId="143E7C57" w:rsidR="00B96DD0" w:rsidRPr="00B47C05" w:rsidRDefault="00B96DD0" w:rsidP="00B47C05">
      <w:pPr>
        <w:jc w:val="both"/>
        <w:rPr>
          <w:rFonts w:ascii="Times New Roman" w:hAnsi="Times New Roman" w:cs="Times New Roman"/>
        </w:rPr>
      </w:pPr>
    </w:p>
    <w:p w14:paraId="6065A0D0" w14:textId="77777777" w:rsidR="00B96DD0" w:rsidRPr="00B47C05" w:rsidRDefault="00000000" w:rsidP="00B47C05">
      <w:pPr>
        <w:pStyle w:val="Heading2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1" w:name="executive-summary"/>
      <w:r w:rsidRPr="00B47C05">
        <w:rPr>
          <w:rFonts w:ascii="Times New Roman" w:hAnsi="Times New Roman" w:cs="Times New Roman"/>
          <w:color w:val="auto"/>
          <w:sz w:val="24"/>
          <w:szCs w:val="24"/>
        </w:rPr>
        <w:t>1. Executive Summary</w:t>
      </w:r>
    </w:p>
    <w:p w14:paraId="35D7440C" w14:textId="473C7C3B" w:rsidR="00B96DD0" w:rsidRPr="00B47C05" w:rsidRDefault="00000000" w:rsidP="00B47C05">
      <w:pPr>
        <w:pStyle w:val="FirstParagraph"/>
        <w:jc w:val="both"/>
        <w:rPr>
          <w:rFonts w:ascii="Times New Roman" w:hAnsi="Times New Roman" w:cs="Times New Roman"/>
        </w:rPr>
      </w:pPr>
      <w:r w:rsidRPr="00B47C05">
        <w:rPr>
          <w:rFonts w:ascii="Times New Roman" w:hAnsi="Times New Roman" w:cs="Times New Roman"/>
        </w:rPr>
        <w:t xml:space="preserve">Congo-Brazzaville is monetising a historically flared associated-gas resource base (proved gas ≈ 10 Tcf / 283 bcm) through a three-track strategy: LNG export (Eni’s Congo </w:t>
      </w:r>
      <w:r w:rsidR="00B47C05" w:rsidRPr="00B47C05">
        <w:rPr>
          <w:rFonts w:ascii="Times New Roman" w:hAnsi="Times New Roman" w:cs="Times New Roman"/>
        </w:rPr>
        <w:t>LNG now</w:t>
      </w:r>
      <w:r w:rsidRPr="00B47C05">
        <w:rPr>
          <w:rFonts w:ascii="Times New Roman" w:hAnsi="Times New Roman" w:cs="Times New Roman"/>
        </w:rPr>
        <w:t xml:space="preserve"> the country’s flagship), domestic LPG/butane/propane recovery (Nkossa legacy barge, Banga Kayo onshore plant, SNPC Gas Master Plan), and gas-to-power (~1,500 MW target by 2030, as reported). The strategic tension is structural: LNG and LPG compete for the same associated gas, and the government’s stated policy is “local market first, export the excess” </w:t>
      </w:r>
      <w:hyperlink r:id="rId7">
        <w:r w:rsidRPr="00B47C05">
          <w:rPr>
            <w:rStyle w:val="Hyperlink"/>
            <w:rFonts w:ascii="Times New Roman" w:hAnsi="Times New Roman" w:cs="Times New Roman"/>
            <w:color w:val="auto"/>
          </w:rPr>
          <w:t>Energy Chamber</w:t>
        </w:r>
      </w:hyperlink>
      <w:r w:rsidRPr="00B47C05">
        <w:rPr>
          <w:rFonts w:ascii="Times New Roman" w:hAnsi="Times New Roman" w:cs="Times New Roman"/>
        </w:rPr>
        <w:t xml:space="preserve"> yet the fiscal incentive (extractive sector = 66.4% of government revenue) and hard-currency needs push toward LNG. The country flared ~64 Bcf in 2022</w:t>
      </w:r>
      <w:r w:rsidR="00B47C05" w:rsidRPr="00B47C05">
        <w:rPr>
          <w:rFonts w:ascii="Times New Roman" w:hAnsi="Times New Roman" w:cs="Times New Roman"/>
        </w:rPr>
        <w:t xml:space="preserve"> </w:t>
      </w:r>
      <w:r w:rsidRPr="00B47C05">
        <w:rPr>
          <w:rFonts w:ascii="Times New Roman" w:hAnsi="Times New Roman" w:cs="Times New Roman"/>
        </w:rPr>
        <w:t xml:space="preserve">more than four times its own domestic gas production that year </w:t>
      </w:r>
      <w:hyperlink r:id="rId8">
        <w:r w:rsidRPr="00B47C05">
          <w:rPr>
            <w:rStyle w:val="Hyperlink"/>
            <w:rFonts w:ascii="Times New Roman" w:hAnsi="Times New Roman" w:cs="Times New Roman"/>
            <w:color w:val="auto"/>
          </w:rPr>
          <w:t>EIA</w:t>
        </w:r>
      </w:hyperlink>
      <w:r w:rsidRPr="00B47C05">
        <w:rPr>
          <w:rFonts w:ascii="Times New Roman" w:hAnsi="Times New Roman" w:cs="Times New Roman"/>
        </w:rPr>
        <w:t xml:space="preserve"> so the recoverable LPG/condensate prize from flare-gas capture is substantial but no public C3+ yield or LPG tonnage figure could be verified; these remain the key data gaps.</w:t>
      </w:r>
    </w:p>
    <w:p w14:paraId="1E5A5D33" w14:textId="77777777" w:rsidR="00B96DD0" w:rsidRPr="00B47C05" w:rsidRDefault="00000000" w:rsidP="00B47C05">
      <w:pPr>
        <w:pStyle w:val="Heading2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2" w:name="resource-base-gas-composition"/>
      <w:bookmarkEnd w:id="1"/>
      <w:r w:rsidRPr="00B47C05">
        <w:rPr>
          <w:rFonts w:ascii="Times New Roman" w:hAnsi="Times New Roman" w:cs="Times New Roman"/>
          <w:color w:val="auto"/>
          <w:sz w:val="24"/>
          <w:szCs w:val="24"/>
        </w:rPr>
        <w:t>2. Resource Base &amp; Gas Composition</w:t>
      </w:r>
    </w:p>
    <w:tbl>
      <w:tblPr>
        <w:tblStyle w:val="PlainTable2"/>
        <w:tblW w:w="5000" w:type="pct"/>
        <w:tblLayout w:type="fixed"/>
        <w:tblLook w:val="0020" w:firstRow="1" w:lastRow="0" w:firstColumn="0" w:lastColumn="0" w:noHBand="0" w:noVBand="0"/>
      </w:tblPr>
      <w:tblGrid>
        <w:gridCol w:w="3192"/>
        <w:gridCol w:w="3192"/>
        <w:gridCol w:w="3192"/>
      </w:tblGrid>
      <w:tr w:rsidR="00B47C05" w:rsidRPr="00B47C05" w14:paraId="73641E17" w14:textId="77777777" w:rsidTr="00B47C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</w:tcPr>
          <w:p w14:paraId="0BB62308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Parameter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640" w:type="dxa"/>
          </w:tcPr>
          <w:p w14:paraId="656A918B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Value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</w:tcPr>
          <w:p w14:paraId="445E5EB5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Source / Year</w:t>
            </w:r>
          </w:p>
        </w:tc>
      </w:tr>
      <w:tr w:rsidR="00B47C05" w:rsidRPr="00B47C05" w14:paraId="74C44231" w14:textId="77777777" w:rsidTr="00B47C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</w:tcPr>
          <w:p w14:paraId="62E35E7A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Proved natural gas reserves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640" w:type="dxa"/>
          </w:tcPr>
          <w:p w14:paraId="47AC4D8E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~10 Tcf (≈283 bcm)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</w:tcPr>
          <w:p w14:paraId="38281541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EIA / Oil &amp; Gas Journal, 2024</w:t>
            </w:r>
          </w:p>
        </w:tc>
      </w:tr>
      <w:tr w:rsidR="00B47C05" w:rsidRPr="00B47C05" w14:paraId="6D6A6F5E" w14:textId="77777777" w:rsidTr="00B47C0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</w:tcPr>
          <w:p w14:paraId="282C3B00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Proved oil reserves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640" w:type="dxa"/>
          </w:tcPr>
          <w:p w14:paraId="43E049BD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~1.8 billion bbl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</w:tcPr>
          <w:p w14:paraId="0E79B03B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African Energy Chamber, 2024</w:t>
            </w:r>
          </w:p>
        </w:tc>
      </w:tr>
      <w:tr w:rsidR="00B47C05" w:rsidRPr="00B47C05" w14:paraId="7894D718" w14:textId="77777777" w:rsidTr="00B47C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</w:tcPr>
          <w:p w14:paraId="273F623C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Total liquid fuels production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640" w:type="dxa"/>
          </w:tcPr>
          <w:p w14:paraId="45A85FA7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~273,000 b/d avg (2014–2023); peak 347,000 b/d (2018)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</w:tcPr>
          <w:p w14:paraId="676A6AEC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EIA Country Analysis Brief</w:t>
            </w:r>
          </w:p>
        </w:tc>
      </w:tr>
      <w:tr w:rsidR="00B47C05" w:rsidRPr="00B47C05" w14:paraId="5FD5778E" w14:textId="77777777" w:rsidTr="00B47C0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</w:tcPr>
          <w:p w14:paraId="010C9B20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Dry gas production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640" w:type="dxa"/>
          </w:tcPr>
          <w:p w14:paraId="5BA7C136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~28 Bcf/yr (≈0.8 bcm/yr)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</w:tcPr>
          <w:p w14:paraId="4DAC235D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EIA Country Analysis Brief</w:t>
            </w:r>
          </w:p>
        </w:tc>
      </w:tr>
      <w:tr w:rsidR="00B47C05" w:rsidRPr="00B47C05" w14:paraId="065CE5AE" w14:textId="77777777" w:rsidTr="00B47C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</w:tcPr>
          <w:p w14:paraId="1B587B73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Gas flared (2022)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640" w:type="dxa"/>
          </w:tcPr>
          <w:p w14:paraId="2C849DBB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~64 Bcf — &gt;4× domestic gas production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</w:tcPr>
          <w:p w14:paraId="76A3D630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World Bank via EIA</w:t>
            </w:r>
          </w:p>
        </w:tc>
      </w:tr>
      <w:tr w:rsidR="00B47C05" w:rsidRPr="00B47C05" w14:paraId="7227ABEA" w14:textId="77777777" w:rsidTr="00B47C0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</w:tcPr>
          <w:p w14:paraId="34E3E99A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Global flaring context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640" w:type="dxa"/>
          </w:tcPr>
          <w:p w14:paraId="268584ED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148 bcm (2023) → 151 bcm (2024)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</w:tcPr>
          <w:p w14:paraId="6B49329D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World Bank GGFR</w:t>
            </w:r>
          </w:p>
        </w:tc>
      </w:tr>
      <w:tr w:rsidR="00B47C05" w:rsidRPr="00B47C05" w14:paraId="60D91B0F" w14:textId="77777777" w:rsidTr="00B47C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</w:tcPr>
          <w:p w14:paraId="76FB2C03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Lease condensate / NGL output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640" w:type="dxa"/>
          </w:tcPr>
          <w:p w14:paraId="1CD4609C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“Very small volumes” (qualitative)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</w:tcPr>
          <w:p w14:paraId="1A8AFB58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Eurasia Review / EIA profile</w:t>
            </w:r>
          </w:p>
        </w:tc>
      </w:tr>
    </w:tbl>
    <w:p w14:paraId="68C33D83" w14:textId="77777777" w:rsidR="00B47C05" w:rsidRDefault="00B47C05" w:rsidP="00B47C05">
      <w:pPr>
        <w:pStyle w:val="BodyText"/>
        <w:jc w:val="both"/>
        <w:rPr>
          <w:rFonts w:ascii="Times New Roman" w:hAnsi="Times New Roman" w:cs="Times New Roman"/>
          <w:b/>
          <w:bCs/>
        </w:rPr>
      </w:pPr>
    </w:p>
    <w:p w14:paraId="03F00238" w14:textId="322C2E5D" w:rsidR="00B96DD0" w:rsidRPr="00B47C05" w:rsidRDefault="00000000" w:rsidP="00B47C05">
      <w:pPr>
        <w:pStyle w:val="BodyText"/>
        <w:jc w:val="both"/>
        <w:rPr>
          <w:rFonts w:ascii="Times New Roman" w:hAnsi="Times New Roman" w:cs="Times New Roman"/>
        </w:rPr>
      </w:pPr>
      <w:r w:rsidRPr="00B47C05">
        <w:rPr>
          <w:rFonts w:ascii="Times New Roman" w:hAnsi="Times New Roman" w:cs="Times New Roman"/>
        </w:rPr>
        <w:t xml:space="preserve">Gas composition / GOR data: unconfirmed. No operator-published associated-gas composition (C3+ content, GOR) for Nkossa, Moho, Marine XII, or Banga Kayo was retrievable in this pass. The Nkossa barge was explicitly designed for deep NGL recovery from associated gas </w:t>
      </w:r>
      <w:hyperlink r:id="rId9">
        <w:r w:rsidRPr="00B47C05">
          <w:rPr>
            <w:rStyle w:val="Hyperlink"/>
            <w:rFonts w:ascii="Times New Roman" w:hAnsi="Times New Roman" w:cs="Times New Roman"/>
            <w:color w:val="auto"/>
          </w:rPr>
          <w:t>DigitalRefining</w:t>
        </w:r>
      </w:hyperlink>
      <w:r w:rsidRPr="00B47C05">
        <w:rPr>
          <w:rFonts w:ascii="Times New Roman" w:hAnsi="Times New Roman" w:cs="Times New Roman"/>
        </w:rPr>
        <w:t>, implying a rich, NGL-laden stream but specific propane/butane yields must be treated as estimates pending operator data.</w:t>
      </w:r>
    </w:p>
    <w:p w14:paraId="2991C3CF" w14:textId="77777777" w:rsidR="00B96DD0" w:rsidRPr="00B47C05" w:rsidRDefault="00000000" w:rsidP="00B47C05">
      <w:pPr>
        <w:pStyle w:val="Heading2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3" w:name="X68decc9c1a0ca23083ddba3a6f0378c47f062af"/>
      <w:bookmarkEnd w:id="2"/>
      <w:r w:rsidRPr="00B47C05">
        <w:rPr>
          <w:rFonts w:ascii="Times New Roman" w:hAnsi="Times New Roman" w:cs="Times New Roman"/>
          <w:color w:val="auto"/>
          <w:sz w:val="24"/>
          <w:szCs w:val="24"/>
        </w:rPr>
        <w:lastRenderedPageBreak/>
        <w:t>3. Existing Processing &amp; Recovery Infrastructure</w:t>
      </w:r>
    </w:p>
    <w:p w14:paraId="5811AF25" w14:textId="77777777" w:rsidR="00B96DD0" w:rsidRPr="00B47C05" w:rsidRDefault="00000000" w:rsidP="00B47C05">
      <w:pPr>
        <w:pStyle w:val="Heading3"/>
        <w:jc w:val="both"/>
        <w:rPr>
          <w:rFonts w:ascii="Times New Roman" w:hAnsi="Times New Roman" w:cs="Times New Roman"/>
          <w:color w:val="auto"/>
        </w:rPr>
      </w:pPr>
      <w:bookmarkStart w:id="4" w:name="Xac222ec66b429f1ed8b12d7b3533036ae31f2b8"/>
      <w:r w:rsidRPr="00B47C05">
        <w:rPr>
          <w:rFonts w:ascii="Times New Roman" w:hAnsi="Times New Roman" w:cs="Times New Roman"/>
          <w:color w:val="auto"/>
        </w:rPr>
        <w:t>3.1 Nkossa Offshore Barge (TotalEnergies → Trident Energy) — the legacy LPG/condensate plant</w:t>
      </w:r>
    </w:p>
    <w:p w14:paraId="3978FB34" w14:textId="77777777" w:rsidR="00B96DD0" w:rsidRPr="00B47C05" w:rsidRDefault="00000000" w:rsidP="00B47C05">
      <w:pPr>
        <w:pStyle w:val="Compac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B47C05">
        <w:rPr>
          <w:rFonts w:ascii="Times New Roman" w:hAnsi="Times New Roman" w:cs="Times New Roman"/>
        </w:rPr>
        <w:t xml:space="preserve">Nkossa discovered 1984, on stream 1996 at a peak of ~100 Mboe/d; Nsoko II discovered 1992, on stream 2006; 30 producing wells; 170 m water depth; licences run to 2040/2039 </w:t>
      </w:r>
      <w:hyperlink r:id="rId10">
        <w:r w:rsidRPr="00B47C05">
          <w:rPr>
            <w:rStyle w:val="Hyperlink"/>
            <w:rFonts w:ascii="Times New Roman" w:hAnsi="Times New Roman" w:cs="Times New Roman"/>
            <w:color w:val="auto"/>
          </w:rPr>
          <w:t>Trident Energy</w:t>
        </w:r>
      </w:hyperlink>
    </w:p>
    <w:p w14:paraId="7149CEC8" w14:textId="77777777" w:rsidR="00B96DD0" w:rsidRPr="00B47C05" w:rsidRDefault="00000000" w:rsidP="00B47C05">
      <w:pPr>
        <w:pStyle w:val="Compac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B47C05">
        <w:rPr>
          <w:rFonts w:ascii="Times New Roman" w:hAnsi="Times New Roman" w:cs="Times New Roman"/>
        </w:rPr>
        <w:t xml:space="preserve">The Nkossa barge has operated &gt;15 years offshore performing deep NGL recovery from the associated gas stream — Congo’s historic source of LPG and condensate </w:t>
      </w:r>
      <w:hyperlink r:id="rId11">
        <w:r w:rsidRPr="00B47C05">
          <w:rPr>
            <w:rStyle w:val="Hyperlink"/>
            <w:rFonts w:ascii="Times New Roman" w:hAnsi="Times New Roman" w:cs="Times New Roman"/>
            <w:color w:val="auto"/>
          </w:rPr>
          <w:t>DigitalRefining</w:t>
        </w:r>
      </w:hyperlink>
    </w:p>
    <w:p w14:paraId="378EC724" w14:textId="77777777" w:rsidR="00B96DD0" w:rsidRPr="00B47C05" w:rsidRDefault="00000000" w:rsidP="00B47C05">
      <w:pPr>
        <w:pStyle w:val="Compac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B47C05">
        <w:rPr>
          <w:rFonts w:ascii="Times New Roman" w:hAnsi="Times New Roman" w:cs="Times New Roman"/>
        </w:rPr>
        <w:t xml:space="preserve">Remaining N’Kossa reserves: ~87.25 million bbl (2021) </w:t>
      </w:r>
      <w:hyperlink r:id="rId12">
        <w:r w:rsidRPr="00B47C05">
          <w:rPr>
            <w:rStyle w:val="Hyperlink"/>
            <w:rFonts w:ascii="Times New Roman" w:hAnsi="Times New Roman" w:cs="Times New Roman"/>
            <w:color w:val="auto"/>
          </w:rPr>
          <w:t>GEM Wiki</w:t>
        </w:r>
      </w:hyperlink>
    </w:p>
    <w:p w14:paraId="7B7A8CE9" w14:textId="77777777" w:rsidR="00B96DD0" w:rsidRPr="00B47C05" w:rsidRDefault="00000000" w:rsidP="00B47C05">
      <w:pPr>
        <w:pStyle w:val="Compac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B47C05">
        <w:rPr>
          <w:rFonts w:ascii="Times New Roman" w:hAnsi="Times New Roman" w:cs="Times New Roman"/>
        </w:rPr>
        <w:t xml:space="preserve">2025 ownership change: Trident Energy acquired an 85% operated interest in Nkossa/Nsoko II, plus 21.5% non-operated in Moho-Bilondo and 15.75% in Lianzi (Chevron + TotalEnergies deals) </w:t>
      </w:r>
      <w:hyperlink r:id="rId13">
        <w:r w:rsidRPr="00B47C05">
          <w:rPr>
            <w:rStyle w:val="Hyperlink"/>
            <w:rFonts w:ascii="Times New Roman" w:hAnsi="Times New Roman" w:cs="Times New Roman"/>
            <w:color w:val="auto"/>
          </w:rPr>
          <w:t>Trident Energy</w:t>
        </w:r>
      </w:hyperlink>
      <w:r w:rsidRPr="00B47C05">
        <w:rPr>
          <w:rFonts w:ascii="Times New Roman" w:hAnsi="Times New Roman" w:cs="Times New Roman"/>
        </w:rPr>
        <w:t xml:space="preserve"> </w:t>
      </w:r>
      <w:hyperlink r:id="rId14">
        <w:r w:rsidRPr="00B47C05">
          <w:rPr>
            <w:rStyle w:val="Hyperlink"/>
            <w:rFonts w:ascii="Times New Roman" w:hAnsi="Times New Roman" w:cs="Times New Roman"/>
            <w:color w:val="auto"/>
          </w:rPr>
          <w:t>Energy Chamber</w:t>
        </w:r>
      </w:hyperlink>
    </w:p>
    <w:p w14:paraId="277CC8DF" w14:textId="25A441A3" w:rsidR="00B96DD0" w:rsidRPr="00B47C05" w:rsidRDefault="00000000" w:rsidP="00B47C05">
      <w:pPr>
        <w:pStyle w:val="Compac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B47C05">
        <w:rPr>
          <w:rFonts w:ascii="Times New Roman" w:hAnsi="Times New Roman" w:cs="Times New Roman"/>
        </w:rPr>
        <w:t>No public figure for Nkossa LPG production capacity (</w:t>
      </w:r>
      <w:proofErr w:type="spellStart"/>
      <w:r w:rsidRPr="00B47C05">
        <w:rPr>
          <w:rFonts w:ascii="Times New Roman" w:hAnsi="Times New Roman" w:cs="Times New Roman"/>
        </w:rPr>
        <w:t>tpy</w:t>
      </w:r>
      <w:proofErr w:type="spellEnd"/>
      <w:r w:rsidRPr="00B47C05">
        <w:rPr>
          <w:rFonts w:ascii="Times New Roman" w:hAnsi="Times New Roman" w:cs="Times New Roman"/>
        </w:rPr>
        <w:t>) was verifiable</w:t>
      </w:r>
      <w:r w:rsidR="00B47C05">
        <w:rPr>
          <w:rFonts w:ascii="Times New Roman" w:hAnsi="Times New Roman" w:cs="Times New Roman"/>
        </w:rPr>
        <w:t xml:space="preserve"> </w:t>
      </w:r>
      <w:r w:rsidRPr="00B47C05">
        <w:rPr>
          <w:rFonts w:ascii="Times New Roman" w:hAnsi="Times New Roman" w:cs="Times New Roman"/>
        </w:rPr>
        <w:t>flagged as a data gap.</w:t>
      </w:r>
    </w:p>
    <w:p w14:paraId="7932E129" w14:textId="77777777" w:rsidR="00B96DD0" w:rsidRPr="00B47C05" w:rsidRDefault="00000000" w:rsidP="00B47C05">
      <w:pPr>
        <w:pStyle w:val="Heading3"/>
        <w:jc w:val="both"/>
        <w:rPr>
          <w:rFonts w:ascii="Times New Roman" w:hAnsi="Times New Roman" w:cs="Times New Roman"/>
          <w:color w:val="auto"/>
        </w:rPr>
      </w:pPr>
      <w:bookmarkStart w:id="5" w:name="djéno-terminal-pointe-noire"/>
      <w:bookmarkEnd w:id="4"/>
      <w:r w:rsidRPr="00B47C05">
        <w:rPr>
          <w:rFonts w:ascii="Times New Roman" w:hAnsi="Times New Roman" w:cs="Times New Roman"/>
          <w:color w:val="auto"/>
        </w:rPr>
        <w:t>3.2 Djéno Terminal (Pointe-Noire)</w:t>
      </w:r>
    </w:p>
    <w:p w14:paraId="2FF4CD0B" w14:textId="77777777" w:rsidR="00B96DD0" w:rsidRPr="00B47C05" w:rsidRDefault="00000000" w:rsidP="00B47C05">
      <w:pPr>
        <w:pStyle w:val="Compac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B47C05">
        <w:rPr>
          <w:rFonts w:ascii="Times New Roman" w:hAnsi="Times New Roman" w:cs="Times New Roman"/>
        </w:rPr>
        <w:t xml:space="preserve">Operated by TotalEnergies; treats ~250,000 BOPD; exports Djéno Mélange and Nkossa Blend </w:t>
      </w:r>
      <w:hyperlink r:id="rId15">
        <w:r w:rsidRPr="00B47C05">
          <w:rPr>
            <w:rStyle w:val="Hyperlink"/>
            <w:rFonts w:ascii="Times New Roman" w:hAnsi="Times New Roman" w:cs="Times New Roman"/>
            <w:color w:val="auto"/>
          </w:rPr>
          <w:t>JPT/SPE</w:t>
        </w:r>
      </w:hyperlink>
    </w:p>
    <w:p w14:paraId="5D6AEF3E" w14:textId="77777777" w:rsidR="00B96DD0" w:rsidRPr="00B47C05" w:rsidRDefault="00000000" w:rsidP="00B47C05">
      <w:pPr>
        <w:pStyle w:val="Compac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B47C05">
        <w:rPr>
          <w:rFonts w:ascii="Times New Roman" w:hAnsi="Times New Roman" w:cs="Times New Roman"/>
        </w:rPr>
        <w:t xml:space="preserve">Undergoing energy transition: terminal furnaces converting to recovered gas fuel </w:t>
      </w:r>
      <w:hyperlink r:id="rId16">
        <w:r w:rsidRPr="00B47C05">
          <w:rPr>
            <w:rStyle w:val="Hyperlink"/>
            <w:rFonts w:ascii="Times New Roman" w:hAnsi="Times New Roman" w:cs="Times New Roman"/>
            <w:color w:val="auto"/>
          </w:rPr>
          <w:t>Actemium</w:t>
        </w:r>
      </w:hyperlink>
    </w:p>
    <w:p w14:paraId="6A690BF7" w14:textId="77777777" w:rsidR="00B96DD0" w:rsidRPr="00B47C05" w:rsidRDefault="00000000" w:rsidP="00B47C05">
      <w:pPr>
        <w:pStyle w:val="Heading3"/>
        <w:jc w:val="both"/>
        <w:rPr>
          <w:rFonts w:ascii="Times New Roman" w:hAnsi="Times New Roman" w:cs="Times New Roman"/>
          <w:color w:val="auto"/>
        </w:rPr>
      </w:pPr>
      <w:bookmarkStart w:id="6" w:name="marine-xii-congo-lng-eni-the-lng-track"/>
      <w:bookmarkEnd w:id="5"/>
      <w:r w:rsidRPr="00B47C05">
        <w:rPr>
          <w:rFonts w:ascii="Times New Roman" w:hAnsi="Times New Roman" w:cs="Times New Roman"/>
          <w:color w:val="auto"/>
        </w:rPr>
        <w:t>3.3 Marine XII / Congo LNG (Eni) — the LNG track</w:t>
      </w:r>
    </w:p>
    <w:p w14:paraId="5AFCF8E4" w14:textId="77777777" w:rsidR="00B96DD0" w:rsidRPr="00B47C05" w:rsidRDefault="00000000" w:rsidP="00B47C05">
      <w:pPr>
        <w:pStyle w:val="Compac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B47C05">
        <w:rPr>
          <w:rFonts w:ascii="Times New Roman" w:hAnsi="Times New Roman" w:cs="Times New Roman"/>
        </w:rPr>
        <w:t xml:space="preserve">Tango FLNG (0.6 MTPA ≈ 29 Bcf/yr): first LNG cargo end-February 2024, delivered to Piombino, Italy; 12 cargoes exported by August 2025 </w:t>
      </w:r>
      <w:hyperlink r:id="rId17">
        <w:r w:rsidRPr="00B47C05">
          <w:rPr>
            <w:rStyle w:val="Hyperlink"/>
            <w:rFonts w:ascii="Times New Roman" w:hAnsi="Times New Roman" w:cs="Times New Roman"/>
            <w:color w:val="auto"/>
          </w:rPr>
          <w:t>EIA</w:t>
        </w:r>
      </w:hyperlink>
      <w:r w:rsidRPr="00B47C05">
        <w:rPr>
          <w:rFonts w:ascii="Times New Roman" w:hAnsi="Times New Roman" w:cs="Times New Roman"/>
        </w:rPr>
        <w:t xml:space="preserve"> </w:t>
      </w:r>
      <w:hyperlink r:id="rId18">
        <w:r w:rsidRPr="00B47C05">
          <w:rPr>
            <w:rStyle w:val="Hyperlink"/>
            <w:rFonts w:ascii="Times New Roman" w:hAnsi="Times New Roman" w:cs="Times New Roman"/>
            <w:color w:val="auto"/>
          </w:rPr>
          <w:t>Eni</w:t>
        </w:r>
      </w:hyperlink>
    </w:p>
    <w:p w14:paraId="35E52DD4" w14:textId="77777777" w:rsidR="00B96DD0" w:rsidRPr="00B47C05" w:rsidRDefault="00000000" w:rsidP="00B47C05">
      <w:pPr>
        <w:pStyle w:val="Compac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B47C05">
        <w:rPr>
          <w:rFonts w:ascii="Times New Roman" w:hAnsi="Times New Roman" w:cs="Times New Roman"/>
        </w:rPr>
        <w:t xml:space="preserve">Nguya FLNG (2.4 MTPA ≈ 115 Bcf/yr): Phase 2 launched ahead of schedule (Dec 2025); first cargo announced for February 2026; adds Scarabeo 5 gas-treatment/compression unit and Yasika logistics platform </w:t>
      </w:r>
      <w:hyperlink r:id="rId19">
        <w:r w:rsidRPr="00B47C05">
          <w:rPr>
            <w:rStyle w:val="Hyperlink"/>
            <w:rFonts w:ascii="Times New Roman" w:hAnsi="Times New Roman" w:cs="Times New Roman"/>
            <w:color w:val="auto"/>
          </w:rPr>
          <w:t>Eni</w:t>
        </w:r>
      </w:hyperlink>
    </w:p>
    <w:p w14:paraId="341BE02E" w14:textId="77777777" w:rsidR="00B96DD0" w:rsidRPr="00B47C05" w:rsidRDefault="00000000" w:rsidP="00B47C05">
      <w:pPr>
        <w:pStyle w:val="Compac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B47C05">
        <w:rPr>
          <w:rFonts w:ascii="Times New Roman" w:hAnsi="Times New Roman" w:cs="Times New Roman"/>
        </w:rPr>
        <w:t xml:space="preserve">Combined capacity up to 3 MTPA (≈4.5 bcm/yr); feed from the producing Nen and Litchendjili fields; project designed zero-flaring </w:t>
      </w:r>
      <w:hyperlink r:id="rId20">
        <w:r w:rsidRPr="00B47C05">
          <w:rPr>
            <w:rStyle w:val="Hyperlink"/>
            <w:rFonts w:ascii="Times New Roman" w:hAnsi="Times New Roman" w:cs="Times New Roman"/>
            <w:color w:val="auto"/>
          </w:rPr>
          <w:t>Eni</w:t>
        </w:r>
      </w:hyperlink>
    </w:p>
    <w:p w14:paraId="2C740719" w14:textId="77777777" w:rsidR="00B96DD0" w:rsidRPr="00B47C05" w:rsidRDefault="00000000" w:rsidP="00B47C05">
      <w:pPr>
        <w:pStyle w:val="Compac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B47C05">
        <w:rPr>
          <w:rFonts w:ascii="Times New Roman" w:hAnsi="Times New Roman" w:cs="Times New Roman"/>
        </w:rPr>
        <w:t xml:space="preserve">2023 SPA between SNPC, Eni and Lukoil: initial 600,000 tpy LNG rising to ~2.4 mn tpy </w:t>
      </w:r>
      <w:hyperlink r:id="rId21">
        <w:r w:rsidRPr="00B47C05">
          <w:rPr>
            <w:rStyle w:val="Hyperlink"/>
            <w:rFonts w:ascii="Times New Roman" w:hAnsi="Times New Roman" w:cs="Times New Roman"/>
            <w:color w:val="auto"/>
          </w:rPr>
          <w:t>IntelliNews</w:t>
        </w:r>
      </w:hyperlink>
    </w:p>
    <w:p w14:paraId="7A41215F" w14:textId="77777777" w:rsidR="00B96DD0" w:rsidRPr="00B47C05" w:rsidRDefault="00000000" w:rsidP="00B47C05">
      <w:pPr>
        <w:pStyle w:val="Heading3"/>
        <w:jc w:val="both"/>
        <w:rPr>
          <w:rFonts w:ascii="Times New Roman" w:hAnsi="Times New Roman" w:cs="Times New Roman"/>
          <w:color w:val="auto"/>
        </w:rPr>
      </w:pPr>
      <w:bookmarkStart w:id="7" w:name="Xd6249daa83951def29bf61cabdd63dfdbb22cf1"/>
      <w:bookmarkEnd w:id="6"/>
      <w:r w:rsidRPr="00B47C05">
        <w:rPr>
          <w:rFonts w:ascii="Times New Roman" w:hAnsi="Times New Roman" w:cs="Times New Roman"/>
          <w:color w:val="auto"/>
        </w:rPr>
        <w:t>3.4 Banga Kayo (Wing Wah, onshore) — the domestic LPG/butane track</w:t>
      </w:r>
    </w:p>
    <w:p w14:paraId="2FAA2ACE" w14:textId="77777777" w:rsidR="00B96DD0" w:rsidRPr="00B47C05" w:rsidRDefault="00000000" w:rsidP="00B47C05">
      <w:pPr>
        <w:pStyle w:val="Compac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B47C05">
        <w:rPr>
          <w:rFonts w:ascii="Times New Roman" w:hAnsi="Times New Roman" w:cs="Times New Roman"/>
        </w:rPr>
        <w:t xml:space="preserve">~250 wells producing ~45,000 b/d oil (peak target 80,000 b/d); associated-gas project to produce LNG, LPG, butane and propane for the domestic market </w:t>
      </w:r>
      <w:hyperlink r:id="rId22">
        <w:r w:rsidRPr="00B47C05">
          <w:rPr>
            <w:rStyle w:val="Hyperlink"/>
            <w:rFonts w:ascii="Times New Roman" w:hAnsi="Times New Roman" w:cs="Times New Roman"/>
            <w:color w:val="auto"/>
          </w:rPr>
          <w:t>Energy Chamber</w:t>
        </w:r>
      </w:hyperlink>
    </w:p>
    <w:p w14:paraId="2E38ECE4" w14:textId="77777777" w:rsidR="00B96DD0" w:rsidRPr="00B47C05" w:rsidRDefault="00000000" w:rsidP="00B47C05">
      <w:pPr>
        <w:pStyle w:val="Compac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B47C05">
        <w:rPr>
          <w:rFonts w:ascii="Times New Roman" w:hAnsi="Times New Roman" w:cs="Times New Roman"/>
        </w:rPr>
        <w:t xml:space="preserve">Three phases: Train 1 = 1 mcm/d; Trains 2 &amp; 3 = 2 mcm/d each (scheduled March &amp; December 2025) → 5 mcm/d total </w:t>
      </w:r>
      <w:hyperlink r:id="rId23">
        <w:r w:rsidRPr="00B47C05">
          <w:rPr>
            <w:rStyle w:val="Hyperlink"/>
            <w:rFonts w:ascii="Times New Roman" w:hAnsi="Times New Roman" w:cs="Times New Roman"/>
            <w:color w:val="auto"/>
          </w:rPr>
          <w:t>IntelliNews</w:t>
        </w:r>
      </w:hyperlink>
    </w:p>
    <w:p w14:paraId="58E4A850" w14:textId="77777777" w:rsidR="00B96DD0" w:rsidRPr="00B47C05" w:rsidRDefault="00000000" w:rsidP="00B47C05">
      <w:pPr>
        <w:pStyle w:val="Compac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B47C05">
        <w:rPr>
          <w:rFonts w:ascii="Times New Roman" w:hAnsi="Times New Roman" w:cs="Times New Roman"/>
        </w:rPr>
        <w:t xml:space="preserve">Underpinned by a reported $23bn Wing Wah agreement covering Banga Kayo, Holmoni and Cayo </w:t>
      </w:r>
      <w:hyperlink r:id="rId24">
        <w:r w:rsidRPr="00B47C05">
          <w:rPr>
            <w:rStyle w:val="Hyperlink"/>
            <w:rFonts w:ascii="Times New Roman" w:hAnsi="Times New Roman" w:cs="Times New Roman"/>
            <w:color w:val="auto"/>
          </w:rPr>
          <w:t>Gas Outlook</w:t>
        </w:r>
      </w:hyperlink>
    </w:p>
    <w:p w14:paraId="5719FBD3" w14:textId="77777777" w:rsidR="00B96DD0" w:rsidRPr="00B47C05" w:rsidRDefault="00000000" w:rsidP="00B47C05">
      <w:pPr>
        <w:pStyle w:val="Heading3"/>
        <w:jc w:val="both"/>
        <w:rPr>
          <w:rFonts w:ascii="Times New Roman" w:hAnsi="Times New Roman" w:cs="Times New Roman"/>
          <w:color w:val="auto"/>
        </w:rPr>
      </w:pPr>
      <w:bookmarkStart w:id="8" w:name="moho-totalenergies-zero-flare-benchmark"/>
      <w:bookmarkEnd w:id="7"/>
      <w:r w:rsidRPr="00B47C05">
        <w:rPr>
          <w:rFonts w:ascii="Times New Roman" w:hAnsi="Times New Roman" w:cs="Times New Roman"/>
          <w:color w:val="auto"/>
        </w:rPr>
        <w:t>3.5 Moho (TotalEnergies) — zero-flare benchmark</w:t>
      </w:r>
    </w:p>
    <w:p w14:paraId="1ADEA3AC" w14:textId="77777777" w:rsidR="00B96DD0" w:rsidRPr="00B47C05" w:rsidRDefault="00000000" w:rsidP="00B47C05">
      <w:pPr>
        <w:pStyle w:val="Compact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B47C05">
        <w:rPr>
          <w:rFonts w:ascii="Times New Roman" w:hAnsi="Times New Roman" w:cs="Times New Roman"/>
        </w:rPr>
        <w:t xml:space="preserve">Moho Nord ~140,000 b/d (≈ half of Congo’s oil output); TotalEnergies committing ~$600M for +40,000 b/d </w:t>
      </w:r>
      <w:hyperlink r:id="rId25">
        <w:r w:rsidRPr="00B47C05">
          <w:rPr>
            <w:rStyle w:val="Hyperlink"/>
            <w:rFonts w:ascii="Times New Roman" w:hAnsi="Times New Roman" w:cs="Times New Roman"/>
            <w:color w:val="auto"/>
          </w:rPr>
          <w:t>Energy Chamber</w:t>
        </w:r>
      </w:hyperlink>
    </w:p>
    <w:p w14:paraId="6A39C50A" w14:textId="77777777" w:rsidR="00B96DD0" w:rsidRPr="00B47C05" w:rsidRDefault="00000000" w:rsidP="00B47C05">
      <w:pPr>
        <w:pStyle w:val="Compact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B47C05">
        <w:rPr>
          <w:rFonts w:ascii="Times New Roman" w:hAnsi="Times New Roman" w:cs="Times New Roman"/>
        </w:rPr>
        <w:t xml:space="preserve">Zero routine flaring, all-electric design, produced-water reinjection </w:t>
      </w:r>
      <w:hyperlink r:id="rId26">
        <w:r w:rsidRPr="00B47C05">
          <w:rPr>
            <w:rStyle w:val="Hyperlink"/>
            <w:rFonts w:ascii="Times New Roman" w:hAnsi="Times New Roman" w:cs="Times New Roman"/>
            <w:color w:val="auto"/>
          </w:rPr>
          <w:t>TotalEnergies</w:t>
        </w:r>
      </w:hyperlink>
    </w:p>
    <w:p w14:paraId="4548FC61" w14:textId="1BE9202E" w:rsidR="00B96DD0" w:rsidRPr="00B47C05" w:rsidRDefault="00000000" w:rsidP="00B47C05">
      <w:pPr>
        <w:pStyle w:val="Compact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B47C05">
        <w:rPr>
          <w:rFonts w:ascii="Times New Roman" w:hAnsi="Times New Roman" w:cs="Times New Roman"/>
        </w:rPr>
        <w:lastRenderedPageBreak/>
        <w:t xml:space="preserve">Trident proposes an FLNG project to support Moho gas additional </w:t>
      </w:r>
      <w:r w:rsidR="00B47C05" w:rsidRPr="00B47C05">
        <w:rPr>
          <w:rFonts w:ascii="Times New Roman" w:hAnsi="Times New Roman" w:cs="Times New Roman"/>
        </w:rPr>
        <w:t>monetization</w:t>
      </w:r>
      <w:r w:rsidRPr="00B47C05">
        <w:rPr>
          <w:rFonts w:ascii="Times New Roman" w:hAnsi="Times New Roman" w:cs="Times New Roman"/>
        </w:rPr>
        <w:t xml:space="preserve"> capacity </w:t>
      </w:r>
      <w:hyperlink r:id="rId27">
        <w:r w:rsidRPr="00B47C05">
          <w:rPr>
            <w:rStyle w:val="Hyperlink"/>
            <w:rFonts w:ascii="Times New Roman" w:hAnsi="Times New Roman" w:cs="Times New Roman"/>
            <w:color w:val="auto"/>
          </w:rPr>
          <w:t>Trident Energy</w:t>
        </w:r>
      </w:hyperlink>
      <w:r w:rsidRPr="00B47C05">
        <w:rPr>
          <w:rFonts w:ascii="Times New Roman" w:hAnsi="Times New Roman" w:cs="Times New Roman"/>
        </w:rPr>
        <w:t xml:space="preserve"> </w:t>
      </w:r>
      <w:hyperlink r:id="rId28">
        <w:r w:rsidRPr="00B47C05">
          <w:rPr>
            <w:rStyle w:val="Hyperlink"/>
            <w:rFonts w:ascii="Times New Roman" w:hAnsi="Times New Roman" w:cs="Times New Roman"/>
            <w:color w:val="auto"/>
          </w:rPr>
          <w:t>World Oil</w:t>
        </w:r>
      </w:hyperlink>
    </w:p>
    <w:p w14:paraId="1C06F6B9" w14:textId="77777777" w:rsidR="00B96DD0" w:rsidRPr="00B47C05" w:rsidRDefault="00000000" w:rsidP="00B47C05">
      <w:pPr>
        <w:pStyle w:val="Heading2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9" w:name="X74e4a7c6149232b234b79d6c46093dbbbde61a6"/>
      <w:bookmarkEnd w:id="3"/>
      <w:bookmarkEnd w:id="8"/>
      <w:r w:rsidRPr="00B47C05">
        <w:rPr>
          <w:rFonts w:ascii="Times New Roman" w:hAnsi="Times New Roman" w:cs="Times New Roman"/>
          <w:color w:val="auto"/>
          <w:sz w:val="24"/>
          <w:szCs w:val="24"/>
        </w:rPr>
        <w:t>4. The Core Tension: LPG vs LNG for the Same Associated Gas</w:t>
      </w:r>
    </w:p>
    <w:tbl>
      <w:tblPr>
        <w:tblStyle w:val="PlainTable2"/>
        <w:tblW w:w="5000" w:type="pct"/>
        <w:tblLayout w:type="fixed"/>
        <w:tblLook w:val="0020" w:firstRow="1" w:lastRow="0" w:firstColumn="0" w:lastColumn="0" w:noHBand="0" w:noVBand="0"/>
      </w:tblPr>
      <w:tblGrid>
        <w:gridCol w:w="3192"/>
        <w:gridCol w:w="3192"/>
        <w:gridCol w:w="3192"/>
      </w:tblGrid>
      <w:tr w:rsidR="00B47C05" w:rsidRPr="00B47C05" w14:paraId="3CC459AA" w14:textId="77777777" w:rsidTr="00B47C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</w:tcPr>
          <w:p w14:paraId="5233D6BF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Dimension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640" w:type="dxa"/>
          </w:tcPr>
          <w:p w14:paraId="29C2386D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LNG (Congo LNG / Marine XII)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</w:tcPr>
          <w:p w14:paraId="1AFB7BAD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LPG &amp; Condensate (Nkossa, Banga Kayo, GMP)</w:t>
            </w:r>
          </w:p>
        </w:tc>
      </w:tr>
      <w:tr w:rsidR="00B47C05" w:rsidRPr="00B47C05" w14:paraId="27178F62" w14:textId="77777777" w:rsidTr="00B47C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</w:tcPr>
          <w:p w14:paraId="53B0A2FA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Status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640" w:type="dxa"/>
          </w:tcPr>
          <w:p w14:paraId="3A6930F4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Operating &amp; scaling (0.6 → 3 MTPA)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</w:tcPr>
          <w:p w14:paraId="7087DC33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Legacy (Nkossa) + early-stage (Banga Kayo)</w:t>
            </w:r>
          </w:p>
        </w:tc>
      </w:tr>
      <w:tr w:rsidR="00B47C05" w:rsidRPr="00B47C05" w14:paraId="0EA9DFEE" w14:textId="77777777" w:rsidTr="00B47C0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</w:tcPr>
          <w:p w14:paraId="4DE46A02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Market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640" w:type="dxa"/>
          </w:tcPr>
          <w:p w14:paraId="4EC3AC89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International (Europe — first cargo to Italy)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</w:tcPr>
          <w:p w14:paraId="43BEED7E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Domestic subsidised butane + regional export</w:t>
            </w:r>
          </w:p>
        </w:tc>
      </w:tr>
      <w:tr w:rsidR="00B47C05" w:rsidRPr="00B47C05" w14:paraId="708516AA" w14:textId="77777777" w:rsidTr="00B47C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</w:tcPr>
          <w:p w14:paraId="2600692E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Hard currency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640" w:type="dxa"/>
          </w:tcPr>
          <w:p w14:paraId="78CFDAA1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Strong (export revenue)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</w:tcPr>
          <w:p w14:paraId="59035948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Limited (small domestic market)</w:t>
            </w:r>
          </w:p>
        </w:tc>
      </w:tr>
      <w:tr w:rsidR="00B47C05" w:rsidRPr="00B47C05" w14:paraId="21CC29CA" w14:textId="77777777" w:rsidTr="00B47C0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</w:tcPr>
          <w:p w14:paraId="3CC36D19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Policy fit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640" w:type="dxa"/>
          </w:tcPr>
          <w:p w14:paraId="303D1CF1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“Excess after local needs” per Minister Itoua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</w:tcPr>
          <w:p w14:paraId="338C209E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Explicit GMP priority: local first</w:t>
            </w:r>
          </w:p>
        </w:tc>
      </w:tr>
      <w:tr w:rsidR="00B47C05" w:rsidRPr="00B47C05" w14:paraId="7B467D0B" w14:textId="77777777" w:rsidTr="00B47C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</w:tcPr>
          <w:p w14:paraId="306BDC70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Fiscal incentive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640" w:type="dxa"/>
          </w:tcPr>
          <w:p w14:paraId="34F4750D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High (extractive = 66.4% of govt revenue)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</w:tcPr>
          <w:p w14:paraId="213B4EB0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Low (subsidy cost to budget)</w:t>
            </w:r>
          </w:p>
        </w:tc>
      </w:tr>
      <w:tr w:rsidR="00B47C05" w:rsidRPr="00B47C05" w14:paraId="34166EEA" w14:textId="77777777" w:rsidTr="00B47C0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</w:tcPr>
          <w:p w14:paraId="5A37F74C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Feed competition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640" w:type="dxa"/>
          </w:tcPr>
          <w:p w14:paraId="3016F275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Both draw on the same associated-gas pool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</w:tcPr>
          <w:p w14:paraId="7B602FCB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Same</w:t>
            </w:r>
          </w:p>
        </w:tc>
      </w:tr>
    </w:tbl>
    <w:p w14:paraId="448E2B84" w14:textId="77777777" w:rsidR="00B47C05" w:rsidRDefault="00B47C05" w:rsidP="00B47C05">
      <w:pPr>
        <w:pStyle w:val="Heading2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10" w:name="domestic-butane-demand-subsidy-economics"/>
      <w:bookmarkEnd w:id="9"/>
    </w:p>
    <w:p w14:paraId="1EAAFBF0" w14:textId="598453C2" w:rsidR="00B96DD0" w:rsidRPr="00B47C05" w:rsidRDefault="00000000" w:rsidP="00B47C05">
      <w:pPr>
        <w:pStyle w:val="Heading2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B47C05">
        <w:rPr>
          <w:rFonts w:ascii="Times New Roman" w:hAnsi="Times New Roman" w:cs="Times New Roman"/>
          <w:color w:val="auto"/>
          <w:sz w:val="24"/>
          <w:szCs w:val="24"/>
        </w:rPr>
        <w:t>5. Domestic Butane Demand &amp; Subsidy Economics</w:t>
      </w:r>
    </w:p>
    <w:p w14:paraId="208FECD9" w14:textId="2EEB1F28" w:rsidR="00B96DD0" w:rsidRPr="00B47C05" w:rsidRDefault="00000000" w:rsidP="00B47C05">
      <w:pPr>
        <w:pStyle w:val="Compac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B47C05">
        <w:rPr>
          <w:rFonts w:ascii="Times New Roman" w:hAnsi="Times New Roman" w:cs="Times New Roman"/>
        </w:rPr>
        <w:t xml:space="preserve">Fuel subsidy spending: ~4.5% of GDP (2022), ~2.5% of GDP (2023) among the highest fiscal burdens in the region </w:t>
      </w:r>
      <w:hyperlink r:id="rId29">
        <w:r w:rsidRPr="00B47C05">
          <w:rPr>
            <w:rStyle w:val="Hyperlink"/>
            <w:rFonts w:ascii="Times New Roman" w:hAnsi="Times New Roman" w:cs="Times New Roman"/>
            <w:color w:val="auto"/>
          </w:rPr>
          <w:t>IMF Technical Assistance Report, Aug 2025</w:t>
        </w:r>
      </w:hyperlink>
    </w:p>
    <w:p w14:paraId="4C7DFF52" w14:textId="77777777" w:rsidR="00B96DD0" w:rsidRPr="00B47C05" w:rsidRDefault="00000000" w:rsidP="00B47C05">
      <w:pPr>
        <w:pStyle w:val="Compac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B47C05">
        <w:rPr>
          <w:rFonts w:ascii="Times New Roman" w:hAnsi="Times New Roman" w:cs="Times New Roman"/>
        </w:rPr>
        <w:t xml:space="preserve">Oil subsidies reached ~2.4% of GDP in 2022 — ~4× the budgeted level </w:t>
      </w:r>
      <w:hyperlink r:id="rId30">
        <w:r w:rsidRPr="00B47C05">
          <w:rPr>
            <w:rStyle w:val="Hyperlink"/>
            <w:rFonts w:ascii="Times New Roman" w:hAnsi="Times New Roman" w:cs="Times New Roman"/>
            <w:color w:val="auto"/>
          </w:rPr>
          <w:t>World Bank Economic Update</w:t>
        </w:r>
      </w:hyperlink>
    </w:p>
    <w:p w14:paraId="18B8D95D" w14:textId="77777777" w:rsidR="00B96DD0" w:rsidRPr="00B47C05" w:rsidRDefault="00000000" w:rsidP="00B47C05">
      <w:pPr>
        <w:pStyle w:val="Compac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B47C05">
        <w:rPr>
          <w:rFonts w:ascii="Times New Roman" w:hAnsi="Times New Roman" w:cs="Times New Roman"/>
        </w:rPr>
        <w:t xml:space="preserve">Petroleum-product ceiling prices are administratively set (Order 9195/MH/MCAC/MFB, 9 Oct 2018) </w:t>
      </w:r>
      <w:hyperlink r:id="rId31">
        <w:r w:rsidRPr="00B47C05">
          <w:rPr>
            <w:rStyle w:val="Hyperlink"/>
            <w:rFonts w:ascii="Times New Roman" w:hAnsi="Times New Roman" w:cs="Times New Roman"/>
            <w:color w:val="auto"/>
          </w:rPr>
          <w:t>WTO Trade Policy Review</w:t>
        </w:r>
      </w:hyperlink>
    </w:p>
    <w:p w14:paraId="06777FD5" w14:textId="77777777" w:rsidR="00B96DD0" w:rsidRPr="00B47C05" w:rsidRDefault="00000000" w:rsidP="00B47C05">
      <w:pPr>
        <w:pStyle w:val="Compac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B47C05">
        <w:rPr>
          <w:rFonts w:ascii="Times New Roman" w:hAnsi="Times New Roman" w:cs="Times New Roman"/>
        </w:rPr>
        <w:t xml:space="preserve">Government began cutting the subsidy burden (reported ~30% reduction) under the IMF programme </w:t>
      </w:r>
      <w:hyperlink r:id="rId32">
        <w:r w:rsidRPr="00B47C05">
          <w:rPr>
            <w:rStyle w:val="Hyperlink"/>
            <w:rFonts w:ascii="Times New Roman" w:hAnsi="Times New Roman" w:cs="Times New Roman"/>
            <w:color w:val="auto"/>
          </w:rPr>
          <w:t>Le Monde Afrique</w:t>
        </w:r>
      </w:hyperlink>
    </w:p>
    <w:p w14:paraId="316FC6F3" w14:textId="49A76703" w:rsidR="00B96DD0" w:rsidRPr="00B47C05" w:rsidRDefault="00000000" w:rsidP="00B47C05">
      <w:pPr>
        <w:pStyle w:val="Compac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B47C05">
        <w:rPr>
          <w:rFonts w:ascii="Times New Roman" w:hAnsi="Times New Roman" w:cs="Times New Roman"/>
        </w:rPr>
        <w:t xml:space="preserve">Regional benchmark: total West African LPG consumption ≈ 360,000 </w:t>
      </w:r>
      <w:proofErr w:type="spellStart"/>
      <w:r w:rsidRPr="00B47C05">
        <w:rPr>
          <w:rFonts w:ascii="Times New Roman" w:hAnsi="Times New Roman" w:cs="Times New Roman"/>
        </w:rPr>
        <w:t>tpy</w:t>
      </w:r>
      <w:proofErr w:type="spellEnd"/>
      <w:r w:rsidRPr="00B47C05">
        <w:rPr>
          <w:rFonts w:ascii="Times New Roman" w:hAnsi="Times New Roman" w:cs="Times New Roman"/>
        </w:rPr>
        <w:t xml:space="preserve"> Congo’s domestic butane market is a small fraction of this </w:t>
      </w:r>
      <w:hyperlink r:id="rId33">
        <w:r w:rsidRPr="00B47C05">
          <w:rPr>
            <w:rStyle w:val="Hyperlink"/>
            <w:rFonts w:ascii="Times New Roman" w:hAnsi="Times New Roman" w:cs="Times New Roman"/>
            <w:color w:val="auto"/>
          </w:rPr>
          <w:t>World Bank</w:t>
        </w:r>
      </w:hyperlink>
    </w:p>
    <w:p w14:paraId="2DA82D0C" w14:textId="77777777" w:rsidR="00B47C05" w:rsidRDefault="00000000" w:rsidP="00B47C05">
      <w:pPr>
        <w:pStyle w:val="FirstParagraph"/>
        <w:jc w:val="both"/>
        <w:rPr>
          <w:rFonts w:ascii="Times New Roman" w:hAnsi="Times New Roman" w:cs="Times New Roman"/>
        </w:rPr>
      </w:pPr>
      <w:r w:rsidRPr="00B47C05">
        <w:rPr>
          <w:rFonts w:ascii="Times New Roman" w:hAnsi="Times New Roman" w:cs="Times New Roman"/>
        </w:rPr>
        <w:t xml:space="preserve">Implication for LPG recovery economics: with butane sold below cost, domestic LPG recovery has weak standalone economics; the value case rests on </w:t>
      </w:r>
    </w:p>
    <w:p w14:paraId="00BB65EF" w14:textId="77777777" w:rsidR="00B47C05" w:rsidRDefault="00000000" w:rsidP="00B47C05">
      <w:pPr>
        <w:pStyle w:val="FirstParagraph"/>
        <w:jc w:val="both"/>
        <w:rPr>
          <w:rFonts w:ascii="Times New Roman" w:hAnsi="Times New Roman" w:cs="Times New Roman"/>
        </w:rPr>
      </w:pPr>
      <w:r w:rsidRPr="00B47C05">
        <w:rPr>
          <w:rFonts w:ascii="Times New Roman" w:hAnsi="Times New Roman" w:cs="Times New Roman"/>
        </w:rPr>
        <w:t>(a) subsidy-reform trajector</w:t>
      </w:r>
      <w:r w:rsidR="00B47C05">
        <w:rPr>
          <w:rFonts w:ascii="Times New Roman" w:hAnsi="Times New Roman" w:cs="Times New Roman"/>
        </w:rPr>
        <w:t>y</w:t>
      </w:r>
    </w:p>
    <w:p w14:paraId="797080B5" w14:textId="77777777" w:rsidR="00B47C05" w:rsidRDefault="00000000" w:rsidP="00B47C05">
      <w:pPr>
        <w:pStyle w:val="FirstParagraph"/>
        <w:jc w:val="both"/>
        <w:rPr>
          <w:rFonts w:ascii="Times New Roman" w:hAnsi="Times New Roman" w:cs="Times New Roman"/>
        </w:rPr>
      </w:pPr>
      <w:r w:rsidRPr="00B47C05">
        <w:rPr>
          <w:rFonts w:ascii="Times New Roman" w:hAnsi="Times New Roman" w:cs="Times New Roman"/>
        </w:rPr>
        <w:t>(b) regional export to sub-Saharan markets, and</w:t>
      </w:r>
    </w:p>
    <w:p w14:paraId="28303770" w14:textId="6C06A337" w:rsidR="00B96DD0" w:rsidRPr="00B47C05" w:rsidRDefault="00000000" w:rsidP="00B47C05">
      <w:pPr>
        <w:pStyle w:val="FirstParagraph"/>
        <w:jc w:val="both"/>
        <w:rPr>
          <w:rFonts w:ascii="Times New Roman" w:hAnsi="Times New Roman" w:cs="Times New Roman"/>
        </w:rPr>
      </w:pPr>
      <w:r w:rsidRPr="00B47C05">
        <w:rPr>
          <w:rFonts w:ascii="Times New Roman" w:hAnsi="Times New Roman" w:cs="Times New Roman"/>
        </w:rPr>
        <w:t>(c) condensate/NGL blending into crude export streams (Djéno/Nkossa blends).</w:t>
      </w:r>
    </w:p>
    <w:p w14:paraId="102B3D18" w14:textId="77777777" w:rsidR="00E15135" w:rsidRDefault="00E15135" w:rsidP="00B47C05">
      <w:pPr>
        <w:pStyle w:val="Heading2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11" w:name="fiscal-regulatory-framework"/>
      <w:bookmarkEnd w:id="10"/>
    </w:p>
    <w:p w14:paraId="5CCB9163" w14:textId="102C57A6" w:rsidR="00B96DD0" w:rsidRPr="00B47C05" w:rsidRDefault="00000000" w:rsidP="00B47C05">
      <w:pPr>
        <w:pStyle w:val="Heading2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B47C05">
        <w:rPr>
          <w:rFonts w:ascii="Times New Roman" w:hAnsi="Times New Roman" w:cs="Times New Roman"/>
          <w:color w:val="auto"/>
          <w:sz w:val="24"/>
          <w:szCs w:val="24"/>
        </w:rPr>
        <w:t>6. Fiscal &amp; Regulatory Framework</w:t>
      </w:r>
    </w:p>
    <w:p w14:paraId="08956AAB" w14:textId="77777777" w:rsidR="00B96DD0" w:rsidRPr="00E15135" w:rsidRDefault="00000000" w:rsidP="00B47C05">
      <w:pPr>
        <w:pStyle w:val="Compac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E15135">
        <w:rPr>
          <w:rFonts w:ascii="Times New Roman" w:hAnsi="Times New Roman" w:cs="Times New Roman"/>
        </w:rPr>
        <w:t xml:space="preserve">Hydrocarbons Code in force; a dedicated Gas Code was reported “imminent” (2024–2025) to create an enabling investment environment for gas </w:t>
      </w:r>
      <w:hyperlink r:id="rId34">
        <w:r w:rsidRPr="00E15135">
          <w:rPr>
            <w:rStyle w:val="Hyperlink"/>
            <w:rFonts w:ascii="Times New Roman" w:hAnsi="Times New Roman" w:cs="Times New Roman"/>
            <w:color w:val="auto"/>
          </w:rPr>
          <w:t>World Oil</w:t>
        </w:r>
      </w:hyperlink>
      <w:r w:rsidRPr="00E15135">
        <w:rPr>
          <w:rFonts w:ascii="Times New Roman" w:hAnsi="Times New Roman" w:cs="Times New Roman"/>
        </w:rPr>
        <w:t xml:space="preserve"> </w:t>
      </w:r>
      <w:hyperlink r:id="rId35">
        <w:r w:rsidRPr="00E15135">
          <w:rPr>
            <w:rStyle w:val="Hyperlink"/>
            <w:rFonts w:ascii="Times New Roman" w:hAnsi="Times New Roman" w:cs="Times New Roman"/>
            <w:color w:val="auto"/>
          </w:rPr>
          <w:t>Newsbase</w:t>
        </w:r>
      </w:hyperlink>
    </w:p>
    <w:p w14:paraId="6729E495" w14:textId="77777777" w:rsidR="00B96DD0" w:rsidRPr="00E15135" w:rsidRDefault="00000000" w:rsidP="00B47C05">
      <w:pPr>
        <w:pStyle w:val="Compac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E15135">
        <w:rPr>
          <w:rFonts w:ascii="Times New Roman" w:hAnsi="Times New Roman" w:cs="Times New Roman"/>
        </w:rPr>
        <w:t xml:space="preserve">SNPC Gas Master Plan (presented at AEW 2024): monetise previously flared gas → LNG, LPG, butane, propane; infrastructure-led (processing plants, pipelines, power) </w:t>
      </w:r>
      <w:hyperlink r:id="rId36">
        <w:r w:rsidRPr="00E15135">
          <w:rPr>
            <w:rStyle w:val="Hyperlink"/>
            <w:rFonts w:ascii="Times New Roman" w:hAnsi="Times New Roman" w:cs="Times New Roman"/>
            <w:color w:val="auto"/>
          </w:rPr>
          <w:t>IntelliNews</w:t>
        </w:r>
      </w:hyperlink>
    </w:p>
    <w:p w14:paraId="4D330663" w14:textId="77777777" w:rsidR="00B96DD0" w:rsidRPr="00E15135" w:rsidRDefault="00000000" w:rsidP="00B47C05">
      <w:pPr>
        <w:pStyle w:val="Compac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E15135">
        <w:rPr>
          <w:rFonts w:ascii="Times New Roman" w:hAnsi="Times New Roman" w:cs="Times New Roman"/>
        </w:rPr>
        <w:t xml:space="preserve">National gas company to be established (announced Q3 2024); SNPC–Sonatrach MoU (May 2024) covers LNG, LPG and petrochemicals cooperation </w:t>
      </w:r>
      <w:hyperlink r:id="rId37">
        <w:r w:rsidRPr="00E15135">
          <w:rPr>
            <w:rStyle w:val="Hyperlink"/>
            <w:rFonts w:ascii="Times New Roman" w:hAnsi="Times New Roman" w:cs="Times New Roman"/>
            <w:color w:val="auto"/>
          </w:rPr>
          <w:t>Energy Chamber</w:t>
        </w:r>
      </w:hyperlink>
    </w:p>
    <w:p w14:paraId="3988F123" w14:textId="77777777" w:rsidR="00B96DD0" w:rsidRPr="00E15135" w:rsidRDefault="00000000" w:rsidP="00B47C05">
      <w:pPr>
        <w:pStyle w:val="Compac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E15135">
        <w:rPr>
          <w:rFonts w:ascii="Times New Roman" w:hAnsi="Times New Roman" w:cs="Times New Roman"/>
        </w:rPr>
        <w:t xml:space="preserve">Production ambition: 259,000 b/d → 500,000 b/d; gas-to-power target ~1,500 MW by 2030 (as reported by SNPC) </w:t>
      </w:r>
      <w:hyperlink r:id="rId38">
        <w:r w:rsidRPr="00E15135">
          <w:rPr>
            <w:rStyle w:val="Hyperlink"/>
            <w:rFonts w:ascii="Times New Roman" w:hAnsi="Times New Roman" w:cs="Times New Roman"/>
            <w:color w:val="auto"/>
          </w:rPr>
          <w:t>IntelliNews</w:t>
        </w:r>
      </w:hyperlink>
    </w:p>
    <w:p w14:paraId="7F06F105" w14:textId="77777777" w:rsidR="00E15135" w:rsidRDefault="00E15135" w:rsidP="00B47C05">
      <w:pPr>
        <w:pStyle w:val="Heading2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12" w:name="key-constraints"/>
      <w:bookmarkEnd w:id="11"/>
    </w:p>
    <w:p w14:paraId="55979824" w14:textId="65D387A0" w:rsidR="00B96DD0" w:rsidRPr="00B47C05" w:rsidRDefault="00000000" w:rsidP="00B47C05">
      <w:pPr>
        <w:pStyle w:val="Heading2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B47C05">
        <w:rPr>
          <w:rFonts w:ascii="Times New Roman" w:hAnsi="Times New Roman" w:cs="Times New Roman"/>
          <w:color w:val="auto"/>
          <w:sz w:val="24"/>
          <w:szCs w:val="24"/>
        </w:rPr>
        <w:t>7. Key Constraints</w:t>
      </w:r>
    </w:p>
    <w:p w14:paraId="33B48168" w14:textId="77777777" w:rsidR="00B96DD0" w:rsidRPr="00E15135" w:rsidRDefault="00000000" w:rsidP="00B47C05">
      <w:pPr>
        <w:pStyle w:val="Compact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E15135">
        <w:rPr>
          <w:rFonts w:ascii="Times New Roman" w:hAnsi="Times New Roman" w:cs="Times New Roman"/>
        </w:rPr>
        <w:t>Feed competition — LNG offtake (Eni/Lukoil/SNPC SPA) locks up Marine XII gas; Nkossa and Banga Kayo must rely on flare-gas capture and incremental volumes.</w:t>
      </w:r>
    </w:p>
    <w:p w14:paraId="2ED554F0" w14:textId="77777777" w:rsidR="00B96DD0" w:rsidRPr="00E15135" w:rsidRDefault="00000000" w:rsidP="00B47C05">
      <w:pPr>
        <w:pStyle w:val="Compact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E15135">
        <w:rPr>
          <w:rFonts w:ascii="Times New Roman" w:hAnsi="Times New Roman" w:cs="Times New Roman"/>
        </w:rPr>
        <w:t>Subsidy distortion — domestic butane below cost weakens the LPG value chain economics.</w:t>
      </w:r>
    </w:p>
    <w:p w14:paraId="49285314" w14:textId="77777777" w:rsidR="00B96DD0" w:rsidRPr="00E15135" w:rsidRDefault="00000000" w:rsidP="00B47C05">
      <w:pPr>
        <w:pStyle w:val="Compact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E15135">
        <w:rPr>
          <w:rFonts w:ascii="Times New Roman" w:hAnsi="Times New Roman" w:cs="Times New Roman"/>
        </w:rPr>
        <w:t>Market size — small domestic LPG market; regional export needs logistics (bottling, storage, coastal shipping) that are underdeveloped.</w:t>
      </w:r>
    </w:p>
    <w:p w14:paraId="2B080294" w14:textId="77777777" w:rsidR="00B96DD0" w:rsidRPr="00E15135" w:rsidRDefault="00000000" w:rsidP="00B47C05">
      <w:pPr>
        <w:pStyle w:val="Compact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E15135">
        <w:rPr>
          <w:rFonts w:ascii="Times New Roman" w:hAnsi="Times New Roman" w:cs="Times New Roman"/>
        </w:rPr>
        <w:t>Power &amp; transport — gas-to-power is itself a competing consumer; pipeline and storage infrastructure still nascent.</w:t>
      </w:r>
    </w:p>
    <w:p w14:paraId="6D57B936" w14:textId="77777777" w:rsidR="00B96DD0" w:rsidRPr="00E15135" w:rsidRDefault="00000000" w:rsidP="00B47C05">
      <w:pPr>
        <w:pStyle w:val="Compact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E15135">
        <w:rPr>
          <w:rFonts w:ascii="Times New Roman" w:hAnsi="Times New Roman" w:cs="Times New Roman"/>
        </w:rPr>
        <w:t>Data opacity — no public C3+ yield, GOR, or Nkossa LPG capacity figures; condensate volumes described only qualitatively.</w:t>
      </w:r>
    </w:p>
    <w:p w14:paraId="59693777" w14:textId="77777777" w:rsidR="00B96DD0" w:rsidRPr="00B47C05" w:rsidRDefault="00000000" w:rsidP="00B47C05">
      <w:pPr>
        <w:pStyle w:val="Heading2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13" w:name="scenarios-20262030"/>
      <w:bookmarkEnd w:id="12"/>
      <w:r w:rsidRPr="00B47C05">
        <w:rPr>
          <w:rFonts w:ascii="Times New Roman" w:hAnsi="Times New Roman" w:cs="Times New Roman"/>
          <w:color w:val="auto"/>
          <w:sz w:val="24"/>
          <w:szCs w:val="24"/>
        </w:rPr>
        <w:t>8. Scenarios (2026–2030)</w:t>
      </w:r>
    </w:p>
    <w:p w14:paraId="3481AAF8" w14:textId="77777777" w:rsidR="00B96DD0" w:rsidRPr="00E15135" w:rsidRDefault="00000000" w:rsidP="00B47C05">
      <w:pPr>
        <w:pStyle w:val="Compact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E15135">
        <w:rPr>
          <w:rFonts w:ascii="Times New Roman" w:hAnsi="Times New Roman" w:cs="Times New Roman"/>
        </w:rPr>
        <w:t>Scenario A — LNG-led (base case): Congo LNG reaches ~3 MTPA; LPG/condensate recovery grows only via Banga Kayo and Nkossa revamp; domestic butane remains subsidised and import-substitution is partial.</w:t>
      </w:r>
    </w:p>
    <w:p w14:paraId="6D88C4A8" w14:textId="77777777" w:rsidR="00B96DD0" w:rsidRPr="00E15135" w:rsidRDefault="00000000" w:rsidP="00B47C05">
      <w:pPr>
        <w:pStyle w:val="Compact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E15135">
        <w:rPr>
          <w:rFonts w:ascii="Times New Roman" w:hAnsi="Times New Roman" w:cs="Times New Roman"/>
        </w:rPr>
        <w:t>Scenario B — Balanced GMP execution: Gas Code + national gas company operational; flare-gas capture expands; LPG/butane/propane output scales for local + regional market; subsidy reform improves project economics.</w:t>
      </w:r>
    </w:p>
    <w:p w14:paraId="32ED55B2" w14:textId="77777777" w:rsidR="00B96DD0" w:rsidRPr="00E15135" w:rsidRDefault="00000000" w:rsidP="00B47C05">
      <w:pPr>
        <w:pStyle w:val="Compact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E15135">
        <w:rPr>
          <w:rFonts w:ascii="Times New Roman" w:hAnsi="Times New Roman" w:cs="Times New Roman"/>
        </w:rPr>
        <w:t>Scenario C — Trident FLNG catalyst: Trident’s proposed FLNG for Moho gas proceeds, adding flexible gas monetisation and lifting associated-gas recovery across the legacy TotalEnergies/Trident portfolio.</w:t>
      </w:r>
    </w:p>
    <w:p w14:paraId="55FD6075" w14:textId="77777777" w:rsidR="00B96DD0" w:rsidRPr="00B47C05" w:rsidRDefault="00000000" w:rsidP="00B47C05">
      <w:pPr>
        <w:pStyle w:val="Heading2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14" w:name="watch-list-indicators"/>
      <w:bookmarkEnd w:id="13"/>
      <w:r w:rsidRPr="00B47C05">
        <w:rPr>
          <w:rFonts w:ascii="Times New Roman" w:hAnsi="Times New Roman" w:cs="Times New Roman"/>
          <w:color w:val="auto"/>
          <w:sz w:val="24"/>
          <w:szCs w:val="24"/>
        </w:rPr>
        <w:t>9. Watch-List Indicators</w:t>
      </w:r>
    </w:p>
    <w:p w14:paraId="746A5DB0" w14:textId="77777777" w:rsidR="00B96DD0" w:rsidRPr="00E15135" w:rsidRDefault="00000000" w:rsidP="00B47C05">
      <w:pPr>
        <w:pStyle w:val="Compact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E15135">
        <w:rPr>
          <w:rFonts w:ascii="Times New Roman" w:hAnsi="Times New Roman" w:cs="Times New Roman"/>
        </w:rPr>
        <w:t>Nguya FLNG first cargo (announced Feb 2026) — confirmation of Phase 2 ramp</w:t>
      </w:r>
    </w:p>
    <w:p w14:paraId="2F992C70" w14:textId="77777777" w:rsidR="00B96DD0" w:rsidRPr="00E15135" w:rsidRDefault="00000000" w:rsidP="00B47C05">
      <w:pPr>
        <w:pStyle w:val="Compact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E15135">
        <w:rPr>
          <w:rFonts w:ascii="Times New Roman" w:hAnsi="Times New Roman" w:cs="Times New Roman"/>
        </w:rPr>
        <w:t>Gas Code enactment and national gas company launch</w:t>
      </w:r>
    </w:p>
    <w:p w14:paraId="224A9623" w14:textId="77777777" w:rsidR="00B96DD0" w:rsidRPr="00E15135" w:rsidRDefault="00000000" w:rsidP="00B47C05">
      <w:pPr>
        <w:pStyle w:val="Compact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E15135">
        <w:rPr>
          <w:rFonts w:ascii="Times New Roman" w:hAnsi="Times New Roman" w:cs="Times New Roman"/>
        </w:rPr>
        <w:t>Banga Kayo train ramp to 5 mcm/d and actual LPG/butane output</w:t>
      </w:r>
    </w:p>
    <w:p w14:paraId="226E8134" w14:textId="77777777" w:rsidR="00B96DD0" w:rsidRPr="00E15135" w:rsidRDefault="00000000" w:rsidP="00B47C05">
      <w:pPr>
        <w:pStyle w:val="Compact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E15135">
        <w:rPr>
          <w:rFonts w:ascii="Times New Roman" w:hAnsi="Times New Roman" w:cs="Times New Roman"/>
        </w:rPr>
        <w:t>Trident FLNG FID and Nkossa asset-rejuvenation drilling results</w:t>
      </w:r>
    </w:p>
    <w:p w14:paraId="045F5C1F" w14:textId="77777777" w:rsidR="00B96DD0" w:rsidRPr="00E15135" w:rsidRDefault="00000000" w:rsidP="00B47C05">
      <w:pPr>
        <w:pStyle w:val="Compact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E15135">
        <w:rPr>
          <w:rFonts w:ascii="Times New Roman" w:hAnsi="Times New Roman" w:cs="Times New Roman"/>
        </w:rPr>
        <w:t>IMF subsidy-reform milestones — trajectory of butane price liberalisation</w:t>
      </w:r>
    </w:p>
    <w:p w14:paraId="595DB587" w14:textId="77777777" w:rsidR="00B96DD0" w:rsidRPr="00B47C05" w:rsidRDefault="00000000" w:rsidP="00B47C05">
      <w:pPr>
        <w:pStyle w:val="Compact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47C05">
        <w:rPr>
          <w:rFonts w:ascii="Times New Roman" w:hAnsi="Times New Roman" w:cs="Times New Roman"/>
        </w:rPr>
        <w:lastRenderedPageBreak/>
        <w:t xml:space="preserve">Any operator disclosure of </w:t>
      </w:r>
      <w:r w:rsidRPr="003661AC">
        <w:rPr>
          <w:rFonts w:ascii="Times New Roman" w:hAnsi="Times New Roman" w:cs="Times New Roman"/>
        </w:rPr>
        <w:t>GOR / C3+ composition / Nkossa LPG tonnage (</w:t>
      </w:r>
      <w:r w:rsidRPr="00B47C05">
        <w:rPr>
          <w:rFonts w:ascii="Times New Roman" w:hAnsi="Times New Roman" w:cs="Times New Roman"/>
        </w:rPr>
        <w:t>would close the key data gaps)</w:t>
      </w:r>
    </w:p>
    <w:p w14:paraId="7B09D295" w14:textId="77777777" w:rsidR="00B96DD0" w:rsidRPr="00B47C05" w:rsidRDefault="00000000" w:rsidP="00B47C05">
      <w:pPr>
        <w:pStyle w:val="Heading2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15" w:name="dated-figures-table-consolidated"/>
      <w:bookmarkEnd w:id="14"/>
      <w:r w:rsidRPr="00B47C05">
        <w:rPr>
          <w:rFonts w:ascii="Times New Roman" w:hAnsi="Times New Roman" w:cs="Times New Roman"/>
          <w:color w:val="auto"/>
          <w:sz w:val="24"/>
          <w:szCs w:val="24"/>
        </w:rPr>
        <w:t>10. Dated Figures Table (consolidated)</w:t>
      </w:r>
    </w:p>
    <w:tbl>
      <w:tblPr>
        <w:tblStyle w:val="PlainTable2"/>
        <w:tblW w:w="5000" w:type="pct"/>
        <w:tblLayout w:type="fixed"/>
        <w:tblLook w:val="0020" w:firstRow="1" w:lastRow="0" w:firstColumn="0" w:lastColumn="0" w:noHBand="0" w:noVBand="0"/>
      </w:tblPr>
      <w:tblGrid>
        <w:gridCol w:w="2394"/>
        <w:gridCol w:w="2394"/>
        <w:gridCol w:w="2394"/>
        <w:gridCol w:w="2394"/>
      </w:tblGrid>
      <w:tr w:rsidR="00B47C05" w:rsidRPr="00B47C05" w14:paraId="552A0FC1" w14:textId="77777777" w:rsidTr="003661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</w:tcPr>
          <w:p w14:paraId="42E09677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Metric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80" w:type="dxa"/>
          </w:tcPr>
          <w:p w14:paraId="3CF92248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Value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</w:tcPr>
          <w:p w14:paraId="3CA4EFD6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Year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80" w:type="dxa"/>
          </w:tcPr>
          <w:p w14:paraId="1E91A9C1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Source</w:t>
            </w:r>
          </w:p>
        </w:tc>
      </w:tr>
      <w:tr w:rsidR="00B47C05" w:rsidRPr="00B47C05" w14:paraId="29C809DC" w14:textId="77777777" w:rsidTr="00366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</w:tcPr>
          <w:p w14:paraId="49AB3342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Proved gas reserves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80" w:type="dxa"/>
          </w:tcPr>
          <w:p w14:paraId="47DA4424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~10 Tcf / 283 bcm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</w:tcPr>
          <w:p w14:paraId="1B74F8C4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80" w:type="dxa"/>
          </w:tcPr>
          <w:p w14:paraId="717828F4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EIA/OGJ</w:t>
            </w:r>
          </w:p>
        </w:tc>
      </w:tr>
      <w:tr w:rsidR="00B47C05" w:rsidRPr="00B47C05" w14:paraId="0BF5DAC9" w14:textId="77777777" w:rsidTr="003661A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</w:tcPr>
          <w:p w14:paraId="7A2F0214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Gas flared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80" w:type="dxa"/>
          </w:tcPr>
          <w:p w14:paraId="786FAC34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~64 Bcf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</w:tcPr>
          <w:p w14:paraId="6F2E394E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80" w:type="dxa"/>
          </w:tcPr>
          <w:p w14:paraId="5B594D43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World Bank via EIA</w:t>
            </w:r>
          </w:p>
        </w:tc>
      </w:tr>
      <w:tr w:rsidR="00B47C05" w:rsidRPr="00B47C05" w14:paraId="63298D79" w14:textId="77777777" w:rsidTr="00366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</w:tcPr>
          <w:p w14:paraId="71D70385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Tango FLNG capacity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80" w:type="dxa"/>
          </w:tcPr>
          <w:p w14:paraId="60AEEF7D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0.6 MTPA / ~29 Bcf-yr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</w:tcPr>
          <w:p w14:paraId="32267716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80" w:type="dxa"/>
          </w:tcPr>
          <w:p w14:paraId="08B35752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EIA</w:t>
            </w:r>
          </w:p>
        </w:tc>
      </w:tr>
      <w:tr w:rsidR="00B47C05" w:rsidRPr="00B47C05" w14:paraId="3F62396E" w14:textId="77777777" w:rsidTr="003661A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</w:tcPr>
          <w:p w14:paraId="4C254CFF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47C05">
              <w:rPr>
                <w:rFonts w:ascii="Times New Roman" w:hAnsi="Times New Roman" w:cs="Times New Roman"/>
              </w:rPr>
              <w:t>Nguya</w:t>
            </w:r>
            <w:proofErr w:type="spellEnd"/>
            <w:r w:rsidRPr="00B47C05">
              <w:rPr>
                <w:rFonts w:ascii="Times New Roman" w:hAnsi="Times New Roman" w:cs="Times New Roman"/>
              </w:rPr>
              <w:t xml:space="preserve"> FLNG capacity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80" w:type="dxa"/>
          </w:tcPr>
          <w:p w14:paraId="4E07BE02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2.4 MTPA / ~115 Bcf-yr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</w:tcPr>
          <w:p w14:paraId="1A1137BC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80" w:type="dxa"/>
          </w:tcPr>
          <w:p w14:paraId="2193D515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EIA</w:t>
            </w:r>
          </w:p>
        </w:tc>
      </w:tr>
      <w:tr w:rsidR="00B47C05" w:rsidRPr="00B47C05" w14:paraId="7BB939D7" w14:textId="77777777" w:rsidTr="00366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</w:tcPr>
          <w:p w14:paraId="364210A5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Congo LNG total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80" w:type="dxa"/>
          </w:tcPr>
          <w:p w14:paraId="1F85620F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up to 3 MTPA / ~4.5 bcm-yr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</w:tcPr>
          <w:p w14:paraId="5B0FA44D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80" w:type="dxa"/>
          </w:tcPr>
          <w:p w14:paraId="021F096D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Eni</w:t>
            </w:r>
          </w:p>
        </w:tc>
      </w:tr>
      <w:tr w:rsidR="00B47C05" w:rsidRPr="00B47C05" w14:paraId="7D1F1E4E" w14:textId="77777777" w:rsidTr="003661A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</w:tcPr>
          <w:p w14:paraId="0BECE37F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First LNG cargo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80" w:type="dxa"/>
          </w:tcPr>
          <w:p w14:paraId="19E04965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Feb 2024 (to Italy)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</w:tcPr>
          <w:p w14:paraId="4C6C5B64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80" w:type="dxa"/>
          </w:tcPr>
          <w:p w14:paraId="73FAF1E7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EIA</w:t>
            </w:r>
          </w:p>
        </w:tc>
      </w:tr>
      <w:tr w:rsidR="00B47C05" w:rsidRPr="00B47C05" w14:paraId="6BF143FA" w14:textId="77777777" w:rsidTr="00366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</w:tcPr>
          <w:p w14:paraId="2DDA8C0D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LNG cargoes by Aug 2025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80" w:type="dxa"/>
          </w:tcPr>
          <w:p w14:paraId="343B8FFC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</w:tcPr>
          <w:p w14:paraId="6C0F9867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80" w:type="dxa"/>
          </w:tcPr>
          <w:p w14:paraId="2D5689CD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Eni</w:t>
            </w:r>
          </w:p>
        </w:tc>
      </w:tr>
      <w:tr w:rsidR="00B47C05" w:rsidRPr="00B47C05" w14:paraId="39391C35" w14:textId="77777777" w:rsidTr="003661A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</w:tcPr>
          <w:p w14:paraId="21C9CB1A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 xml:space="preserve">Trident </w:t>
            </w:r>
            <w:proofErr w:type="spellStart"/>
            <w:r w:rsidRPr="00B47C05">
              <w:rPr>
                <w:rFonts w:ascii="Times New Roman" w:hAnsi="Times New Roman" w:cs="Times New Roman"/>
              </w:rPr>
              <w:t>Nkossa</w:t>
            </w:r>
            <w:proofErr w:type="spellEnd"/>
            <w:r w:rsidRPr="00B47C05">
              <w:rPr>
                <w:rFonts w:ascii="Times New Roman" w:hAnsi="Times New Roman" w:cs="Times New Roman"/>
              </w:rPr>
              <w:t>/</w:t>
            </w:r>
            <w:proofErr w:type="spellStart"/>
            <w:r w:rsidRPr="00B47C05">
              <w:rPr>
                <w:rFonts w:ascii="Times New Roman" w:hAnsi="Times New Roman" w:cs="Times New Roman"/>
              </w:rPr>
              <w:t>Nsoko</w:t>
            </w:r>
            <w:proofErr w:type="spellEnd"/>
            <w:r w:rsidRPr="00B47C05">
              <w:rPr>
                <w:rFonts w:ascii="Times New Roman" w:hAnsi="Times New Roman" w:cs="Times New Roman"/>
              </w:rPr>
              <w:t xml:space="preserve"> stake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80" w:type="dxa"/>
          </w:tcPr>
          <w:p w14:paraId="558172E5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85% operated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</w:tcPr>
          <w:p w14:paraId="62219BD9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80" w:type="dxa"/>
          </w:tcPr>
          <w:p w14:paraId="3E64B9CF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Trident</w:t>
            </w:r>
          </w:p>
        </w:tc>
      </w:tr>
      <w:tr w:rsidR="00B47C05" w:rsidRPr="00B47C05" w14:paraId="3E41629B" w14:textId="77777777" w:rsidTr="00366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</w:tcPr>
          <w:p w14:paraId="5EFBE735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Moho Nord output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80" w:type="dxa"/>
          </w:tcPr>
          <w:p w14:paraId="00E1C0D0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~140,000 b/d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</w:tcPr>
          <w:p w14:paraId="6FAE95E5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80" w:type="dxa"/>
          </w:tcPr>
          <w:p w14:paraId="17B96416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AEC</w:t>
            </w:r>
          </w:p>
        </w:tc>
      </w:tr>
      <w:tr w:rsidR="00B47C05" w:rsidRPr="00B47C05" w14:paraId="3BA99017" w14:textId="77777777" w:rsidTr="003661A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</w:tcPr>
          <w:p w14:paraId="6D709A24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Banga Kayo gas trains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80" w:type="dxa"/>
          </w:tcPr>
          <w:p w14:paraId="13D63C02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1 → 5 mcm/d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</w:tcPr>
          <w:p w14:paraId="1CC8E5FB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80" w:type="dxa"/>
          </w:tcPr>
          <w:p w14:paraId="622B8C13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IntelliNews</w:t>
            </w:r>
          </w:p>
        </w:tc>
      </w:tr>
      <w:tr w:rsidR="00B47C05" w:rsidRPr="00B47C05" w14:paraId="66C3C11C" w14:textId="77777777" w:rsidTr="00366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</w:tcPr>
          <w:p w14:paraId="73099E5D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Extractive share of govt revenue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80" w:type="dxa"/>
          </w:tcPr>
          <w:p w14:paraId="530D5816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66.4%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</w:tcPr>
          <w:p w14:paraId="41F91909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80" w:type="dxa"/>
          </w:tcPr>
          <w:p w14:paraId="0C424E55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EITI</w:t>
            </w:r>
          </w:p>
        </w:tc>
      </w:tr>
      <w:tr w:rsidR="00B47C05" w:rsidRPr="00B47C05" w14:paraId="556F89B1" w14:textId="77777777" w:rsidTr="003661A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</w:tcPr>
          <w:p w14:paraId="7ED42BC8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Fuel subsidy cost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80" w:type="dxa"/>
          </w:tcPr>
          <w:p w14:paraId="2CA084FA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4.5% GDP (2022) / 2.5% GDP (2023)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</w:tcPr>
          <w:p w14:paraId="251A4543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80" w:type="dxa"/>
          </w:tcPr>
          <w:p w14:paraId="7BDFD807" w14:textId="77777777" w:rsidR="00B96DD0" w:rsidRPr="00B47C05" w:rsidRDefault="00000000" w:rsidP="00B47C05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B47C05">
              <w:rPr>
                <w:rFonts w:ascii="Times New Roman" w:hAnsi="Times New Roman" w:cs="Times New Roman"/>
              </w:rPr>
              <w:t>IMF TA</w:t>
            </w:r>
          </w:p>
        </w:tc>
      </w:tr>
    </w:tbl>
    <w:p w14:paraId="7762BEE5" w14:textId="131FA362" w:rsidR="00B96DD0" w:rsidRPr="00B47C05" w:rsidRDefault="00B96DD0" w:rsidP="003661AC">
      <w:pPr>
        <w:pStyle w:val="Heading2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16" w:name="sources"/>
      <w:bookmarkEnd w:id="0"/>
      <w:bookmarkEnd w:id="15"/>
      <w:bookmarkEnd w:id="16"/>
    </w:p>
    <w:sectPr w:rsidR="00B96DD0" w:rsidRPr="00B47C05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9ACE8" w14:textId="77777777" w:rsidR="000A1EAD" w:rsidRDefault="000A1EAD">
      <w:pPr>
        <w:spacing w:after="0"/>
      </w:pPr>
      <w:r>
        <w:separator/>
      </w:r>
    </w:p>
  </w:endnote>
  <w:endnote w:type="continuationSeparator" w:id="0">
    <w:p w14:paraId="65F74D97" w14:textId="77777777" w:rsidR="000A1EAD" w:rsidRDefault="000A1EA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D5DF1" w14:textId="77777777" w:rsidR="000A1EAD" w:rsidRDefault="000A1EAD">
      <w:r>
        <w:separator/>
      </w:r>
    </w:p>
  </w:footnote>
  <w:footnote w:type="continuationSeparator" w:id="0">
    <w:p w14:paraId="23F7C2D3" w14:textId="77777777" w:rsidR="000A1EAD" w:rsidRDefault="000A1E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23A27A92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" w15:restartNumberingAfterBreak="0">
    <w:nsid w:val="0000A991"/>
    <w:multiLevelType w:val="multilevel"/>
    <w:tmpl w:val="52E8201A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2" w15:restartNumberingAfterBreak="0">
    <w:nsid w:val="00A99411"/>
    <w:multiLevelType w:val="multilevel"/>
    <w:tmpl w:val="305ECDBE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" w16cid:durableId="1254971503">
    <w:abstractNumId w:val="0"/>
  </w:num>
  <w:num w:numId="2" w16cid:durableId="1694570270">
    <w:abstractNumId w:val="1"/>
  </w:num>
  <w:num w:numId="3" w16cid:durableId="1817141575">
    <w:abstractNumId w:val="1"/>
  </w:num>
  <w:num w:numId="4" w16cid:durableId="791094252">
    <w:abstractNumId w:val="1"/>
  </w:num>
  <w:num w:numId="5" w16cid:durableId="1609465218">
    <w:abstractNumId w:val="1"/>
  </w:num>
  <w:num w:numId="6" w16cid:durableId="309749150">
    <w:abstractNumId w:val="1"/>
  </w:num>
  <w:num w:numId="7" w16cid:durableId="1133013760">
    <w:abstractNumId w:val="1"/>
  </w:num>
  <w:num w:numId="8" w16cid:durableId="502165116">
    <w:abstractNumId w:val="1"/>
  </w:num>
  <w:num w:numId="9" w16cid:durableId="188397670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08744707">
    <w:abstractNumId w:val="1"/>
  </w:num>
  <w:num w:numId="11" w16cid:durableId="522406049">
    <w:abstractNumId w:val="1"/>
  </w:num>
  <w:num w:numId="12" w16cid:durableId="6700652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6DD0"/>
    <w:rsid w:val="000A1EAD"/>
    <w:rsid w:val="001C6CD2"/>
    <w:rsid w:val="003661AC"/>
    <w:rsid w:val="00743078"/>
    <w:rsid w:val="00B47C05"/>
    <w:rsid w:val="00B96DD0"/>
    <w:rsid w:val="00E15135"/>
    <w:rsid w:val="00ED2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04214"/>
  <w15:docId w15:val="{C8ADB83A-9CA9-46AD-9D0E-9A59E5EC9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table" w:styleId="PlainTable2">
    <w:name w:val="Plain Table 2"/>
    <w:basedOn w:val="TableNormal"/>
    <w:rsid w:val="00B47C05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trident-energy.com/operations/republic-of-congo/" TargetMode="External"/><Relationship Id="rId18" Type="http://schemas.openxmlformats.org/officeDocument/2006/relationships/hyperlink" Target="https://www.eni.com/en-IT/media/press-release/2025/08/nguya-flng-ready-for-phase-2-of-congo-lng-project.html" TargetMode="External"/><Relationship Id="rId26" Type="http://schemas.openxmlformats.org/officeDocument/2006/relationships/hyperlink" Target="https://totalenergies.com/company/projects/oil/moho-nord-offshore-republic-congo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www.intellinews.com/snpc-to-officially-present-congo-s-gas-master-plan-at-aew2024-345590/" TargetMode="External"/><Relationship Id="rId34" Type="http://schemas.openxmlformats.org/officeDocument/2006/relationships/hyperlink" Target="https://worldoil.com/news/2025/3/25/republic-of-congo-s-snpc-unveils-new-gas-master-plan-to-optimize-hydrocarbons-potential/" TargetMode="External"/><Relationship Id="rId7" Type="http://schemas.openxmlformats.org/officeDocument/2006/relationships/hyperlink" Target="https://energychamber.org/republic-of-congo-lighting-the-way-for-african-oil-and-gas/" TargetMode="External"/><Relationship Id="rId12" Type="http://schemas.openxmlformats.org/officeDocument/2006/relationships/hyperlink" Target="https://www.gem.wiki/N%27Kossa_Marine_Oil_Field_(Republic_of_the_Congo)" TargetMode="External"/><Relationship Id="rId17" Type="http://schemas.openxmlformats.org/officeDocument/2006/relationships/hyperlink" Target="https://www.eia.gov/todayinenergy/detail.php?id=62143" TargetMode="External"/><Relationship Id="rId25" Type="http://schemas.openxmlformats.org/officeDocument/2006/relationships/hyperlink" Target="https://energychamber.org/republic-of-congo-lighting-the-way-for-african-oil-and-gas/" TargetMode="External"/><Relationship Id="rId33" Type="http://schemas.openxmlformats.org/officeDocument/2006/relationships/hyperlink" Target="https://documents.worldbank.org/en/publication/documents-reports/documentdetail/314861468202450985" TargetMode="External"/><Relationship Id="rId38" Type="http://schemas.openxmlformats.org/officeDocument/2006/relationships/hyperlink" Target="https://www.intellinews.com/snpc-to-officially-present-congo-s-gas-master-plan-at-aew2024-345590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actemium.com/news/congo-djeno-oil-terminal-converts-furnaces-to-recovered-gas/" TargetMode="External"/><Relationship Id="rId20" Type="http://schemas.openxmlformats.org/officeDocument/2006/relationships/hyperlink" Target="https://www.eni.com/en-IT/actions/global-activities/republic-congo/lng.html" TargetMode="External"/><Relationship Id="rId29" Type="http://schemas.openxmlformats.org/officeDocument/2006/relationships/hyperlink" Target="https://www.imf.org/en/publications/technical-assistance-reports/issues/2025/08/01/republic-of-congo-technical-assistance-report-assessment-and-reform-of-petroleum-product-569237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digitalrefining.com/article/1001372/operational-feedback-from-the-nkossa-drizo-gas-dehydration-unit-offshore-congo" TargetMode="External"/><Relationship Id="rId24" Type="http://schemas.openxmlformats.org/officeDocument/2006/relationships/hyperlink" Target="https://gasoutlook.com/analysis/congos-23bn-deal-with-chinas-wing-wah-raises-concerns/" TargetMode="External"/><Relationship Id="rId32" Type="http://schemas.openxmlformats.org/officeDocument/2006/relationships/hyperlink" Target="https://www.lemonde.fr/en/le-monde-africa/article/2023/10/18/in-africa-governments-cut-back-on-fuel-subsidies_6183341_124.html" TargetMode="External"/><Relationship Id="rId37" Type="http://schemas.openxmlformats.org/officeDocument/2006/relationships/hyperlink" Target="https://energychamber.org/republic-of-congo-lighting-the-way-for-african-oil-and-gas/" TargetMode="Externa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jpt.spe.org/twa/congo-section-news" TargetMode="External"/><Relationship Id="rId23" Type="http://schemas.openxmlformats.org/officeDocument/2006/relationships/hyperlink" Target="https://www.intellinews.com/snpc-to-officially-present-congo-s-gas-master-plan-at-aew2024-345590/" TargetMode="External"/><Relationship Id="rId28" Type="http://schemas.openxmlformats.org/officeDocument/2006/relationships/hyperlink" Target="https://worldoil.com/news/2026/6/23/congo-advances-lng-deepwater-projects-to-attract-upstream-investment/" TargetMode="External"/><Relationship Id="rId36" Type="http://schemas.openxmlformats.org/officeDocument/2006/relationships/hyperlink" Target="https://www.intellinews.com/snpc-to-officially-present-congo-s-gas-master-plan-at-aew2024-345590/" TargetMode="External"/><Relationship Id="rId10" Type="http://schemas.openxmlformats.org/officeDocument/2006/relationships/hyperlink" Target="https://www.trident-energy.com/operations/republic-of-congo/" TargetMode="External"/><Relationship Id="rId19" Type="http://schemas.openxmlformats.org/officeDocument/2006/relationships/hyperlink" Target="https://www.eni.com/en-IT/media/press-release/2025/12/pr-eni-launches-phase-2-congo-lng.html" TargetMode="External"/><Relationship Id="rId31" Type="http://schemas.openxmlformats.org/officeDocument/2006/relationships/hyperlink" Target="https://www.tralac.org/documents/resources/external-relations/wto/4991-wto-trade-policy-review-cemac-annex-2-congo-2023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igitalrefining.com/article/1001372/operational-feedback-from-the-nkossa-drizo-gas-dehydration-unit-offshore-congo" TargetMode="External"/><Relationship Id="rId14" Type="http://schemas.openxmlformats.org/officeDocument/2006/relationships/hyperlink" Target="https://energychamber.org/republic-of-congo-lighting-the-way-for-african-oil-and-gas/" TargetMode="External"/><Relationship Id="rId22" Type="http://schemas.openxmlformats.org/officeDocument/2006/relationships/hyperlink" Target="https://energychamber.org/republic-of-congo-lighting-the-way-for-african-oil-and-gas/" TargetMode="External"/><Relationship Id="rId27" Type="http://schemas.openxmlformats.org/officeDocument/2006/relationships/hyperlink" Target="https://www.trident-energy.com/operations/republic-of-congo/" TargetMode="External"/><Relationship Id="rId30" Type="http://schemas.openxmlformats.org/officeDocument/2006/relationships/hyperlink" Target="https://www.worldbank.org/en/country/congo/publication/economic-update-for-the-republic-of-congo-reforming-fossil-fuel-subsidies" TargetMode="External"/><Relationship Id="rId35" Type="http://schemas.openxmlformats.org/officeDocument/2006/relationships/hyperlink" Target="https://newsbase.com/story/snpc-presents-gas-master-plan-at-congo-energy-and-investment-forum-in-brazzaville-373604" TargetMode="External"/><Relationship Id="rId8" Type="http://schemas.openxmlformats.org/officeDocument/2006/relationships/hyperlink" Target="https://www.eia.gov/todayinenergy/detail.php?id=62143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1918</Words>
  <Characters>10938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Administrator</cp:lastModifiedBy>
  <cp:revision>3</cp:revision>
  <dcterms:created xsi:type="dcterms:W3CDTF">2026-08-26T09:48:00Z</dcterms:created>
  <dcterms:modified xsi:type="dcterms:W3CDTF">2026-08-26T12:17:00Z</dcterms:modified>
</cp:coreProperties>
</file>