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9B590" w14:textId="6A59ACD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 xml:space="preserve">Natural Gas-Fired Power Generation as a Domestic </w:t>
      </w:r>
      <w:r w:rsidRPr="00D662C2">
        <w:rPr>
          <w:rFonts w:ascii="Times New Roman" w:hAnsi="Times New Roman" w:cs="Times New Roman"/>
          <w:b/>
          <w:bCs/>
        </w:rPr>
        <w:t>Monetization</w:t>
      </w:r>
      <w:r w:rsidRPr="00D662C2">
        <w:rPr>
          <w:rFonts w:ascii="Times New Roman" w:hAnsi="Times New Roman" w:cs="Times New Roman"/>
          <w:b/>
          <w:bCs/>
        </w:rPr>
        <w:t xml:space="preserve"> Pathway for Congo's Offshore Gas</w:t>
      </w:r>
    </w:p>
    <w:p w14:paraId="2DC7220A" w14:textId="734247E9" w:rsidR="00D662C2" w:rsidRPr="00D662C2" w:rsidRDefault="00D662C2" w:rsidP="00D662C2">
      <w:pPr>
        <w:jc w:val="both"/>
        <w:rPr>
          <w:rFonts w:ascii="Times New Roman" w:hAnsi="Times New Roman" w:cs="Times New Roman"/>
        </w:rPr>
      </w:pPr>
    </w:p>
    <w:p w14:paraId="4B71B379"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Executive Summary</w:t>
      </w:r>
    </w:p>
    <w:p w14:paraId="63FEFAA1" w14:textId="6F115CF6"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The Republic of Congo's gas sector has been transformed by the ramp-up of Congo LNG, which reached 3 MTPA of liquefaction capacity (Tango FLNG, 0.6 Mtpa, operating since February 2024, plus </w:t>
      </w:r>
      <w:proofErr w:type="spellStart"/>
      <w:r w:rsidRPr="00D662C2">
        <w:rPr>
          <w:rFonts w:ascii="Times New Roman" w:hAnsi="Times New Roman" w:cs="Times New Roman"/>
        </w:rPr>
        <w:t>Nguya</w:t>
      </w:r>
      <w:proofErr w:type="spellEnd"/>
      <w:r w:rsidRPr="00D662C2">
        <w:rPr>
          <w:rFonts w:ascii="Times New Roman" w:hAnsi="Times New Roman" w:cs="Times New Roman"/>
        </w:rPr>
        <w:t xml:space="preserve"> FLNG, 2.4 Mtpa, commercial exports from 7 February 2026), all sourced from the Marine XII license (</w:t>
      </w:r>
      <w:proofErr w:type="spellStart"/>
      <w:r w:rsidRPr="00D662C2">
        <w:rPr>
          <w:rFonts w:ascii="Times New Roman" w:hAnsi="Times New Roman" w:cs="Times New Roman"/>
        </w:rPr>
        <w:t>Nené</w:t>
      </w:r>
      <w:proofErr w:type="spellEnd"/>
      <w:r w:rsidRPr="00D662C2">
        <w:rPr>
          <w:rFonts w:ascii="Times New Roman" w:hAnsi="Times New Roman" w:cs="Times New Roman"/>
        </w:rPr>
        <w:t xml:space="preserve"> and </w:t>
      </w:r>
      <w:proofErr w:type="spellStart"/>
      <w:r w:rsidRPr="00D662C2">
        <w:rPr>
          <w:rFonts w:ascii="Times New Roman" w:hAnsi="Times New Roman" w:cs="Times New Roman"/>
        </w:rPr>
        <w:t>Litchendjili</w:t>
      </w:r>
      <w:proofErr w:type="spellEnd"/>
      <w:r w:rsidRPr="00D662C2">
        <w:rPr>
          <w:rFonts w:ascii="Times New Roman" w:hAnsi="Times New Roman" w:cs="Times New Roman"/>
        </w:rPr>
        <w:t xml:space="preserve"> fields). At the same time, Eni continues to supply gas to the Congo Power Plant (Centrale </w:t>
      </w:r>
      <w:proofErr w:type="spellStart"/>
      <w:r w:rsidRPr="00D662C2">
        <w:rPr>
          <w:rFonts w:ascii="Times New Roman" w:hAnsi="Times New Roman" w:cs="Times New Roman"/>
        </w:rPr>
        <w:t>Électrique</w:t>
      </w:r>
      <w:proofErr w:type="spellEnd"/>
      <w:r w:rsidRPr="00D662C2">
        <w:rPr>
          <w:rFonts w:ascii="Times New Roman" w:hAnsi="Times New Roman" w:cs="Times New Roman"/>
        </w:rPr>
        <w:t xml:space="preserve"> du Congo, CEC), which the company states accounts for around 70% of national electricity generation. This creates a direct, quantifiable competition for the same upstream gas stream between export </w:t>
      </w:r>
      <w:r w:rsidRPr="00D662C2">
        <w:rPr>
          <w:rFonts w:ascii="Times New Roman" w:hAnsi="Times New Roman" w:cs="Times New Roman"/>
        </w:rPr>
        <w:t>monetization</w:t>
      </w:r>
      <w:r w:rsidRPr="00D662C2">
        <w:rPr>
          <w:rFonts w:ascii="Times New Roman" w:hAnsi="Times New Roman" w:cs="Times New Roman"/>
        </w:rPr>
        <w:t xml:space="preserve"> (LNG, at internationally-linked prices) and domestic </w:t>
      </w:r>
      <w:r w:rsidRPr="00D662C2">
        <w:rPr>
          <w:rFonts w:ascii="Times New Roman" w:hAnsi="Times New Roman" w:cs="Times New Roman"/>
        </w:rPr>
        <w:t>monetization</w:t>
      </w:r>
      <w:r w:rsidRPr="00D662C2">
        <w:rPr>
          <w:rFonts w:ascii="Times New Roman" w:hAnsi="Times New Roman" w:cs="Times New Roman"/>
        </w:rPr>
        <w:t xml:space="preserve"> (electricity, at regulated/</w:t>
      </w:r>
      <w:r w:rsidRPr="00D662C2">
        <w:rPr>
          <w:rFonts w:ascii="Times New Roman" w:hAnsi="Times New Roman" w:cs="Times New Roman"/>
        </w:rPr>
        <w:t>subsidized</w:t>
      </w:r>
      <w:r w:rsidRPr="00D662C2">
        <w:rPr>
          <w:rFonts w:ascii="Times New Roman" w:hAnsi="Times New Roman" w:cs="Times New Roman"/>
        </w:rPr>
        <w:t xml:space="preserve"> tariffs, but with high socio-economic value given Congo's ~50% national and ~12% rural electricity access rates). This note assesses that trade-off quantitatively and finds that the two uses are not, in the near term, in direct volumetric competition</w:t>
      </w:r>
      <w:r>
        <w:rPr>
          <w:rFonts w:ascii="Times New Roman" w:hAnsi="Times New Roman" w:cs="Times New Roman"/>
        </w:rPr>
        <w:t xml:space="preserve"> </w:t>
      </w:r>
      <w:r w:rsidRPr="00D662C2">
        <w:rPr>
          <w:rFonts w:ascii="Times New Roman" w:hAnsi="Times New Roman" w:cs="Times New Roman"/>
        </w:rPr>
        <w:t>LNG feedstock is sourced from newly developed offshore volumes (</w:t>
      </w:r>
      <w:proofErr w:type="spellStart"/>
      <w:r w:rsidRPr="00D662C2">
        <w:rPr>
          <w:rFonts w:ascii="Times New Roman" w:hAnsi="Times New Roman" w:cs="Times New Roman"/>
        </w:rPr>
        <w:t>Nené</w:t>
      </w:r>
      <w:proofErr w:type="spellEnd"/>
      <w:r w:rsidRPr="00D662C2">
        <w:rPr>
          <w:rFonts w:ascii="Times New Roman" w:hAnsi="Times New Roman" w:cs="Times New Roman"/>
        </w:rPr>
        <w:t>/</w:t>
      </w:r>
      <w:proofErr w:type="spellStart"/>
      <w:r w:rsidRPr="00D662C2">
        <w:rPr>
          <w:rFonts w:ascii="Times New Roman" w:hAnsi="Times New Roman" w:cs="Times New Roman"/>
        </w:rPr>
        <w:t>Litchendjili</w:t>
      </w:r>
      <w:proofErr w:type="spellEnd"/>
      <w:r w:rsidRPr="00D662C2">
        <w:rPr>
          <w:rFonts w:ascii="Times New Roman" w:hAnsi="Times New Roman" w:cs="Times New Roman"/>
        </w:rPr>
        <w:t xml:space="preserve">) that were substantially flared or reinjected before FLNG capture, while CEC/CED draw on a longer-standing </w:t>
      </w:r>
      <w:proofErr w:type="spellStart"/>
      <w:r w:rsidRPr="00D662C2">
        <w:rPr>
          <w:rFonts w:ascii="Times New Roman" w:hAnsi="Times New Roman" w:cs="Times New Roman"/>
        </w:rPr>
        <w:t>M'Boundi</w:t>
      </w:r>
      <w:proofErr w:type="spellEnd"/>
      <w:r w:rsidRPr="00D662C2">
        <w:rPr>
          <w:rFonts w:ascii="Times New Roman" w:hAnsi="Times New Roman" w:cs="Times New Roman"/>
        </w:rPr>
        <w:t xml:space="preserve">/Marine XII supply arrangement but that this </w:t>
      </w:r>
      <w:r w:rsidRPr="00D662C2">
        <w:rPr>
          <w:rFonts w:ascii="Times New Roman" w:hAnsi="Times New Roman" w:cs="Times New Roman"/>
        </w:rPr>
        <w:t>favorable</w:t>
      </w:r>
      <w:r w:rsidRPr="00D662C2">
        <w:rPr>
          <w:rFonts w:ascii="Times New Roman" w:hAnsi="Times New Roman" w:cs="Times New Roman"/>
        </w:rPr>
        <w:t xml:space="preserve"> position could tighten as CEC pursues a stated 35% gas-supply increase and if further domestic gas-to-power expansion (the CED expansion, and a proposed 700 MW/1,000 MW CEC pathway) proceeds alongside continued LNG ramp-up.</w:t>
      </w:r>
    </w:p>
    <w:p w14:paraId="47E1CBE1" w14:textId="0D48B583" w:rsidR="00D662C2" w:rsidRPr="00D662C2" w:rsidRDefault="00D662C2" w:rsidP="00D662C2">
      <w:pPr>
        <w:jc w:val="both"/>
        <w:rPr>
          <w:rFonts w:ascii="Times New Roman" w:hAnsi="Times New Roman" w:cs="Times New Roman"/>
        </w:rPr>
      </w:pPr>
    </w:p>
    <w:p w14:paraId="3C5744F7"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 Congo's Offshore Gas Resource and Domestic Gas Position</w:t>
      </w:r>
    </w:p>
    <w:p w14:paraId="7AFD837B"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1.1 Resource base</w:t>
      </w:r>
    </w:p>
    <w:p w14:paraId="6AA9F806"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The Republic of Congo held estimated proven natural gas reserves of approximately 10 </w:t>
      </w:r>
      <w:proofErr w:type="spellStart"/>
      <w:r w:rsidRPr="00D662C2">
        <w:rPr>
          <w:rFonts w:ascii="Times New Roman" w:hAnsi="Times New Roman" w:cs="Times New Roman"/>
        </w:rPr>
        <w:t>Tcf</w:t>
      </w:r>
      <w:proofErr w:type="spellEnd"/>
      <w:r w:rsidRPr="00D662C2">
        <w:rPr>
          <w:rFonts w:ascii="Times New Roman" w:hAnsi="Times New Roman" w:cs="Times New Roman"/>
        </w:rPr>
        <w:t xml:space="preserve"> (284 </w:t>
      </w:r>
      <w:proofErr w:type="spellStart"/>
      <w:r w:rsidRPr="00D662C2">
        <w:rPr>
          <w:rFonts w:ascii="Times New Roman" w:hAnsi="Times New Roman" w:cs="Times New Roman"/>
        </w:rPr>
        <w:t>bcm</w:t>
      </w:r>
      <w:proofErr w:type="spellEnd"/>
      <w:r w:rsidRPr="00D662C2">
        <w:rPr>
          <w:rFonts w:ascii="Times New Roman" w:hAnsi="Times New Roman" w:cs="Times New Roman"/>
        </w:rPr>
        <w:t>) as of early 2024 (Oil &amp; Gas Journal, cited by EIA; African Energy Chamber). The resource base is overwhelmingly associated gas from Congo's mature oil fields (</w:t>
      </w:r>
      <w:proofErr w:type="spellStart"/>
      <w:r w:rsidRPr="00D662C2">
        <w:rPr>
          <w:rFonts w:ascii="Times New Roman" w:hAnsi="Times New Roman" w:cs="Times New Roman"/>
        </w:rPr>
        <w:t>M'Boundi</w:t>
      </w:r>
      <w:proofErr w:type="spellEnd"/>
      <w:r w:rsidRPr="00D662C2">
        <w:rPr>
          <w:rFonts w:ascii="Times New Roman" w:hAnsi="Times New Roman" w:cs="Times New Roman"/>
        </w:rPr>
        <w:t xml:space="preserve"> onshore; Moho-Bilondo/Moho Nord, Marine XII and other offshore blocks), historically flared or reinjected at high rates: the World Bank/EIA cite 2022 flaring of approximately 64 Bcf, described as "more than four times [Congo's] domestic natural gas production" that year. By 2024, </w:t>
      </w:r>
      <w:proofErr w:type="spellStart"/>
      <w:r w:rsidRPr="00D662C2">
        <w:rPr>
          <w:rFonts w:ascii="Times New Roman" w:hAnsi="Times New Roman" w:cs="Times New Roman"/>
        </w:rPr>
        <w:t>Cedigaz</w:t>
      </w:r>
      <w:proofErr w:type="spellEnd"/>
      <w:r w:rsidRPr="00D662C2">
        <w:rPr>
          <w:rFonts w:ascii="Times New Roman" w:hAnsi="Times New Roman" w:cs="Times New Roman"/>
        </w:rPr>
        <w:t xml:space="preserve">-sourced data (via </w:t>
      </w:r>
      <w:proofErr w:type="spellStart"/>
      <w:r w:rsidRPr="00D662C2">
        <w:rPr>
          <w:rFonts w:ascii="Times New Roman" w:hAnsi="Times New Roman" w:cs="Times New Roman"/>
        </w:rPr>
        <w:t>Enerdata</w:t>
      </w:r>
      <w:proofErr w:type="spellEnd"/>
      <w:r w:rsidRPr="00D662C2">
        <w:rPr>
          <w:rFonts w:ascii="Times New Roman" w:hAnsi="Times New Roman" w:cs="Times New Roman"/>
        </w:rPr>
        <w:t xml:space="preserve">) indicate the disposition of gross gas production had improved to roughly 33% flared and 17% reinjected, implying that around half of gross production was still not being </w:t>
      </w:r>
      <w:proofErr w:type="spellStart"/>
      <w:r w:rsidRPr="00D662C2">
        <w:rPr>
          <w:rFonts w:ascii="Times New Roman" w:hAnsi="Times New Roman" w:cs="Times New Roman"/>
        </w:rPr>
        <w:t>monetised</w:t>
      </w:r>
      <w:proofErr w:type="spellEnd"/>
      <w:r w:rsidRPr="00D662C2">
        <w:rPr>
          <w:rFonts w:ascii="Times New Roman" w:hAnsi="Times New Roman" w:cs="Times New Roman"/>
        </w:rPr>
        <w:t xml:space="preserve"> as of 2024, even after Tango FLNG's February 2024 start-up. This is the core resource pool from which both LNG and gas-to-power growth would need to draw.</w:t>
      </w:r>
    </w:p>
    <w:p w14:paraId="0D111269" w14:textId="77777777" w:rsidR="00D662C2" w:rsidRDefault="00D662C2" w:rsidP="00D662C2">
      <w:pPr>
        <w:jc w:val="both"/>
        <w:rPr>
          <w:rFonts w:ascii="Times New Roman" w:hAnsi="Times New Roman" w:cs="Times New Roman"/>
          <w:b/>
          <w:bCs/>
        </w:rPr>
      </w:pPr>
    </w:p>
    <w:p w14:paraId="7AFF93C3" w14:textId="77777777" w:rsidR="00D662C2" w:rsidRDefault="00D662C2" w:rsidP="00D662C2">
      <w:pPr>
        <w:jc w:val="both"/>
        <w:rPr>
          <w:rFonts w:ascii="Times New Roman" w:hAnsi="Times New Roman" w:cs="Times New Roman"/>
          <w:b/>
          <w:bCs/>
        </w:rPr>
      </w:pPr>
    </w:p>
    <w:p w14:paraId="159CDF37" w14:textId="62FC1006"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lastRenderedPageBreak/>
        <w:t>1.2 Principal fields</w:t>
      </w:r>
    </w:p>
    <w:tbl>
      <w:tblPr>
        <w:tblStyle w:val="TableGrid"/>
        <w:tblW w:w="0" w:type="auto"/>
        <w:tblLook w:val="04A0" w:firstRow="1" w:lastRow="0" w:firstColumn="1" w:lastColumn="0" w:noHBand="0" w:noVBand="1"/>
      </w:tblPr>
      <w:tblGrid>
        <w:gridCol w:w="1042"/>
        <w:gridCol w:w="1142"/>
        <w:gridCol w:w="1101"/>
        <w:gridCol w:w="1620"/>
        <w:gridCol w:w="1142"/>
        <w:gridCol w:w="1362"/>
        <w:gridCol w:w="1941"/>
      </w:tblGrid>
      <w:tr w:rsidR="00D662C2" w:rsidRPr="00D662C2" w14:paraId="33860429" w14:textId="77777777" w:rsidTr="00D662C2">
        <w:tc>
          <w:tcPr>
            <w:tcW w:w="0" w:type="auto"/>
            <w:hideMark/>
          </w:tcPr>
          <w:p w14:paraId="3E2BFD13"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Field/Block</w:t>
            </w:r>
          </w:p>
        </w:tc>
        <w:tc>
          <w:tcPr>
            <w:tcW w:w="0" w:type="auto"/>
            <w:hideMark/>
          </w:tcPr>
          <w:p w14:paraId="38988F4E"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Operator</w:t>
            </w:r>
          </w:p>
        </w:tc>
        <w:tc>
          <w:tcPr>
            <w:tcW w:w="0" w:type="auto"/>
            <w:hideMark/>
          </w:tcPr>
          <w:p w14:paraId="4FBE6F2A"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Type</w:t>
            </w:r>
          </w:p>
        </w:tc>
        <w:tc>
          <w:tcPr>
            <w:tcW w:w="0" w:type="auto"/>
            <w:hideMark/>
          </w:tcPr>
          <w:p w14:paraId="57BB7134"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Reserves/Resources</w:t>
            </w:r>
          </w:p>
        </w:tc>
        <w:tc>
          <w:tcPr>
            <w:tcW w:w="0" w:type="auto"/>
            <w:hideMark/>
          </w:tcPr>
          <w:p w14:paraId="4CF2B4A7"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Current Production</w:t>
            </w:r>
          </w:p>
        </w:tc>
        <w:tc>
          <w:tcPr>
            <w:tcW w:w="0" w:type="auto"/>
            <w:hideMark/>
          </w:tcPr>
          <w:p w14:paraId="16093F91"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Use</w:t>
            </w:r>
          </w:p>
        </w:tc>
        <w:tc>
          <w:tcPr>
            <w:tcW w:w="0" w:type="auto"/>
            <w:hideMark/>
          </w:tcPr>
          <w:p w14:paraId="7BD8496E" w14:textId="77777777" w:rsidR="00D662C2" w:rsidRPr="00D662C2" w:rsidRDefault="00D662C2" w:rsidP="00D662C2">
            <w:pPr>
              <w:spacing w:after="160" w:line="276"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Development Status</w:t>
            </w:r>
          </w:p>
        </w:tc>
      </w:tr>
      <w:tr w:rsidR="00D662C2" w:rsidRPr="00D662C2" w14:paraId="7D7A84AC" w14:textId="77777777" w:rsidTr="00D662C2">
        <w:tc>
          <w:tcPr>
            <w:tcW w:w="0" w:type="auto"/>
            <w:hideMark/>
          </w:tcPr>
          <w:p w14:paraId="375A74D5"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Marine XII (</w:t>
            </w:r>
            <w:proofErr w:type="spellStart"/>
            <w:r w:rsidRPr="00D662C2">
              <w:rPr>
                <w:rFonts w:ascii="Times New Roman" w:hAnsi="Times New Roman" w:cs="Times New Roman"/>
                <w:sz w:val="22"/>
                <w:szCs w:val="22"/>
              </w:rPr>
              <w:t>Nené</w:t>
            </w:r>
            <w:proofErr w:type="spellEnd"/>
            <w:r w:rsidRPr="00D662C2">
              <w:rPr>
                <w:rFonts w:ascii="Times New Roman" w:hAnsi="Times New Roman" w:cs="Times New Roman"/>
                <w:sz w:val="22"/>
                <w:szCs w:val="22"/>
              </w:rPr>
              <w:t xml:space="preserve">, </w:t>
            </w:r>
            <w:proofErr w:type="spellStart"/>
            <w:r w:rsidRPr="00D662C2">
              <w:rPr>
                <w:rFonts w:ascii="Times New Roman" w:hAnsi="Times New Roman" w:cs="Times New Roman"/>
                <w:sz w:val="22"/>
                <w:szCs w:val="22"/>
              </w:rPr>
              <w:t>Litchendjili</w:t>
            </w:r>
            <w:proofErr w:type="spellEnd"/>
            <w:r w:rsidRPr="00D662C2">
              <w:rPr>
                <w:rFonts w:ascii="Times New Roman" w:hAnsi="Times New Roman" w:cs="Times New Roman"/>
                <w:sz w:val="22"/>
                <w:szCs w:val="22"/>
              </w:rPr>
              <w:t xml:space="preserve">, </w:t>
            </w:r>
            <w:proofErr w:type="spellStart"/>
            <w:r w:rsidRPr="00D662C2">
              <w:rPr>
                <w:rFonts w:ascii="Times New Roman" w:hAnsi="Times New Roman" w:cs="Times New Roman"/>
                <w:sz w:val="22"/>
                <w:szCs w:val="22"/>
              </w:rPr>
              <w:t>Minsala</w:t>
            </w:r>
            <w:proofErr w:type="spellEnd"/>
            <w:r w:rsidRPr="00D662C2">
              <w:rPr>
                <w:rFonts w:ascii="Times New Roman" w:hAnsi="Times New Roman" w:cs="Times New Roman"/>
                <w:sz w:val="22"/>
                <w:szCs w:val="22"/>
              </w:rPr>
              <w:t>)</w:t>
            </w:r>
          </w:p>
        </w:tc>
        <w:tc>
          <w:tcPr>
            <w:tcW w:w="0" w:type="auto"/>
            <w:hideMark/>
          </w:tcPr>
          <w:p w14:paraId="2440E459"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Eni (Eni Congo S.A.)</w:t>
            </w:r>
          </w:p>
        </w:tc>
        <w:tc>
          <w:tcPr>
            <w:tcW w:w="0" w:type="auto"/>
            <w:hideMark/>
          </w:tcPr>
          <w:p w14:paraId="6885036B"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Non-associated and associated gas-condensate</w:t>
            </w:r>
          </w:p>
        </w:tc>
        <w:tc>
          <w:tcPr>
            <w:tcW w:w="0" w:type="auto"/>
            <w:hideMark/>
          </w:tcPr>
          <w:p w14:paraId="51E11EF3"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Not separately disclosed; block-level reserves are embedded in the national 10 </w:t>
            </w:r>
            <w:proofErr w:type="spellStart"/>
            <w:r w:rsidRPr="00D662C2">
              <w:rPr>
                <w:rFonts w:ascii="Times New Roman" w:hAnsi="Times New Roman" w:cs="Times New Roman"/>
                <w:sz w:val="22"/>
                <w:szCs w:val="22"/>
              </w:rPr>
              <w:t>Tcf</w:t>
            </w:r>
            <w:proofErr w:type="spellEnd"/>
            <w:r w:rsidRPr="00D662C2">
              <w:rPr>
                <w:rFonts w:ascii="Times New Roman" w:hAnsi="Times New Roman" w:cs="Times New Roman"/>
                <w:sz w:val="22"/>
                <w:szCs w:val="22"/>
              </w:rPr>
              <w:t xml:space="preserve"> figure</w:t>
            </w:r>
          </w:p>
        </w:tc>
        <w:tc>
          <w:tcPr>
            <w:tcW w:w="0" w:type="auto"/>
            <w:hideMark/>
          </w:tcPr>
          <w:p w14:paraId="446D2C84"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Historic block-level estimate of ~1.7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(RA Journal, referencing a c.2020 baseline) — </w:t>
            </w:r>
            <w:r w:rsidRPr="00D662C2">
              <w:rPr>
                <w:rFonts w:ascii="Times New Roman" w:hAnsi="Times New Roman" w:cs="Times New Roman"/>
                <w:b/>
                <w:bCs/>
                <w:sz w:val="22"/>
                <w:szCs w:val="22"/>
              </w:rPr>
              <w:t>dated figure, likely materially exceeded following the Phase 2/</w:t>
            </w:r>
            <w:proofErr w:type="spellStart"/>
            <w:r w:rsidRPr="00D662C2">
              <w:rPr>
                <w:rFonts w:ascii="Times New Roman" w:hAnsi="Times New Roman" w:cs="Times New Roman"/>
                <w:b/>
                <w:bCs/>
                <w:sz w:val="22"/>
                <w:szCs w:val="22"/>
              </w:rPr>
              <w:t>Nguya</w:t>
            </w:r>
            <w:proofErr w:type="spellEnd"/>
            <w:r w:rsidRPr="00D662C2">
              <w:rPr>
                <w:rFonts w:ascii="Times New Roman" w:hAnsi="Times New Roman" w:cs="Times New Roman"/>
                <w:b/>
                <w:bCs/>
                <w:sz w:val="22"/>
                <w:szCs w:val="22"/>
              </w:rPr>
              <w:t xml:space="preserve"> ramp-up; a current (2026) block-specific figure was not identified in sources reviewed</w:t>
            </w:r>
          </w:p>
        </w:tc>
        <w:tc>
          <w:tcPr>
            <w:tcW w:w="0" w:type="auto"/>
            <w:hideMark/>
          </w:tcPr>
          <w:p w14:paraId="2B518E6F"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Feeds Congo LNG (Tango + </w:t>
            </w:r>
            <w:proofErr w:type="spellStart"/>
            <w:r w:rsidRPr="00D662C2">
              <w:rPr>
                <w:rFonts w:ascii="Times New Roman" w:hAnsi="Times New Roman" w:cs="Times New Roman"/>
                <w:sz w:val="22"/>
                <w:szCs w:val="22"/>
              </w:rPr>
              <w:t>Nguya</w:t>
            </w:r>
            <w:proofErr w:type="spellEnd"/>
            <w:r w:rsidRPr="00D662C2">
              <w:rPr>
                <w:rFonts w:ascii="Times New Roman" w:hAnsi="Times New Roman" w:cs="Times New Roman"/>
                <w:sz w:val="22"/>
                <w:szCs w:val="22"/>
              </w:rPr>
              <w:t xml:space="preserve"> FLNG) and, via the </w:t>
            </w:r>
            <w:proofErr w:type="spellStart"/>
            <w:r w:rsidRPr="00D662C2">
              <w:rPr>
                <w:rFonts w:ascii="Times New Roman" w:hAnsi="Times New Roman" w:cs="Times New Roman"/>
                <w:sz w:val="22"/>
                <w:szCs w:val="22"/>
              </w:rPr>
              <w:t>Litchendjili</w:t>
            </w:r>
            <w:proofErr w:type="spellEnd"/>
            <w:r w:rsidRPr="00D662C2">
              <w:rPr>
                <w:rFonts w:ascii="Times New Roman" w:hAnsi="Times New Roman" w:cs="Times New Roman"/>
                <w:sz w:val="22"/>
                <w:szCs w:val="22"/>
              </w:rPr>
              <w:t xml:space="preserve"> gas plant, the CEC and CED power plants</w:t>
            </w:r>
          </w:p>
        </w:tc>
        <w:tc>
          <w:tcPr>
            <w:tcW w:w="0" w:type="auto"/>
            <w:hideMark/>
          </w:tcPr>
          <w:p w14:paraId="72D200ED"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b/>
                <w:bCs/>
                <w:sz w:val="22"/>
                <w:szCs w:val="22"/>
              </w:rPr>
              <w:t>Operational</w:t>
            </w:r>
            <w:r w:rsidRPr="00D662C2">
              <w:rPr>
                <w:rFonts w:ascii="Times New Roman" w:hAnsi="Times New Roman" w:cs="Times New Roman"/>
                <w:sz w:val="22"/>
                <w:szCs w:val="22"/>
              </w:rPr>
              <w:t>, with Phase 2 LNG expansion completed February 2026</w:t>
            </w:r>
          </w:p>
        </w:tc>
      </w:tr>
      <w:tr w:rsidR="00D662C2" w:rsidRPr="00D662C2" w14:paraId="7E632E24" w14:textId="77777777" w:rsidTr="00D662C2">
        <w:tc>
          <w:tcPr>
            <w:tcW w:w="0" w:type="auto"/>
            <w:hideMark/>
          </w:tcPr>
          <w:p w14:paraId="6040AEFF" w14:textId="77777777" w:rsidR="00D662C2" w:rsidRPr="00D662C2" w:rsidRDefault="00D662C2" w:rsidP="00D662C2">
            <w:pPr>
              <w:spacing w:after="160" w:line="276" w:lineRule="auto"/>
              <w:jc w:val="both"/>
              <w:rPr>
                <w:rFonts w:ascii="Times New Roman" w:hAnsi="Times New Roman" w:cs="Times New Roman"/>
                <w:sz w:val="22"/>
                <w:szCs w:val="22"/>
              </w:rPr>
            </w:pPr>
            <w:proofErr w:type="spellStart"/>
            <w:r w:rsidRPr="00D662C2">
              <w:rPr>
                <w:rFonts w:ascii="Times New Roman" w:hAnsi="Times New Roman" w:cs="Times New Roman"/>
                <w:sz w:val="22"/>
                <w:szCs w:val="22"/>
              </w:rPr>
              <w:t>M'Boundi</w:t>
            </w:r>
            <w:proofErr w:type="spellEnd"/>
            <w:r w:rsidRPr="00D662C2">
              <w:rPr>
                <w:rFonts w:ascii="Times New Roman" w:hAnsi="Times New Roman" w:cs="Times New Roman"/>
                <w:sz w:val="22"/>
                <w:szCs w:val="22"/>
              </w:rPr>
              <w:t xml:space="preserve"> (onshore)</w:t>
            </w:r>
          </w:p>
        </w:tc>
        <w:tc>
          <w:tcPr>
            <w:tcW w:w="0" w:type="auto"/>
            <w:hideMark/>
          </w:tcPr>
          <w:p w14:paraId="2C8657DC"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Eni</w:t>
            </w:r>
          </w:p>
        </w:tc>
        <w:tc>
          <w:tcPr>
            <w:tcW w:w="0" w:type="auto"/>
            <w:hideMark/>
          </w:tcPr>
          <w:p w14:paraId="38E569FD"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Associated gas</w:t>
            </w:r>
          </w:p>
        </w:tc>
        <w:tc>
          <w:tcPr>
            <w:tcW w:w="0" w:type="auto"/>
            <w:hideMark/>
          </w:tcPr>
          <w:p w14:paraId="541FEB4C"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separately disclosed</w:t>
            </w:r>
          </w:p>
        </w:tc>
        <w:tc>
          <w:tcPr>
            <w:tcW w:w="0" w:type="auto"/>
            <w:hideMark/>
          </w:tcPr>
          <w:p w14:paraId="67929B06"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separately disclosed</w:t>
            </w:r>
          </w:p>
        </w:tc>
        <w:tc>
          <w:tcPr>
            <w:tcW w:w="0" w:type="auto"/>
            <w:hideMark/>
          </w:tcPr>
          <w:p w14:paraId="7E521BE7"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Original and continuing feedstock for CEC/CED</w:t>
            </w:r>
          </w:p>
        </w:tc>
        <w:tc>
          <w:tcPr>
            <w:tcW w:w="0" w:type="auto"/>
            <w:hideMark/>
          </w:tcPr>
          <w:p w14:paraId="2F056E3F"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Operational (producing since the 2000s)</w:t>
            </w:r>
          </w:p>
        </w:tc>
      </w:tr>
      <w:tr w:rsidR="00D662C2" w:rsidRPr="00D662C2" w14:paraId="1929FA97" w14:textId="77777777" w:rsidTr="00D662C2">
        <w:tc>
          <w:tcPr>
            <w:tcW w:w="0" w:type="auto"/>
            <w:hideMark/>
          </w:tcPr>
          <w:p w14:paraId="3DEE1151"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Moho-Bilondo / </w:t>
            </w:r>
            <w:r w:rsidRPr="00D662C2">
              <w:rPr>
                <w:rFonts w:ascii="Times New Roman" w:hAnsi="Times New Roman" w:cs="Times New Roman"/>
                <w:sz w:val="22"/>
                <w:szCs w:val="22"/>
              </w:rPr>
              <w:lastRenderedPageBreak/>
              <w:t>Moho Nord</w:t>
            </w:r>
          </w:p>
        </w:tc>
        <w:tc>
          <w:tcPr>
            <w:tcW w:w="0" w:type="auto"/>
            <w:hideMark/>
          </w:tcPr>
          <w:p w14:paraId="711B1C2D"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TotalEnergies</w:t>
            </w:r>
          </w:p>
        </w:tc>
        <w:tc>
          <w:tcPr>
            <w:tcW w:w="0" w:type="auto"/>
            <w:hideMark/>
          </w:tcPr>
          <w:p w14:paraId="3814DCB0"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Associated gas</w:t>
            </w:r>
          </w:p>
        </w:tc>
        <w:tc>
          <w:tcPr>
            <w:tcW w:w="0" w:type="auto"/>
            <w:hideMark/>
          </w:tcPr>
          <w:p w14:paraId="13632CF9"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separately disclosed</w:t>
            </w:r>
          </w:p>
        </w:tc>
        <w:tc>
          <w:tcPr>
            <w:tcW w:w="0" w:type="auto"/>
            <w:hideMark/>
          </w:tcPr>
          <w:p w14:paraId="5EC1088C"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TotalEnergies announced a $600m </w:t>
            </w:r>
            <w:r w:rsidRPr="00D662C2">
              <w:rPr>
                <w:rFonts w:ascii="Times New Roman" w:hAnsi="Times New Roman" w:cs="Times New Roman"/>
                <w:sz w:val="22"/>
                <w:szCs w:val="22"/>
              </w:rPr>
              <w:lastRenderedPageBreak/>
              <w:t xml:space="preserve">investment (targeted for completion by end-2024) aimed partly at </w:t>
            </w:r>
            <w:proofErr w:type="spellStart"/>
            <w:r w:rsidRPr="00D662C2">
              <w:rPr>
                <w:rFonts w:ascii="Times New Roman" w:hAnsi="Times New Roman" w:cs="Times New Roman"/>
                <w:sz w:val="22"/>
                <w:szCs w:val="22"/>
              </w:rPr>
              <w:t>monetising</w:t>
            </w:r>
            <w:proofErr w:type="spellEnd"/>
            <w:r w:rsidRPr="00D662C2">
              <w:rPr>
                <w:rFonts w:ascii="Times New Roman" w:hAnsi="Times New Roman" w:cs="Times New Roman"/>
                <w:sz w:val="22"/>
                <w:szCs w:val="22"/>
              </w:rPr>
              <w:t xml:space="preserve"> associated gas alongside a </w:t>
            </w:r>
            <w:proofErr w:type="gramStart"/>
            <w:r w:rsidRPr="00D662C2">
              <w:rPr>
                <w:rFonts w:ascii="Times New Roman" w:hAnsi="Times New Roman" w:cs="Times New Roman"/>
                <w:sz w:val="22"/>
                <w:szCs w:val="22"/>
              </w:rPr>
              <w:t>40,000 bpd</w:t>
            </w:r>
            <w:proofErr w:type="gramEnd"/>
            <w:r w:rsidRPr="00D662C2">
              <w:rPr>
                <w:rFonts w:ascii="Times New Roman" w:hAnsi="Times New Roman" w:cs="Times New Roman"/>
                <w:sz w:val="22"/>
                <w:szCs w:val="22"/>
              </w:rPr>
              <w:t xml:space="preserve"> oil output increase</w:t>
            </w:r>
          </w:p>
        </w:tc>
        <w:tc>
          <w:tcPr>
            <w:tcW w:w="0" w:type="auto"/>
            <w:hideMark/>
          </w:tcPr>
          <w:p w14:paraId="2E71D6A0"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Historically flared/reinjected; </w:t>
            </w:r>
            <w:proofErr w:type="spellStart"/>
            <w:r w:rsidRPr="00D662C2">
              <w:rPr>
                <w:rFonts w:ascii="Times New Roman" w:hAnsi="Times New Roman" w:cs="Times New Roman"/>
                <w:sz w:val="22"/>
                <w:szCs w:val="22"/>
              </w:rPr>
              <w:t>monetisation</w:t>
            </w:r>
            <w:proofErr w:type="spellEnd"/>
            <w:r w:rsidRPr="00D662C2">
              <w:rPr>
                <w:rFonts w:ascii="Times New Roman" w:hAnsi="Times New Roman" w:cs="Times New Roman"/>
                <w:sz w:val="22"/>
                <w:szCs w:val="22"/>
              </w:rPr>
              <w:t xml:space="preserve"> </w:t>
            </w:r>
            <w:r w:rsidRPr="00D662C2">
              <w:rPr>
                <w:rFonts w:ascii="Times New Roman" w:hAnsi="Times New Roman" w:cs="Times New Roman"/>
                <w:sz w:val="22"/>
                <w:szCs w:val="22"/>
              </w:rPr>
              <w:lastRenderedPageBreak/>
              <w:t>plans not yet reflected in CEC/LNG feedstock per sources reviewed</w:t>
            </w:r>
          </w:p>
        </w:tc>
        <w:tc>
          <w:tcPr>
            <w:tcW w:w="0" w:type="auto"/>
            <w:hideMark/>
          </w:tcPr>
          <w:p w14:paraId="604383F3"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Operational (oil); associated-gas </w:t>
            </w:r>
            <w:proofErr w:type="spellStart"/>
            <w:r w:rsidRPr="00D662C2">
              <w:rPr>
                <w:rFonts w:ascii="Times New Roman" w:hAnsi="Times New Roman" w:cs="Times New Roman"/>
                <w:sz w:val="22"/>
                <w:szCs w:val="22"/>
              </w:rPr>
              <w:t>monetisation</w:t>
            </w:r>
            <w:proofErr w:type="spellEnd"/>
            <w:r w:rsidRPr="00D662C2">
              <w:rPr>
                <w:rFonts w:ascii="Times New Roman" w:hAnsi="Times New Roman" w:cs="Times New Roman"/>
                <w:sz w:val="22"/>
                <w:szCs w:val="22"/>
              </w:rPr>
              <w:t xml:space="preserve"> </w:t>
            </w:r>
            <w:r w:rsidRPr="00D662C2">
              <w:rPr>
                <w:rFonts w:ascii="Times New Roman" w:hAnsi="Times New Roman" w:cs="Times New Roman"/>
                <w:b/>
                <w:bCs/>
                <w:sz w:val="22"/>
                <w:szCs w:val="22"/>
              </w:rPr>
              <w:lastRenderedPageBreak/>
              <w:t>Proposed/Development</w:t>
            </w:r>
          </w:p>
        </w:tc>
      </w:tr>
      <w:tr w:rsidR="00D662C2" w:rsidRPr="00D662C2" w14:paraId="2C694FDC" w14:textId="77777777" w:rsidTr="00D662C2">
        <w:tc>
          <w:tcPr>
            <w:tcW w:w="0" w:type="auto"/>
            <w:hideMark/>
          </w:tcPr>
          <w:p w14:paraId="7A7F2940" w14:textId="77777777" w:rsidR="00D662C2" w:rsidRPr="00D662C2" w:rsidRDefault="00D662C2" w:rsidP="00D662C2">
            <w:pPr>
              <w:spacing w:after="160" w:line="276" w:lineRule="auto"/>
              <w:jc w:val="both"/>
              <w:rPr>
                <w:rFonts w:ascii="Times New Roman" w:hAnsi="Times New Roman" w:cs="Times New Roman"/>
                <w:sz w:val="22"/>
                <w:szCs w:val="22"/>
              </w:rPr>
            </w:pPr>
            <w:proofErr w:type="spellStart"/>
            <w:r w:rsidRPr="00D662C2">
              <w:rPr>
                <w:rFonts w:ascii="Times New Roman" w:hAnsi="Times New Roman" w:cs="Times New Roman"/>
                <w:sz w:val="22"/>
                <w:szCs w:val="22"/>
              </w:rPr>
              <w:lastRenderedPageBreak/>
              <w:t>Likouala</w:t>
            </w:r>
            <w:proofErr w:type="spellEnd"/>
            <w:r w:rsidRPr="00D662C2">
              <w:rPr>
                <w:rFonts w:ascii="Times New Roman" w:hAnsi="Times New Roman" w:cs="Times New Roman"/>
                <w:sz w:val="22"/>
                <w:szCs w:val="22"/>
              </w:rPr>
              <w:t>, Emeraude, PNGF fields (offshore)</w:t>
            </w:r>
          </w:p>
        </w:tc>
        <w:tc>
          <w:tcPr>
            <w:tcW w:w="0" w:type="auto"/>
            <w:hideMark/>
          </w:tcPr>
          <w:p w14:paraId="7B5E7781"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Perenco</w:t>
            </w:r>
          </w:p>
        </w:tc>
        <w:tc>
          <w:tcPr>
            <w:tcW w:w="0" w:type="auto"/>
            <w:hideMark/>
          </w:tcPr>
          <w:p w14:paraId="721B886C"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Associated gas</w:t>
            </w:r>
          </w:p>
        </w:tc>
        <w:tc>
          <w:tcPr>
            <w:tcW w:w="0" w:type="auto"/>
            <w:hideMark/>
          </w:tcPr>
          <w:p w14:paraId="254D7B1E"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disclosed at field level</w:t>
            </w:r>
          </w:p>
        </w:tc>
        <w:tc>
          <w:tcPr>
            <w:tcW w:w="0" w:type="auto"/>
            <w:hideMark/>
          </w:tcPr>
          <w:p w14:paraId="2878E652"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Up to 10 </w:t>
            </w:r>
            <w:proofErr w:type="spellStart"/>
            <w:r w:rsidRPr="00D662C2">
              <w:rPr>
                <w:rFonts w:ascii="Times New Roman" w:hAnsi="Times New Roman" w:cs="Times New Roman"/>
                <w:sz w:val="22"/>
                <w:szCs w:val="22"/>
              </w:rPr>
              <w:t>mmscfd</w:t>
            </w:r>
            <w:proofErr w:type="spellEnd"/>
            <w:r w:rsidRPr="00D662C2">
              <w:rPr>
                <w:rFonts w:ascii="Times New Roman" w:hAnsi="Times New Roman" w:cs="Times New Roman"/>
                <w:sz w:val="22"/>
                <w:szCs w:val="22"/>
              </w:rPr>
              <w:t xml:space="preserve"> consumed for self-generation (</w:t>
            </w:r>
            <w:proofErr w:type="spellStart"/>
            <w:r w:rsidRPr="00D662C2">
              <w:rPr>
                <w:rFonts w:ascii="Times New Roman" w:hAnsi="Times New Roman" w:cs="Times New Roman"/>
                <w:sz w:val="22"/>
                <w:szCs w:val="22"/>
              </w:rPr>
              <w:t>Tchendo</w:t>
            </w:r>
            <w:proofErr w:type="spellEnd"/>
            <w:r w:rsidRPr="00D662C2">
              <w:rPr>
                <w:rFonts w:ascii="Times New Roman" w:hAnsi="Times New Roman" w:cs="Times New Roman"/>
                <w:sz w:val="22"/>
                <w:szCs w:val="22"/>
              </w:rPr>
              <w:t xml:space="preserve"> 2 MOPU, see Section 16)</w:t>
            </w:r>
          </w:p>
        </w:tc>
        <w:tc>
          <w:tcPr>
            <w:tcW w:w="0" w:type="auto"/>
            <w:hideMark/>
          </w:tcPr>
          <w:p w14:paraId="4128A903"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Self-generation (operational power), not exported to the national grid or LNG</w:t>
            </w:r>
          </w:p>
        </w:tc>
        <w:tc>
          <w:tcPr>
            <w:tcW w:w="0" w:type="auto"/>
            <w:hideMark/>
          </w:tcPr>
          <w:p w14:paraId="4FE8AE08"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b/>
                <w:bCs/>
                <w:sz w:val="22"/>
                <w:szCs w:val="22"/>
              </w:rPr>
              <w:t>Operational</w:t>
            </w:r>
            <w:r w:rsidRPr="00D662C2">
              <w:rPr>
                <w:rFonts w:ascii="Times New Roman" w:hAnsi="Times New Roman" w:cs="Times New Roman"/>
                <w:sz w:val="22"/>
                <w:szCs w:val="22"/>
              </w:rPr>
              <w:t xml:space="preserve"> (</w:t>
            </w:r>
            <w:proofErr w:type="spellStart"/>
            <w:r w:rsidRPr="00D662C2">
              <w:rPr>
                <w:rFonts w:ascii="Times New Roman" w:hAnsi="Times New Roman" w:cs="Times New Roman"/>
                <w:sz w:val="22"/>
                <w:szCs w:val="22"/>
              </w:rPr>
              <w:t>Tchendo</w:t>
            </w:r>
            <w:proofErr w:type="spellEnd"/>
            <w:r w:rsidRPr="00D662C2">
              <w:rPr>
                <w:rFonts w:ascii="Times New Roman" w:hAnsi="Times New Roman" w:cs="Times New Roman"/>
                <w:sz w:val="22"/>
                <w:szCs w:val="22"/>
              </w:rPr>
              <w:t xml:space="preserve"> 2 commissioned 2024)</w:t>
            </w:r>
          </w:p>
        </w:tc>
      </w:tr>
      <w:tr w:rsidR="00D662C2" w:rsidRPr="00D662C2" w14:paraId="2976FD2B" w14:textId="77777777" w:rsidTr="00D662C2">
        <w:tc>
          <w:tcPr>
            <w:tcW w:w="0" w:type="auto"/>
            <w:hideMark/>
          </w:tcPr>
          <w:p w14:paraId="5F29746D"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Banga Kayo (onshore)</w:t>
            </w:r>
          </w:p>
        </w:tc>
        <w:tc>
          <w:tcPr>
            <w:tcW w:w="0" w:type="auto"/>
            <w:hideMark/>
          </w:tcPr>
          <w:p w14:paraId="54645AB4"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specified in sources reviewed</w:t>
            </w:r>
          </w:p>
        </w:tc>
        <w:tc>
          <w:tcPr>
            <w:tcW w:w="0" w:type="auto"/>
            <w:hideMark/>
          </w:tcPr>
          <w:p w14:paraId="28F894D1"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Associated gas (previously flared)</w:t>
            </w:r>
          </w:p>
        </w:tc>
        <w:tc>
          <w:tcPr>
            <w:tcW w:w="0" w:type="auto"/>
            <w:hideMark/>
          </w:tcPr>
          <w:p w14:paraId="6371DF34"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228CC075"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0CC017EE"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Targeted for LNG, butane and propane production for domestic use and regional export</w:t>
            </w:r>
          </w:p>
        </w:tc>
        <w:tc>
          <w:tcPr>
            <w:tcW w:w="0" w:type="auto"/>
            <w:hideMark/>
          </w:tcPr>
          <w:p w14:paraId="4062CD9E"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b/>
                <w:bCs/>
                <w:sz w:val="22"/>
                <w:szCs w:val="22"/>
              </w:rPr>
              <w:t>Proposed/Development</w:t>
            </w:r>
          </w:p>
        </w:tc>
      </w:tr>
      <w:tr w:rsidR="00D662C2" w:rsidRPr="00D662C2" w14:paraId="020A6C73" w14:textId="77777777" w:rsidTr="00D662C2">
        <w:tc>
          <w:tcPr>
            <w:tcW w:w="0" w:type="auto"/>
            <w:hideMark/>
          </w:tcPr>
          <w:p w14:paraId="54DB1B22"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Marine VI Bis, Marine XXIV, Marine XXXI</w:t>
            </w:r>
          </w:p>
        </w:tc>
        <w:tc>
          <w:tcPr>
            <w:tcW w:w="0" w:type="auto"/>
            <w:hideMark/>
          </w:tcPr>
          <w:p w14:paraId="74ACD040"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Various (exploration stage)</w:t>
            </w:r>
          </w:p>
        </w:tc>
        <w:tc>
          <w:tcPr>
            <w:tcW w:w="0" w:type="auto"/>
            <w:hideMark/>
          </w:tcPr>
          <w:p w14:paraId="24BE0C7B"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Not yet </w:t>
            </w:r>
            <w:proofErr w:type="spellStart"/>
            <w:r w:rsidRPr="00D662C2">
              <w:rPr>
                <w:rFonts w:ascii="Times New Roman" w:hAnsi="Times New Roman" w:cs="Times New Roman"/>
                <w:sz w:val="22"/>
                <w:szCs w:val="22"/>
              </w:rPr>
              <w:t>characterised</w:t>
            </w:r>
            <w:proofErr w:type="spellEnd"/>
          </w:p>
        </w:tc>
        <w:tc>
          <w:tcPr>
            <w:tcW w:w="0" w:type="auto"/>
            <w:hideMark/>
          </w:tcPr>
          <w:p w14:paraId="29F18D72"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32CC222F"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Exploration only</w:t>
            </w:r>
          </w:p>
        </w:tc>
        <w:tc>
          <w:tcPr>
            <w:tcW w:w="0" w:type="auto"/>
            <w:hideMark/>
          </w:tcPr>
          <w:p w14:paraId="5C4841C2"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sz w:val="22"/>
                <w:szCs w:val="22"/>
              </w:rPr>
              <w:t>Potential future LNG/domestic supply</w:t>
            </w:r>
          </w:p>
        </w:tc>
        <w:tc>
          <w:tcPr>
            <w:tcW w:w="0" w:type="auto"/>
            <w:hideMark/>
          </w:tcPr>
          <w:p w14:paraId="5B0FA3C4" w14:textId="77777777" w:rsidR="00D662C2" w:rsidRPr="00D662C2" w:rsidRDefault="00D662C2" w:rsidP="00D662C2">
            <w:pPr>
              <w:spacing w:after="160" w:line="276" w:lineRule="auto"/>
              <w:jc w:val="both"/>
              <w:rPr>
                <w:rFonts w:ascii="Times New Roman" w:hAnsi="Times New Roman" w:cs="Times New Roman"/>
                <w:sz w:val="22"/>
                <w:szCs w:val="22"/>
              </w:rPr>
            </w:pPr>
            <w:r w:rsidRPr="00D662C2">
              <w:rPr>
                <w:rFonts w:ascii="Times New Roman" w:hAnsi="Times New Roman" w:cs="Times New Roman"/>
                <w:b/>
                <w:bCs/>
                <w:sz w:val="22"/>
                <w:szCs w:val="22"/>
              </w:rPr>
              <w:t>Conceptual/Exploration</w:t>
            </w:r>
          </w:p>
        </w:tc>
      </w:tr>
    </w:tbl>
    <w:p w14:paraId="64EF2DE0" w14:textId="755A580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lastRenderedPageBreak/>
        <w:t>Distinguishing reserves from commercially available gas:</w:t>
      </w:r>
      <w:r w:rsidRPr="00D662C2">
        <w:rPr>
          <w:rFonts w:ascii="Times New Roman" w:hAnsi="Times New Roman" w:cs="Times New Roman"/>
        </w:rPr>
        <w:t xml:space="preserve"> the national 10 </w:t>
      </w:r>
      <w:proofErr w:type="spellStart"/>
      <w:r w:rsidRPr="00D662C2">
        <w:rPr>
          <w:rFonts w:ascii="Times New Roman" w:hAnsi="Times New Roman" w:cs="Times New Roman"/>
        </w:rPr>
        <w:t>Tcf</w:t>
      </w:r>
      <w:proofErr w:type="spellEnd"/>
      <w:r w:rsidRPr="00D662C2">
        <w:rPr>
          <w:rFonts w:ascii="Times New Roman" w:hAnsi="Times New Roman" w:cs="Times New Roman"/>
        </w:rPr>
        <w:t xml:space="preserve"> reserve figure is a proved-reserves estimate, not a measure of gas available for new domestic </w:t>
      </w:r>
      <w:proofErr w:type="spellStart"/>
      <w:r w:rsidRPr="00D662C2">
        <w:rPr>
          <w:rFonts w:ascii="Times New Roman" w:hAnsi="Times New Roman" w:cs="Times New Roman"/>
        </w:rPr>
        <w:t>monetisation</w:t>
      </w:r>
      <w:proofErr w:type="spellEnd"/>
      <w:r w:rsidRPr="00D662C2">
        <w:rPr>
          <w:rFonts w:ascii="Times New Roman" w:hAnsi="Times New Roman" w:cs="Times New Roman"/>
        </w:rPr>
        <w:t xml:space="preserve">. The gas realistically available for incremental gas-to-power expansion is better proxied by the </w:t>
      </w:r>
      <w:r w:rsidRPr="00D662C2">
        <w:rPr>
          <w:rFonts w:ascii="Times New Roman" w:hAnsi="Times New Roman" w:cs="Times New Roman"/>
          <w:b/>
          <w:bCs/>
        </w:rPr>
        <w:t>flared and reinjected share of gross production (~50% as of 2024)</w:t>
      </w:r>
      <w:r w:rsidRPr="00D662C2">
        <w:rPr>
          <w:rFonts w:ascii="Times New Roman" w:hAnsi="Times New Roman" w:cs="Times New Roman"/>
        </w:rPr>
        <w:t>, since this represents gas not already committed to LNG or existing domestic offtake though capturing it requires new gathering and processing infrastructure at each specific field, which is not automatically in place (Section 4).</w:t>
      </w:r>
    </w:p>
    <w:p w14:paraId="46BFC9C3" w14:textId="5B235C24" w:rsidR="00D662C2" w:rsidRPr="00D662C2" w:rsidRDefault="00D662C2" w:rsidP="00D662C2">
      <w:pPr>
        <w:jc w:val="both"/>
        <w:rPr>
          <w:rFonts w:ascii="Times New Roman" w:hAnsi="Times New Roman" w:cs="Times New Roman"/>
        </w:rPr>
      </w:pPr>
    </w:p>
    <w:p w14:paraId="46AC1116"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2. Existing Gas-to-Power Infrastructure</w:t>
      </w:r>
    </w:p>
    <w:tbl>
      <w:tblPr>
        <w:tblStyle w:val="TableGrid"/>
        <w:tblW w:w="0" w:type="auto"/>
        <w:tblLook w:val="04A0" w:firstRow="1" w:lastRow="0" w:firstColumn="1" w:lastColumn="0" w:noHBand="0" w:noVBand="1"/>
      </w:tblPr>
      <w:tblGrid>
        <w:gridCol w:w="847"/>
        <w:gridCol w:w="992"/>
        <w:gridCol w:w="1103"/>
        <w:gridCol w:w="1009"/>
        <w:gridCol w:w="1103"/>
        <w:gridCol w:w="898"/>
        <w:gridCol w:w="1861"/>
        <w:gridCol w:w="1537"/>
      </w:tblGrid>
      <w:tr w:rsidR="00D662C2" w:rsidRPr="00D662C2" w14:paraId="0FA0EACE" w14:textId="77777777" w:rsidTr="00D662C2">
        <w:tc>
          <w:tcPr>
            <w:tcW w:w="0" w:type="auto"/>
            <w:hideMark/>
          </w:tcPr>
          <w:p w14:paraId="52184B43"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Power Plant</w:t>
            </w:r>
          </w:p>
        </w:tc>
        <w:tc>
          <w:tcPr>
            <w:tcW w:w="0" w:type="auto"/>
            <w:hideMark/>
          </w:tcPr>
          <w:p w14:paraId="090C341E"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Technology</w:t>
            </w:r>
          </w:p>
        </w:tc>
        <w:tc>
          <w:tcPr>
            <w:tcW w:w="0" w:type="auto"/>
            <w:hideMark/>
          </w:tcPr>
          <w:p w14:paraId="34381028"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Installed Capacity</w:t>
            </w:r>
          </w:p>
        </w:tc>
        <w:tc>
          <w:tcPr>
            <w:tcW w:w="0" w:type="auto"/>
            <w:hideMark/>
          </w:tcPr>
          <w:p w14:paraId="65D09D47"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Available Capacity</w:t>
            </w:r>
          </w:p>
        </w:tc>
        <w:tc>
          <w:tcPr>
            <w:tcW w:w="0" w:type="auto"/>
            <w:hideMark/>
          </w:tcPr>
          <w:p w14:paraId="0F2EA954"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Gas Consumption</w:t>
            </w:r>
          </w:p>
        </w:tc>
        <w:tc>
          <w:tcPr>
            <w:tcW w:w="0" w:type="auto"/>
            <w:hideMark/>
          </w:tcPr>
          <w:p w14:paraId="0C22AAA6"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Efficiency</w:t>
            </w:r>
          </w:p>
        </w:tc>
        <w:tc>
          <w:tcPr>
            <w:tcW w:w="0" w:type="auto"/>
            <w:hideMark/>
          </w:tcPr>
          <w:p w14:paraId="28F95F73"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Gas Source</w:t>
            </w:r>
          </w:p>
        </w:tc>
        <w:tc>
          <w:tcPr>
            <w:tcW w:w="0" w:type="auto"/>
            <w:hideMark/>
          </w:tcPr>
          <w:p w14:paraId="01CF7AA6" w14:textId="77777777" w:rsidR="00D662C2" w:rsidRPr="00D662C2" w:rsidRDefault="00D662C2" w:rsidP="00D662C2">
            <w:pPr>
              <w:spacing w:after="160"/>
              <w:jc w:val="both"/>
              <w:rPr>
                <w:rFonts w:ascii="Times New Roman" w:hAnsi="Times New Roman" w:cs="Times New Roman"/>
                <w:b/>
                <w:bCs/>
                <w:sz w:val="22"/>
                <w:szCs w:val="22"/>
              </w:rPr>
            </w:pPr>
            <w:r w:rsidRPr="00D662C2">
              <w:rPr>
                <w:rFonts w:ascii="Times New Roman" w:hAnsi="Times New Roman" w:cs="Times New Roman"/>
                <w:b/>
                <w:bCs/>
                <w:sz w:val="22"/>
                <w:szCs w:val="22"/>
              </w:rPr>
              <w:t>Status</w:t>
            </w:r>
          </w:p>
        </w:tc>
      </w:tr>
      <w:tr w:rsidR="00D662C2" w:rsidRPr="00D662C2" w14:paraId="05F55227" w14:textId="77777777" w:rsidTr="00D662C2">
        <w:tc>
          <w:tcPr>
            <w:tcW w:w="0" w:type="auto"/>
            <w:hideMark/>
          </w:tcPr>
          <w:p w14:paraId="2B5C92AB"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 xml:space="preserve">Centrale </w:t>
            </w:r>
            <w:proofErr w:type="spellStart"/>
            <w:r w:rsidRPr="00D662C2">
              <w:rPr>
                <w:rFonts w:ascii="Times New Roman" w:hAnsi="Times New Roman" w:cs="Times New Roman"/>
                <w:sz w:val="22"/>
                <w:szCs w:val="22"/>
              </w:rPr>
              <w:t>Électrique</w:t>
            </w:r>
            <w:proofErr w:type="spellEnd"/>
            <w:r w:rsidRPr="00D662C2">
              <w:rPr>
                <w:rFonts w:ascii="Times New Roman" w:hAnsi="Times New Roman" w:cs="Times New Roman"/>
                <w:sz w:val="22"/>
                <w:szCs w:val="22"/>
              </w:rPr>
              <w:t xml:space="preserve"> du Congo (CEC), Pointe-Noire</w:t>
            </w:r>
          </w:p>
        </w:tc>
        <w:tc>
          <w:tcPr>
            <w:tcW w:w="0" w:type="auto"/>
            <w:hideMark/>
          </w:tcPr>
          <w:p w14:paraId="19736C96"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Gas turbine, transitioning toward combined cycle</w:t>
            </w:r>
          </w:p>
        </w:tc>
        <w:tc>
          <w:tcPr>
            <w:tcW w:w="0" w:type="auto"/>
            <w:hideMark/>
          </w:tcPr>
          <w:p w14:paraId="7C196E63"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484 MW</w:t>
            </w:r>
            <w:r w:rsidRPr="00D662C2">
              <w:rPr>
                <w:rFonts w:ascii="Times New Roman" w:hAnsi="Times New Roman" w:cs="Times New Roman"/>
                <w:sz w:val="22"/>
                <w:szCs w:val="22"/>
              </w:rPr>
              <w:t xml:space="preserve"> (2 turbines </w:t>
            </w:r>
            <w:proofErr w:type="spellStart"/>
            <w:r w:rsidRPr="00D662C2">
              <w:rPr>
                <w:rFonts w:ascii="Times New Roman" w:hAnsi="Times New Roman" w:cs="Times New Roman"/>
                <w:sz w:val="22"/>
                <w:szCs w:val="22"/>
              </w:rPr>
              <w:t>totalling</w:t>
            </w:r>
            <w:proofErr w:type="spellEnd"/>
            <w:r w:rsidRPr="00D662C2">
              <w:rPr>
                <w:rFonts w:ascii="Times New Roman" w:hAnsi="Times New Roman" w:cs="Times New Roman"/>
                <w:sz w:val="22"/>
                <w:szCs w:val="22"/>
              </w:rPr>
              <w:t xml:space="preserve"> 314 MW commissioned 2010; 3rd turbine +170 MW commissioned February 2020)</w:t>
            </w:r>
          </w:p>
        </w:tc>
        <w:tc>
          <w:tcPr>
            <w:tcW w:w="0" w:type="auto"/>
            <w:hideMark/>
          </w:tcPr>
          <w:p w14:paraId="76ACB922"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378 MW</w:t>
            </w:r>
            <w:r w:rsidRPr="00D662C2">
              <w:rPr>
                <w:rFonts w:ascii="Times New Roman" w:hAnsi="Times New Roman" w:cs="Times New Roman"/>
                <w:sz w:val="22"/>
                <w:szCs w:val="22"/>
              </w:rPr>
              <w:t xml:space="preserve"> (World Bank, 2021 national capacity data; ~78% of installed)</w:t>
            </w:r>
          </w:p>
        </w:tc>
        <w:tc>
          <w:tcPr>
            <w:tcW w:w="0" w:type="auto"/>
            <w:hideMark/>
          </w:tcPr>
          <w:p w14:paraId="5B474037"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 xml:space="preserve">CEC states it needs a </w:t>
            </w:r>
            <w:r w:rsidRPr="00D662C2">
              <w:rPr>
                <w:rFonts w:ascii="Times New Roman" w:hAnsi="Times New Roman" w:cs="Times New Roman"/>
                <w:b/>
                <w:bCs/>
                <w:sz w:val="22"/>
                <w:szCs w:val="22"/>
              </w:rPr>
              <w:t xml:space="preserve">35% increase in gas supply (~1 </w:t>
            </w:r>
            <w:proofErr w:type="spellStart"/>
            <w:r w:rsidRPr="00D662C2">
              <w:rPr>
                <w:rFonts w:ascii="Times New Roman" w:hAnsi="Times New Roman" w:cs="Times New Roman"/>
                <w:b/>
                <w:bCs/>
                <w:sz w:val="22"/>
                <w:szCs w:val="22"/>
              </w:rPr>
              <w:t>MMscm</w:t>
            </w:r>
            <w:proofErr w:type="spellEnd"/>
            <w:r w:rsidRPr="00D662C2">
              <w:rPr>
                <w:rFonts w:ascii="Times New Roman" w:hAnsi="Times New Roman" w:cs="Times New Roman"/>
                <w:b/>
                <w:bCs/>
                <w:sz w:val="22"/>
                <w:szCs w:val="22"/>
              </w:rPr>
              <w:t xml:space="preserve">/d, i.e., ~35 </w:t>
            </w:r>
            <w:proofErr w:type="spellStart"/>
            <w:r w:rsidRPr="00D662C2">
              <w:rPr>
                <w:rFonts w:ascii="Times New Roman" w:hAnsi="Times New Roman" w:cs="Times New Roman"/>
                <w:b/>
                <w:bCs/>
                <w:sz w:val="22"/>
                <w:szCs w:val="22"/>
              </w:rPr>
              <w:t>mmscm</w:t>
            </w:r>
            <w:proofErr w:type="spellEnd"/>
            <w:r w:rsidRPr="00D662C2">
              <w:rPr>
                <w:rFonts w:ascii="Times New Roman" w:hAnsi="Times New Roman" w:cs="Times New Roman"/>
                <w:b/>
                <w:bCs/>
                <w:sz w:val="22"/>
                <w:szCs w:val="22"/>
              </w:rPr>
              <w:t xml:space="preserve">/d ≈ ~1.2 Bcf/d — this magnitude appears inconsistent with plant size and is treated with caution; the underlying CEC interview figure is reproduced as stated but </w:t>
            </w:r>
            <w:r w:rsidRPr="00D662C2">
              <w:rPr>
                <w:rFonts w:ascii="Times New Roman" w:hAnsi="Times New Roman" w:cs="Times New Roman"/>
                <w:b/>
                <w:bCs/>
                <w:sz w:val="22"/>
                <w:szCs w:val="22"/>
              </w:rPr>
              <w:lastRenderedPageBreak/>
              <w:t>should be verified against a bankable gas-balance study)</w:t>
            </w:r>
            <w:r w:rsidRPr="00D662C2">
              <w:rPr>
                <w:rFonts w:ascii="Times New Roman" w:hAnsi="Times New Roman" w:cs="Times New Roman"/>
                <w:sz w:val="22"/>
                <w:szCs w:val="22"/>
              </w:rPr>
              <w:t xml:space="preserve"> to expand output by 5–10%</w:t>
            </w:r>
          </w:p>
        </w:tc>
        <w:tc>
          <w:tcPr>
            <w:tcW w:w="0" w:type="auto"/>
            <w:hideMark/>
          </w:tcPr>
          <w:p w14:paraId="5777695A"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lastRenderedPageBreak/>
              <w:t>Not disclosed; currently open-cycle/part combined-cycle, with a stated 2025 target of moving to full combined-cycle</w:t>
            </w:r>
          </w:p>
        </w:tc>
        <w:tc>
          <w:tcPr>
            <w:tcW w:w="0" w:type="auto"/>
            <w:hideMark/>
          </w:tcPr>
          <w:p w14:paraId="1B1186B4" w14:textId="77777777" w:rsidR="00D662C2" w:rsidRPr="00D662C2" w:rsidRDefault="00D662C2" w:rsidP="00D662C2">
            <w:pPr>
              <w:spacing w:after="160"/>
              <w:jc w:val="both"/>
              <w:rPr>
                <w:rFonts w:ascii="Times New Roman" w:hAnsi="Times New Roman" w:cs="Times New Roman"/>
                <w:sz w:val="22"/>
                <w:szCs w:val="22"/>
              </w:rPr>
            </w:pPr>
            <w:proofErr w:type="spellStart"/>
            <w:r w:rsidRPr="00D662C2">
              <w:rPr>
                <w:rFonts w:ascii="Times New Roman" w:hAnsi="Times New Roman" w:cs="Times New Roman"/>
                <w:sz w:val="22"/>
                <w:szCs w:val="22"/>
              </w:rPr>
              <w:t>M'Boundi</w:t>
            </w:r>
            <w:proofErr w:type="spellEnd"/>
            <w:r w:rsidRPr="00D662C2">
              <w:rPr>
                <w:rFonts w:ascii="Times New Roman" w:hAnsi="Times New Roman" w:cs="Times New Roman"/>
                <w:sz w:val="22"/>
                <w:szCs w:val="22"/>
              </w:rPr>
              <w:t xml:space="preserve"> field + Marine XII (via </w:t>
            </w:r>
            <w:proofErr w:type="spellStart"/>
            <w:r w:rsidRPr="00D662C2">
              <w:rPr>
                <w:rFonts w:ascii="Times New Roman" w:hAnsi="Times New Roman" w:cs="Times New Roman"/>
                <w:sz w:val="22"/>
                <w:szCs w:val="22"/>
              </w:rPr>
              <w:t>Litchendjili</w:t>
            </w:r>
            <w:proofErr w:type="spellEnd"/>
            <w:r w:rsidRPr="00D662C2">
              <w:rPr>
                <w:rFonts w:ascii="Times New Roman" w:hAnsi="Times New Roman" w:cs="Times New Roman"/>
                <w:sz w:val="22"/>
                <w:szCs w:val="22"/>
              </w:rPr>
              <w:t xml:space="preserve"> gas plant) + a long-term agreement with the Marine XII consortium and Eni's Mbungu field</w:t>
            </w:r>
          </w:p>
        </w:tc>
        <w:tc>
          <w:tcPr>
            <w:tcW w:w="0" w:type="auto"/>
            <w:hideMark/>
          </w:tcPr>
          <w:p w14:paraId="0A69552D"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Operational</w:t>
            </w:r>
            <w:r w:rsidRPr="00D662C2">
              <w:rPr>
                <w:rFonts w:ascii="Times New Roman" w:hAnsi="Times New Roman" w:cs="Times New Roman"/>
                <w:sz w:val="22"/>
                <w:szCs w:val="22"/>
              </w:rPr>
              <w:t xml:space="preserve">; expansion/combined-cycle conversion </w:t>
            </w:r>
            <w:r w:rsidRPr="00D662C2">
              <w:rPr>
                <w:rFonts w:ascii="Times New Roman" w:hAnsi="Times New Roman" w:cs="Times New Roman"/>
                <w:b/>
                <w:bCs/>
                <w:sz w:val="22"/>
                <w:szCs w:val="22"/>
              </w:rPr>
              <w:t>Development</w:t>
            </w:r>
          </w:p>
        </w:tc>
      </w:tr>
      <w:tr w:rsidR="00D662C2" w:rsidRPr="00D662C2" w14:paraId="64229999" w14:textId="77777777" w:rsidTr="00D662C2">
        <w:tc>
          <w:tcPr>
            <w:tcW w:w="0" w:type="auto"/>
            <w:hideMark/>
          </w:tcPr>
          <w:p w14:paraId="2F5D5B7D"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 xml:space="preserve">Centrale </w:t>
            </w:r>
            <w:proofErr w:type="spellStart"/>
            <w:r w:rsidRPr="00D662C2">
              <w:rPr>
                <w:rFonts w:ascii="Times New Roman" w:hAnsi="Times New Roman" w:cs="Times New Roman"/>
                <w:sz w:val="22"/>
                <w:szCs w:val="22"/>
              </w:rPr>
              <w:t>Électrique</w:t>
            </w:r>
            <w:proofErr w:type="spellEnd"/>
            <w:r w:rsidRPr="00D662C2">
              <w:rPr>
                <w:rFonts w:ascii="Times New Roman" w:hAnsi="Times New Roman" w:cs="Times New Roman"/>
                <w:sz w:val="22"/>
                <w:szCs w:val="22"/>
              </w:rPr>
              <w:t xml:space="preserve"> du </w:t>
            </w:r>
            <w:proofErr w:type="spellStart"/>
            <w:r w:rsidRPr="00D662C2">
              <w:rPr>
                <w:rFonts w:ascii="Times New Roman" w:hAnsi="Times New Roman" w:cs="Times New Roman"/>
                <w:sz w:val="22"/>
                <w:szCs w:val="22"/>
              </w:rPr>
              <w:t>Djéno</w:t>
            </w:r>
            <w:proofErr w:type="spellEnd"/>
            <w:r w:rsidRPr="00D662C2">
              <w:rPr>
                <w:rFonts w:ascii="Times New Roman" w:hAnsi="Times New Roman" w:cs="Times New Roman"/>
                <w:sz w:val="22"/>
                <w:szCs w:val="22"/>
              </w:rPr>
              <w:t xml:space="preserve"> (CED)</w:t>
            </w:r>
          </w:p>
        </w:tc>
        <w:tc>
          <w:tcPr>
            <w:tcW w:w="0" w:type="auto"/>
            <w:hideMark/>
          </w:tcPr>
          <w:p w14:paraId="2B8BA287"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Gas turbine, combined-cycle (2 × 25 MW units)</w:t>
            </w:r>
          </w:p>
        </w:tc>
        <w:tc>
          <w:tcPr>
            <w:tcW w:w="0" w:type="auto"/>
            <w:hideMark/>
          </w:tcPr>
          <w:p w14:paraId="26E6DFE6"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50 MW</w:t>
            </w:r>
            <w:r w:rsidRPr="00D662C2">
              <w:rPr>
                <w:rFonts w:ascii="Times New Roman" w:hAnsi="Times New Roman" w:cs="Times New Roman"/>
                <w:sz w:val="22"/>
                <w:szCs w:val="22"/>
              </w:rPr>
              <w:t xml:space="preserve"> (2025, following conversion from oil to gas)</w:t>
            </w:r>
          </w:p>
        </w:tc>
        <w:tc>
          <w:tcPr>
            <w:tcW w:w="0" w:type="auto"/>
            <w:hideMark/>
          </w:tcPr>
          <w:p w14:paraId="02283FA5"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separately disclosed</w:t>
            </w:r>
          </w:p>
        </w:tc>
        <w:tc>
          <w:tcPr>
            <w:tcW w:w="0" w:type="auto"/>
            <w:hideMark/>
          </w:tcPr>
          <w:p w14:paraId="5D1E3C2F"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6BF7CD76"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1C921869"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 xml:space="preserve">Marine XII and </w:t>
            </w:r>
            <w:proofErr w:type="spellStart"/>
            <w:r w:rsidRPr="00D662C2">
              <w:rPr>
                <w:rFonts w:ascii="Times New Roman" w:hAnsi="Times New Roman" w:cs="Times New Roman"/>
                <w:sz w:val="22"/>
                <w:szCs w:val="22"/>
              </w:rPr>
              <w:t>M'Boundi</w:t>
            </w:r>
            <w:proofErr w:type="spellEnd"/>
          </w:p>
        </w:tc>
        <w:tc>
          <w:tcPr>
            <w:tcW w:w="0" w:type="auto"/>
            <w:hideMark/>
          </w:tcPr>
          <w:p w14:paraId="2BBF4764"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Operational</w:t>
            </w:r>
            <w:r w:rsidRPr="00D662C2">
              <w:rPr>
                <w:rFonts w:ascii="Times New Roman" w:hAnsi="Times New Roman" w:cs="Times New Roman"/>
                <w:sz w:val="22"/>
                <w:szCs w:val="22"/>
              </w:rPr>
              <w:t xml:space="preserve"> (first turbine March 2025); expansion to ~100 MW </w:t>
            </w:r>
            <w:r w:rsidRPr="00D662C2">
              <w:rPr>
                <w:rFonts w:ascii="Times New Roman" w:hAnsi="Times New Roman" w:cs="Times New Roman"/>
                <w:b/>
                <w:bCs/>
                <w:sz w:val="22"/>
                <w:szCs w:val="22"/>
              </w:rPr>
              <w:t>Proposed</w:t>
            </w:r>
            <w:r w:rsidRPr="00D662C2">
              <w:rPr>
                <w:rFonts w:ascii="Times New Roman" w:hAnsi="Times New Roman" w:cs="Times New Roman"/>
                <w:sz w:val="22"/>
                <w:szCs w:val="22"/>
              </w:rPr>
              <w:t xml:space="preserve">, further expansion to 700 MW/1,000 MW </w:t>
            </w:r>
            <w:r w:rsidRPr="00D662C2">
              <w:rPr>
                <w:rFonts w:ascii="Times New Roman" w:hAnsi="Times New Roman" w:cs="Times New Roman"/>
                <w:b/>
                <w:bCs/>
                <w:sz w:val="22"/>
                <w:szCs w:val="22"/>
              </w:rPr>
              <w:t>Conceptual</w:t>
            </w:r>
            <w:r w:rsidRPr="00D662C2">
              <w:rPr>
                <w:rFonts w:ascii="Times New Roman" w:hAnsi="Times New Roman" w:cs="Times New Roman"/>
                <w:sz w:val="22"/>
                <w:szCs w:val="22"/>
              </w:rPr>
              <w:t xml:space="preserve"> (per Hydrocarbons Ministry statements)</w:t>
            </w:r>
          </w:p>
        </w:tc>
      </w:tr>
      <w:tr w:rsidR="00D662C2" w:rsidRPr="00D662C2" w14:paraId="606632DB" w14:textId="77777777" w:rsidTr="00D662C2">
        <w:tc>
          <w:tcPr>
            <w:tcW w:w="0" w:type="auto"/>
            <w:hideMark/>
          </w:tcPr>
          <w:p w14:paraId="1E6B6D5B" w14:textId="77777777" w:rsidR="00D662C2" w:rsidRPr="00D662C2" w:rsidRDefault="00D662C2" w:rsidP="00D662C2">
            <w:pPr>
              <w:spacing w:after="160"/>
              <w:jc w:val="both"/>
              <w:rPr>
                <w:rFonts w:ascii="Times New Roman" w:hAnsi="Times New Roman" w:cs="Times New Roman"/>
                <w:sz w:val="22"/>
                <w:szCs w:val="22"/>
              </w:rPr>
            </w:pPr>
            <w:proofErr w:type="spellStart"/>
            <w:r w:rsidRPr="00D662C2">
              <w:rPr>
                <w:rFonts w:ascii="Times New Roman" w:hAnsi="Times New Roman" w:cs="Times New Roman"/>
                <w:sz w:val="22"/>
                <w:szCs w:val="22"/>
              </w:rPr>
              <w:t>Tchendo</w:t>
            </w:r>
            <w:proofErr w:type="spellEnd"/>
            <w:r w:rsidRPr="00D662C2">
              <w:rPr>
                <w:rFonts w:ascii="Times New Roman" w:hAnsi="Times New Roman" w:cs="Times New Roman"/>
                <w:sz w:val="22"/>
                <w:szCs w:val="22"/>
              </w:rPr>
              <w:t xml:space="preserve"> 2 MOPU (Perenco, offshore)</w:t>
            </w:r>
          </w:p>
        </w:tc>
        <w:tc>
          <w:tcPr>
            <w:tcW w:w="0" w:type="auto"/>
            <w:hideMark/>
          </w:tcPr>
          <w:p w14:paraId="1A4F0FAE"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3× gas turbines (self-generation)</w:t>
            </w:r>
          </w:p>
        </w:tc>
        <w:tc>
          <w:tcPr>
            <w:tcW w:w="0" w:type="auto"/>
            <w:hideMark/>
          </w:tcPr>
          <w:p w14:paraId="661954F5"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27 MW</w:t>
            </w:r>
          </w:p>
        </w:tc>
        <w:tc>
          <w:tcPr>
            <w:tcW w:w="0" w:type="auto"/>
            <w:hideMark/>
          </w:tcPr>
          <w:p w14:paraId="74DD3788"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 (self-consumption facility)</w:t>
            </w:r>
          </w:p>
        </w:tc>
        <w:tc>
          <w:tcPr>
            <w:tcW w:w="0" w:type="auto"/>
            <w:hideMark/>
          </w:tcPr>
          <w:p w14:paraId="65A85843"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 xml:space="preserve">Up to 10 </w:t>
            </w:r>
            <w:proofErr w:type="spellStart"/>
            <w:r w:rsidRPr="00D662C2">
              <w:rPr>
                <w:rFonts w:ascii="Times New Roman" w:hAnsi="Times New Roman" w:cs="Times New Roman"/>
                <w:sz w:val="22"/>
                <w:szCs w:val="22"/>
              </w:rPr>
              <w:t>mmscfd</w:t>
            </w:r>
            <w:proofErr w:type="spellEnd"/>
          </w:p>
        </w:tc>
        <w:tc>
          <w:tcPr>
            <w:tcW w:w="0" w:type="auto"/>
            <w:hideMark/>
          </w:tcPr>
          <w:p w14:paraId="064EE5EC"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 (see benchmark discussion, Section 16)</w:t>
            </w:r>
          </w:p>
        </w:tc>
        <w:tc>
          <w:tcPr>
            <w:tcW w:w="0" w:type="auto"/>
            <w:hideMark/>
          </w:tcPr>
          <w:p w14:paraId="1BD75193" w14:textId="77777777" w:rsidR="00D662C2" w:rsidRPr="00D662C2" w:rsidRDefault="00D662C2" w:rsidP="00D662C2">
            <w:pPr>
              <w:spacing w:after="160"/>
              <w:jc w:val="both"/>
              <w:rPr>
                <w:rFonts w:ascii="Times New Roman" w:hAnsi="Times New Roman" w:cs="Times New Roman"/>
                <w:sz w:val="22"/>
                <w:szCs w:val="22"/>
              </w:rPr>
            </w:pPr>
            <w:proofErr w:type="spellStart"/>
            <w:r w:rsidRPr="00D662C2">
              <w:rPr>
                <w:rFonts w:ascii="Times New Roman" w:hAnsi="Times New Roman" w:cs="Times New Roman"/>
                <w:sz w:val="22"/>
                <w:szCs w:val="22"/>
              </w:rPr>
              <w:t>Likouala</w:t>
            </w:r>
            <w:proofErr w:type="spellEnd"/>
            <w:r w:rsidRPr="00D662C2">
              <w:rPr>
                <w:rFonts w:ascii="Times New Roman" w:hAnsi="Times New Roman" w:cs="Times New Roman"/>
                <w:sz w:val="22"/>
                <w:szCs w:val="22"/>
              </w:rPr>
              <w:t>/Emeraude/PNGF associated gas</w:t>
            </w:r>
          </w:p>
        </w:tc>
        <w:tc>
          <w:tcPr>
            <w:tcW w:w="0" w:type="auto"/>
            <w:hideMark/>
          </w:tcPr>
          <w:p w14:paraId="2E6128C7"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Operational</w:t>
            </w:r>
            <w:r w:rsidRPr="00D662C2">
              <w:rPr>
                <w:rFonts w:ascii="Times New Roman" w:hAnsi="Times New Roman" w:cs="Times New Roman"/>
                <w:sz w:val="22"/>
                <w:szCs w:val="22"/>
              </w:rPr>
              <w:t xml:space="preserve"> (commissioned 2024) — </w:t>
            </w:r>
            <w:r w:rsidRPr="00D662C2">
              <w:rPr>
                <w:rFonts w:ascii="Times New Roman" w:hAnsi="Times New Roman" w:cs="Times New Roman"/>
                <w:b/>
                <w:bCs/>
                <w:sz w:val="22"/>
                <w:szCs w:val="22"/>
              </w:rPr>
              <w:t>not connected to the national grid</w:t>
            </w:r>
            <w:r w:rsidRPr="00D662C2">
              <w:rPr>
                <w:rFonts w:ascii="Times New Roman" w:hAnsi="Times New Roman" w:cs="Times New Roman"/>
                <w:sz w:val="22"/>
                <w:szCs w:val="22"/>
              </w:rPr>
              <w:t>; included as a technical benchmark only</w:t>
            </w:r>
          </w:p>
        </w:tc>
      </w:tr>
      <w:tr w:rsidR="00D662C2" w:rsidRPr="00D662C2" w14:paraId="76576531" w14:textId="77777777" w:rsidTr="00D662C2">
        <w:tc>
          <w:tcPr>
            <w:tcW w:w="0" w:type="auto"/>
            <w:hideMark/>
          </w:tcPr>
          <w:p w14:paraId="4BB9F039"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Proposed 1,000 MW gas plant, Pointe-Noire Special Economic Zone</w:t>
            </w:r>
          </w:p>
        </w:tc>
        <w:tc>
          <w:tcPr>
            <w:tcW w:w="0" w:type="auto"/>
            <w:hideMark/>
          </w:tcPr>
          <w:p w14:paraId="37418D6E"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yet specified</w:t>
            </w:r>
          </w:p>
        </w:tc>
        <w:tc>
          <w:tcPr>
            <w:tcW w:w="0" w:type="auto"/>
            <w:hideMark/>
          </w:tcPr>
          <w:p w14:paraId="68DB7CD1"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1,000 MW (proposed)</w:t>
            </w:r>
          </w:p>
        </w:tc>
        <w:tc>
          <w:tcPr>
            <w:tcW w:w="0" w:type="auto"/>
            <w:hideMark/>
          </w:tcPr>
          <w:p w14:paraId="47503F2F"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N/A</w:t>
            </w:r>
          </w:p>
        </w:tc>
        <w:tc>
          <w:tcPr>
            <w:tcW w:w="0" w:type="auto"/>
            <w:hideMark/>
          </w:tcPr>
          <w:p w14:paraId="6C94BF12"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2172FCF1"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535E7680"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69F4FB3E" w14:textId="77777777" w:rsidR="00D662C2" w:rsidRPr="00D662C2" w:rsidRDefault="00D662C2" w:rsidP="00D662C2">
            <w:pPr>
              <w:spacing w:after="160"/>
              <w:jc w:val="both"/>
              <w:rPr>
                <w:rFonts w:ascii="Times New Roman" w:hAnsi="Times New Roman" w:cs="Times New Roman"/>
                <w:sz w:val="22"/>
                <w:szCs w:val="22"/>
              </w:rPr>
            </w:pPr>
            <w:r w:rsidRPr="00D662C2">
              <w:rPr>
                <w:rFonts w:ascii="Times New Roman" w:hAnsi="Times New Roman" w:cs="Times New Roman"/>
                <w:b/>
                <w:bCs/>
                <w:sz w:val="22"/>
                <w:szCs w:val="22"/>
              </w:rPr>
              <w:t>Conceptual</w:t>
            </w:r>
            <w:r w:rsidRPr="00D662C2">
              <w:rPr>
                <w:rFonts w:ascii="Times New Roman" w:hAnsi="Times New Roman" w:cs="Times New Roman"/>
                <w:sz w:val="22"/>
                <w:szCs w:val="22"/>
              </w:rPr>
              <w:t xml:space="preserve"> — reported as under discussion between the Congolese government and Chinese developers; no FID or engineering data identified</w:t>
            </w:r>
          </w:p>
        </w:tc>
      </w:tr>
    </w:tbl>
    <w:p w14:paraId="11D209AE" w14:textId="1BF70F17" w:rsidR="00D662C2" w:rsidRPr="00D662C2" w:rsidRDefault="00D662C2" w:rsidP="00D662C2">
      <w:pPr>
        <w:jc w:val="both"/>
        <w:rPr>
          <w:rFonts w:ascii="Times New Roman" w:hAnsi="Times New Roman" w:cs="Times New Roman"/>
        </w:rPr>
      </w:pPr>
      <w:r w:rsidRPr="00D662C2">
        <w:rPr>
          <w:rFonts w:ascii="Times New Roman" w:hAnsi="Times New Roman" w:cs="Times New Roman"/>
        </w:rPr>
        <w:lastRenderedPageBreak/>
        <w:t>National generation share: Eni states CEC alone accounts for approximately 70% of Congo's national electricity generation capacity; a 2021 World Bank data point shows CEC (and the gas fleet broadly) supplied 68.5% of grid injection from gas versus 31.2% from hydro and 0.3% from imports, with CEC specifically contributing 69% of the 3,159 GWh generated nationally that year. These figures are broadly consistent with each other and indicate gas has been the dominant generation source since 2010, notwithstanding Congo's hydro assets</w:t>
      </w:r>
      <w:r>
        <w:rPr>
          <w:rFonts w:ascii="Times New Roman" w:hAnsi="Times New Roman" w:cs="Times New Roman"/>
        </w:rPr>
        <w:t>.</w:t>
      </w:r>
    </w:p>
    <w:p w14:paraId="41CA1BDF" w14:textId="61E4C1D9" w:rsidR="00D662C2" w:rsidRPr="00D662C2" w:rsidRDefault="00D662C2" w:rsidP="00D662C2">
      <w:pPr>
        <w:jc w:val="both"/>
        <w:rPr>
          <w:rFonts w:ascii="Times New Roman" w:hAnsi="Times New Roman" w:cs="Times New Roman"/>
        </w:rPr>
      </w:pPr>
    </w:p>
    <w:p w14:paraId="019C14AE"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3. Electricity Demand and Supply Dynamics</w:t>
      </w:r>
    </w:p>
    <w:p w14:paraId="5BD20271"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3.1 Current position</w:t>
      </w:r>
    </w:p>
    <w:tbl>
      <w:tblPr>
        <w:tblStyle w:val="TableGrid"/>
        <w:tblW w:w="0" w:type="auto"/>
        <w:tblLook w:val="04A0" w:firstRow="1" w:lastRow="0" w:firstColumn="1" w:lastColumn="0" w:noHBand="0" w:noVBand="1"/>
      </w:tblPr>
      <w:tblGrid>
        <w:gridCol w:w="1639"/>
        <w:gridCol w:w="3253"/>
        <w:gridCol w:w="2551"/>
        <w:gridCol w:w="1907"/>
      </w:tblGrid>
      <w:tr w:rsidR="00D662C2" w:rsidRPr="00D662C2" w14:paraId="6EF44941" w14:textId="77777777" w:rsidTr="00D662C2">
        <w:tc>
          <w:tcPr>
            <w:tcW w:w="0" w:type="auto"/>
            <w:hideMark/>
          </w:tcPr>
          <w:p w14:paraId="22B4A1D7"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Indicator</w:t>
            </w:r>
          </w:p>
        </w:tc>
        <w:tc>
          <w:tcPr>
            <w:tcW w:w="0" w:type="auto"/>
            <w:hideMark/>
          </w:tcPr>
          <w:p w14:paraId="06B16C8E"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Value</w:t>
            </w:r>
          </w:p>
        </w:tc>
        <w:tc>
          <w:tcPr>
            <w:tcW w:w="0" w:type="auto"/>
            <w:hideMark/>
          </w:tcPr>
          <w:p w14:paraId="5F9E46F2"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Period</w:t>
            </w:r>
          </w:p>
        </w:tc>
        <w:tc>
          <w:tcPr>
            <w:tcW w:w="0" w:type="auto"/>
            <w:hideMark/>
          </w:tcPr>
          <w:p w14:paraId="56149711"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Source</w:t>
            </w:r>
          </w:p>
        </w:tc>
      </w:tr>
      <w:tr w:rsidR="00D662C2" w:rsidRPr="00D662C2" w14:paraId="45E3D56B" w14:textId="77777777" w:rsidTr="00D662C2">
        <w:tc>
          <w:tcPr>
            <w:tcW w:w="0" w:type="auto"/>
            <w:hideMark/>
          </w:tcPr>
          <w:p w14:paraId="2CAB39E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Total installed generation capacity</w:t>
            </w:r>
          </w:p>
        </w:tc>
        <w:tc>
          <w:tcPr>
            <w:tcW w:w="0" w:type="auto"/>
            <w:hideMark/>
          </w:tcPr>
          <w:p w14:paraId="3FD90CF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~830 MW (per </w:t>
            </w:r>
            <w:proofErr w:type="spellStart"/>
            <w:r w:rsidRPr="00D662C2">
              <w:rPr>
                <w:rFonts w:ascii="Times New Roman" w:hAnsi="Times New Roman" w:cs="Times New Roman"/>
                <w:sz w:val="22"/>
                <w:szCs w:val="22"/>
              </w:rPr>
              <w:t>Enerdata</w:t>
            </w:r>
            <w:proofErr w:type="spellEnd"/>
            <w:r w:rsidRPr="00D662C2">
              <w:rPr>
                <w:rFonts w:ascii="Times New Roman" w:hAnsi="Times New Roman" w:cs="Times New Roman"/>
                <w:sz w:val="22"/>
                <w:szCs w:val="22"/>
              </w:rPr>
              <w:t>) — reconcilable with World Bank's more granular 2021 figure of 534 MW gas + 231 MW hydro = 765 MW, with the gap likely reflecting CED expansion and/or rounding</w:t>
            </w:r>
          </w:p>
        </w:tc>
        <w:tc>
          <w:tcPr>
            <w:tcW w:w="0" w:type="auto"/>
            <w:hideMark/>
          </w:tcPr>
          <w:p w14:paraId="04D416F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2021–2024 (sources vary in vintage)</w:t>
            </w:r>
          </w:p>
        </w:tc>
        <w:tc>
          <w:tcPr>
            <w:tcW w:w="0" w:type="auto"/>
            <w:hideMark/>
          </w:tcPr>
          <w:p w14:paraId="5782898D" w14:textId="77777777" w:rsidR="00D662C2" w:rsidRPr="00D662C2" w:rsidRDefault="00D662C2" w:rsidP="00D662C2">
            <w:pPr>
              <w:spacing w:after="160" w:line="278" w:lineRule="auto"/>
              <w:jc w:val="both"/>
              <w:rPr>
                <w:rFonts w:ascii="Times New Roman" w:hAnsi="Times New Roman" w:cs="Times New Roman"/>
                <w:sz w:val="22"/>
                <w:szCs w:val="22"/>
              </w:rPr>
            </w:pPr>
            <w:proofErr w:type="spellStart"/>
            <w:r w:rsidRPr="00D662C2">
              <w:rPr>
                <w:rFonts w:ascii="Times New Roman" w:hAnsi="Times New Roman" w:cs="Times New Roman"/>
                <w:sz w:val="22"/>
                <w:szCs w:val="22"/>
              </w:rPr>
              <w:t>Enerdata</w:t>
            </w:r>
            <w:proofErr w:type="spellEnd"/>
            <w:r w:rsidRPr="00D662C2">
              <w:rPr>
                <w:rFonts w:ascii="Times New Roman" w:hAnsi="Times New Roman" w:cs="Times New Roman"/>
                <w:sz w:val="22"/>
                <w:szCs w:val="22"/>
              </w:rPr>
              <w:t>; World Bank</w:t>
            </w:r>
          </w:p>
        </w:tc>
      </w:tr>
      <w:tr w:rsidR="00D662C2" w:rsidRPr="00D662C2" w14:paraId="06F90028" w14:textId="77777777" w:rsidTr="00D662C2">
        <w:tc>
          <w:tcPr>
            <w:tcW w:w="0" w:type="auto"/>
            <w:hideMark/>
          </w:tcPr>
          <w:p w14:paraId="507F32A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Available generation capacity</w:t>
            </w:r>
          </w:p>
        </w:tc>
        <w:tc>
          <w:tcPr>
            <w:tcW w:w="0" w:type="auto"/>
            <w:hideMark/>
          </w:tcPr>
          <w:p w14:paraId="3AC60C4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378 MW of 534 MW installed (71%); Hydro: 194.5 MW of 231 MW installed (84%, though seasonally variable)</w:t>
            </w:r>
          </w:p>
        </w:tc>
        <w:tc>
          <w:tcPr>
            <w:tcW w:w="0" w:type="auto"/>
            <w:hideMark/>
          </w:tcPr>
          <w:p w14:paraId="5AD1C5B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2021</w:t>
            </w:r>
          </w:p>
        </w:tc>
        <w:tc>
          <w:tcPr>
            <w:tcW w:w="0" w:type="auto"/>
            <w:hideMark/>
          </w:tcPr>
          <w:p w14:paraId="3C9A4FE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World Bank</w:t>
            </w:r>
          </w:p>
        </w:tc>
      </w:tr>
      <w:tr w:rsidR="00D662C2" w:rsidRPr="00D662C2" w14:paraId="54065826" w14:textId="77777777" w:rsidTr="00D662C2">
        <w:tc>
          <w:tcPr>
            <w:tcW w:w="0" w:type="auto"/>
            <w:hideMark/>
          </w:tcPr>
          <w:p w14:paraId="1987B5D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Total electricity generated</w:t>
            </w:r>
          </w:p>
        </w:tc>
        <w:tc>
          <w:tcPr>
            <w:tcW w:w="0" w:type="auto"/>
            <w:hideMark/>
          </w:tcPr>
          <w:p w14:paraId="065761C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3,159 GWh</w:t>
            </w:r>
          </w:p>
        </w:tc>
        <w:tc>
          <w:tcPr>
            <w:tcW w:w="0" w:type="auto"/>
            <w:hideMark/>
          </w:tcPr>
          <w:p w14:paraId="614FE2D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2021</w:t>
            </w:r>
          </w:p>
        </w:tc>
        <w:tc>
          <w:tcPr>
            <w:tcW w:w="0" w:type="auto"/>
            <w:hideMark/>
          </w:tcPr>
          <w:p w14:paraId="50BF3FF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World Bank</w:t>
            </w:r>
          </w:p>
        </w:tc>
      </w:tr>
      <w:tr w:rsidR="00D662C2" w:rsidRPr="00D662C2" w14:paraId="757142E6" w14:textId="77777777" w:rsidTr="00D662C2">
        <w:tc>
          <w:tcPr>
            <w:tcW w:w="0" w:type="auto"/>
            <w:hideMark/>
          </w:tcPr>
          <w:p w14:paraId="12708D1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Generation mix (grid injection)</w:t>
            </w:r>
          </w:p>
        </w:tc>
        <w:tc>
          <w:tcPr>
            <w:tcW w:w="0" w:type="auto"/>
            <w:hideMark/>
          </w:tcPr>
          <w:p w14:paraId="02E1525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68.5% natural gas, 31.2% hydro, 0.3% imports</w:t>
            </w:r>
          </w:p>
        </w:tc>
        <w:tc>
          <w:tcPr>
            <w:tcW w:w="0" w:type="auto"/>
            <w:hideMark/>
          </w:tcPr>
          <w:p w14:paraId="191FD8A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2021</w:t>
            </w:r>
          </w:p>
        </w:tc>
        <w:tc>
          <w:tcPr>
            <w:tcW w:w="0" w:type="auto"/>
            <w:hideMark/>
          </w:tcPr>
          <w:p w14:paraId="75C72F5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World Bank/Ministry of Energy</w:t>
            </w:r>
          </w:p>
        </w:tc>
      </w:tr>
      <w:tr w:rsidR="00D662C2" w:rsidRPr="00D662C2" w14:paraId="1A2CC4A0" w14:textId="77777777" w:rsidTr="00D662C2">
        <w:tc>
          <w:tcPr>
            <w:tcW w:w="0" w:type="auto"/>
            <w:hideMark/>
          </w:tcPr>
          <w:p w14:paraId="1520674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Transmission and distribution losses</w:t>
            </w:r>
          </w:p>
        </w:tc>
        <w:tc>
          <w:tcPr>
            <w:tcW w:w="0" w:type="auto"/>
            <w:hideMark/>
          </w:tcPr>
          <w:p w14:paraId="1726835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42%</w:t>
            </w:r>
            <w:r w:rsidRPr="00D662C2">
              <w:rPr>
                <w:rFonts w:ascii="Times New Roman" w:hAnsi="Times New Roman" w:cs="Times New Roman"/>
                <w:sz w:val="22"/>
                <w:szCs w:val="22"/>
              </w:rPr>
              <w:t xml:space="preserve"> — roughly double the Sub-Saharan African average of 22%</w:t>
            </w:r>
          </w:p>
        </w:tc>
        <w:tc>
          <w:tcPr>
            <w:tcW w:w="0" w:type="auto"/>
            <w:hideMark/>
          </w:tcPr>
          <w:p w14:paraId="3B890F5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2021–2023 (World Bank cites this as a persistent, systemic issue linked to underinvestment)</w:t>
            </w:r>
          </w:p>
        </w:tc>
        <w:tc>
          <w:tcPr>
            <w:tcW w:w="0" w:type="auto"/>
            <w:hideMark/>
          </w:tcPr>
          <w:p w14:paraId="141F91E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World Bank</w:t>
            </w:r>
          </w:p>
        </w:tc>
      </w:tr>
      <w:tr w:rsidR="00D662C2" w:rsidRPr="00D662C2" w14:paraId="258023A5" w14:textId="77777777" w:rsidTr="00D662C2">
        <w:tc>
          <w:tcPr>
            <w:tcW w:w="0" w:type="auto"/>
            <w:hideMark/>
          </w:tcPr>
          <w:p w14:paraId="427FFE1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access (national)</w:t>
            </w:r>
          </w:p>
        </w:tc>
        <w:tc>
          <w:tcPr>
            <w:tcW w:w="0" w:type="auto"/>
            <w:hideMark/>
          </w:tcPr>
          <w:p w14:paraId="4342F17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~50%</w:t>
            </w:r>
          </w:p>
        </w:tc>
        <w:tc>
          <w:tcPr>
            <w:tcW w:w="0" w:type="auto"/>
            <w:hideMark/>
          </w:tcPr>
          <w:p w14:paraId="7A368F3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 2025</w:t>
            </w:r>
          </w:p>
        </w:tc>
        <w:tc>
          <w:tcPr>
            <w:tcW w:w="0" w:type="auto"/>
            <w:hideMark/>
          </w:tcPr>
          <w:p w14:paraId="1A2200A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Energy Capital &amp; Power (citing government figures)</w:t>
            </w:r>
          </w:p>
        </w:tc>
      </w:tr>
      <w:tr w:rsidR="00D662C2" w:rsidRPr="00D662C2" w14:paraId="7DE47186" w14:textId="77777777" w:rsidTr="00D662C2">
        <w:tc>
          <w:tcPr>
            <w:tcW w:w="0" w:type="auto"/>
            <w:hideMark/>
          </w:tcPr>
          <w:p w14:paraId="3FE4390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access (rural)</w:t>
            </w:r>
          </w:p>
        </w:tc>
        <w:tc>
          <w:tcPr>
            <w:tcW w:w="0" w:type="auto"/>
            <w:hideMark/>
          </w:tcPr>
          <w:p w14:paraId="316C6AF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~12%</w:t>
            </w:r>
          </w:p>
        </w:tc>
        <w:tc>
          <w:tcPr>
            <w:tcW w:w="0" w:type="auto"/>
            <w:hideMark/>
          </w:tcPr>
          <w:p w14:paraId="2750E3D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 2025</w:t>
            </w:r>
          </w:p>
        </w:tc>
        <w:tc>
          <w:tcPr>
            <w:tcW w:w="0" w:type="auto"/>
            <w:hideMark/>
          </w:tcPr>
          <w:p w14:paraId="6540B17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Energy Capital &amp; Power</w:t>
            </w:r>
          </w:p>
        </w:tc>
      </w:tr>
      <w:tr w:rsidR="00D662C2" w:rsidRPr="00D662C2" w14:paraId="12659BF1" w14:textId="77777777" w:rsidTr="00D662C2">
        <w:tc>
          <w:tcPr>
            <w:tcW w:w="0" w:type="auto"/>
            <w:hideMark/>
          </w:tcPr>
          <w:p w14:paraId="3FE41F5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Electricity consumption per capita</w:t>
            </w:r>
          </w:p>
        </w:tc>
        <w:tc>
          <w:tcPr>
            <w:tcW w:w="0" w:type="auto"/>
            <w:hideMark/>
          </w:tcPr>
          <w:p w14:paraId="2D92F13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836 kWh (2023), up from 815 kWh (2022)</w:t>
            </w:r>
          </w:p>
        </w:tc>
        <w:tc>
          <w:tcPr>
            <w:tcW w:w="0" w:type="auto"/>
            <w:hideMark/>
          </w:tcPr>
          <w:p w14:paraId="793DD0E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2022–2023</w:t>
            </w:r>
          </w:p>
        </w:tc>
        <w:tc>
          <w:tcPr>
            <w:tcW w:w="0" w:type="auto"/>
            <w:hideMark/>
          </w:tcPr>
          <w:p w14:paraId="5384380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Low-Carbon Power / IEA-derived data</w:t>
            </w:r>
          </w:p>
        </w:tc>
      </w:tr>
    </w:tbl>
    <w:p w14:paraId="150EC485" w14:textId="77777777" w:rsidR="00D662C2" w:rsidRPr="00D662C2" w:rsidRDefault="00D662C2" w:rsidP="00D662C2">
      <w:pPr>
        <w:jc w:val="both"/>
        <w:rPr>
          <w:rFonts w:ascii="Times New Roman" w:hAnsi="Times New Roman" w:cs="Times New Roman"/>
        </w:rPr>
      </w:pPr>
    </w:p>
    <w:p w14:paraId="5F1C1FA6" w14:textId="6F4E1BE9" w:rsidR="00D662C2" w:rsidRPr="00D662C2" w:rsidRDefault="00D662C2" w:rsidP="00D662C2">
      <w:pPr>
        <w:jc w:val="both"/>
        <w:rPr>
          <w:rFonts w:ascii="Times New Roman" w:hAnsi="Times New Roman" w:cs="Times New Roman"/>
        </w:rPr>
      </w:pPr>
      <w:r>
        <w:rPr>
          <w:rFonts w:ascii="Times New Roman" w:hAnsi="Times New Roman" w:cs="Times New Roman"/>
        </w:rPr>
        <w:t xml:space="preserve">No </w:t>
      </w:r>
      <w:r w:rsidRPr="00D662C2">
        <w:rPr>
          <w:rFonts w:ascii="Times New Roman" w:hAnsi="Times New Roman" w:cs="Times New Roman"/>
        </w:rPr>
        <w:t>disaggregated, current (2025–2026) peak-demand figure in MW was identified in the sources reviewed. Given generation of 3,159 GWh in 2021 implies an average load of roughly 360 MW (3,159,000 MWh ÷ 8,760 hours), and typical peak-to-average load ratios for developing grids of 1.3–1.6×, peak demand can be benchmark-estimated at roughly 470–580 MW as of 2021</w:t>
      </w:r>
      <w:r w:rsidRPr="00D662C2">
        <w:rPr>
          <w:rFonts w:ascii="Times New Roman" w:hAnsi="Times New Roman" w:cs="Times New Roman"/>
        </w:rPr>
        <w:t xml:space="preserve"> </w:t>
      </w:r>
      <w:r w:rsidRPr="00D662C2">
        <w:rPr>
          <w:rFonts w:ascii="Times New Roman" w:hAnsi="Times New Roman" w:cs="Times New Roman"/>
        </w:rPr>
        <w:t>this is a derived estimate, not an official figure, and should be treated with caution given it predates the CED and CEC third-turbine ramp-up effects and recent demand growth.</w:t>
      </w:r>
    </w:p>
    <w:p w14:paraId="4909E8CE" w14:textId="77777777" w:rsidR="00D662C2" w:rsidRDefault="00D662C2" w:rsidP="00D662C2">
      <w:pPr>
        <w:jc w:val="both"/>
        <w:rPr>
          <w:rFonts w:ascii="Times New Roman" w:hAnsi="Times New Roman" w:cs="Times New Roman"/>
          <w:b/>
          <w:bCs/>
        </w:rPr>
      </w:pPr>
    </w:p>
    <w:p w14:paraId="54F71EDC" w14:textId="2291A8EA"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3.2 Demand growth projections, 2026–2040</w:t>
      </w:r>
    </w:p>
    <w:p w14:paraId="2767CBEB"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No official Congolese government or multilateral demand forecast to 2040 was identified in the sources reviewed. The projections below are benchmark scenarios, built by applying indicative sub-Saharan African urban-grid demand growth rates (5–7% p.a. for early-stage </w:t>
      </w:r>
      <w:proofErr w:type="spellStart"/>
      <w:r w:rsidRPr="00D662C2">
        <w:rPr>
          <w:rFonts w:ascii="Times New Roman" w:hAnsi="Times New Roman" w:cs="Times New Roman"/>
        </w:rPr>
        <w:t>industrialising</w:t>
      </w:r>
      <w:proofErr w:type="spellEnd"/>
      <w:r w:rsidRPr="00D662C2">
        <w:rPr>
          <w:rFonts w:ascii="Times New Roman" w:hAnsi="Times New Roman" w:cs="Times New Roman"/>
        </w:rPr>
        <w:t xml:space="preserve"> grids, moderating over time) to the 2021 generation base, and should not be read as an official Congolese forecast.</w:t>
      </w:r>
    </w:p>
    <w:tbl>
      <w:tblPr>
        <w:tblStyle w:val="TableGrid"/>
        <w:tblW w:w="0" w:type="auto"/>
        <w:tblLook w:val="04A0" w:firstRow="1" w:lastRow="0" w:firstColumn="1" w:lastColumn="0" w:noHBand="0" w:noVBand="1"/>
      </w:tblPr>
      <w:tblGrid>
        <w:gridCol w:w="1233"/>
        <w:gridCol w:w="1169"/>
        <w:gridCol w:w="1758"/>
        <w:gridCol w:w="1740"/>
        <w:gridCol w:w="1940"/>
        <w:gridCol w:w="1510"/>
      </w:tblGrid>
      <w:tr w:rsidR="00D662C2" w:rsidRPr="00D662C2" w14:paraId="132021B9" w14:textId="77777777" w:rsidTr="00D662C2">
        <w:tc>
          <w:tcPr>
            <w:tcW w:w="0" w:type="auto"/>
            <w:hideMark/>
          </w:tcPr>
          <w:p w14:paraId="5406C2B9"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Indicator</w:t>
            </w:r>
          </w:p>
        </w:tc>
        <w:tc>
          <w:tcPr>
            <w:tcW w:w="0" w:type="auto"/>
            <w:hideMark/>
          </w:tcPr>
          <w:p w14:paraId="22691092"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Historical (2021)</w:t>
            </w:r>
          </w:p>
        </w:tc>
        <w:tc>
          <w:tcPr>
            <w:tcW w:w="0" w:type="auto"/>
            <w:hideMark/>
          </w:tcPr>
          <w:p w14:paraId="33AD70F4"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2026 (benchmark)</w:t>
            </w:r>
          </w:p>
        </w:tc>
        <w:tc>
          <w:tcPr>
            <w:tcW w:w="0" w:type="auto"/>
            <w:hideMark/>
          </w:tcPr>
          <w:p w14:paraId="1FD31829"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2030 (benchmark)</w:t>
            </w:r>
          </w:p>
        </w:tc>
        <w:tc>
          <w:tcPr>
            <w:tcW w:w="0" w:type="auto"/>
            <w:hideMark/>
          </w:tcPr>
          <w:p w14:paraId="0052965E"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2035 (benchmark)</w:t>
            </w:r>
          </w:p>
        </w:tc>
        <w:tc>
          <w:tcPr>
            <w:tcW w:w="0" w:type="auto"/>
            <w:hideMark/>
          </w:tcPr>
          <w:p w14:paraId="7B5F53D6"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2040 (benchmark)</w:t>
            </w:r>
          </w:p>
        </w:tc>
      </w:tr>
      <w:tr w:rsidR="00D662C2" w:rsidRPr="00D662C2" w14:paraId="7DD3DEC6" w14:textId="77777777" w:rsidTr="00D662C2">
        <w:tc>
          <w:tcPr>
            <w:tcW w:w="0" w:type="auto"/>
            <w:hideMark/>
          </w:tcPr>
          <w:p w14:paraId="52BA642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demand (GWh/yr)</w:t>
            </w:r>
          </w:p>
        </w:tc>
        <w:tc>
          <w:tcPr>
            <w:tcW w:w="0" w:type="auto"/>
            <w:hideMark/>
          </w:tcPr>
          <w:p w14:paraId="53A079D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3,159</w:t>
            </w:r>
          </w:p>
        </w:tc>
        <w:tc>
          <w:tcPr>
            <w:tcW w:w="0" w:type="auto"/>
            <w:hideMark/>
          </w:tcPr>
          <w:p w14:paraId="4E6E1E5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~4,000–4,300 (e)</w:t>
            </w:r>
          </w:p>
        </w:tc>
        <w:tc>
          <w:tcPr>
            <w:tcW w:w="0" w:type="auto"/>
            <w:hideMark/>
          </w:tcPr>
          <w:p w14:paraId="718FD50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~5,000–5,700 (e)</w:t>
            </w:r>
          </w:p>
        </w:tc>
        <w:tc>
          <w:tcPr>
            <w:tcW w:w="0" w:type="auto"/>
            <w:hideMark/>
          </w:tcPr>
          <w:p w14:paraId="35EBBE4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~6,500–7,800 (e)</w:t>
            </w:r>
          </w:p>
        </w:tc>
        <w:tc>
          <w:tcPr>
            <w:tcW w:w="0" w:type="auto"/>
            <w:hideMark/>
          </w:tcPr>
          <w:p w14:paraId="2FEEF90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~8,500–10,900 (e)</w:t>
            </w:r>
          </w:p>
        </w:tc>
      </w:tr>
      <w:tr w:rsidR="00D662C2" w:rsidRPr="00D662C2" w14:paraId="4520DA4E" w14:textId="77777777" w:rsidTr="00D662C2">
        <w:tc>
          <w:tcPr>
            <w:tcW w:w="0" w:type="auto"/>
            <w:hideMark/>
          </w:tcPr>
          <w:p w14:paraId="4416475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Peak demand (MW, derived)</w:t>
            </w:r>
          </w:p>
        </w:tc>
        <w:tc>
          <w:tcPr>
            <w:tcW w:w="0" w:type="auto"/>
            <w:hideMark/>
          </w:tcPr>
          <w:p w14:paraId="25BBC6B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~470–580 (e)</w:t>
            </w:r>
          </w:p>
        </w:tc>
        <w:tc>
          <w:tcPr>
            <w:tcW w:w="0" w:type="auto"/>
            <w:hideMark/>
          </w:tcPr>
          <w:p w14:paraId="2FC3733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~600–650 (e)</w:t>
            </w:r>
          </w:p>
        </w:tc>
        <w:tc>
          <w:tcPr>
            <w:tcW w:w="0" w:type="auto"/>
            <w:hideMark/>
          </w:tcPr>
          <w:p w14:paraId="7826B2F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~750–850 (e)</w:t>
            </w:r>
          </w:p>
        </w:tc>
        <w:tc>
          <w:tcPr>
            <w:tcW w:w="0" w:type="auto"/>
            <w:hideMark/>
          </w:tcPr>
          <w:p w14:paraId="7FAC358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~950–1,150 (e)</w:t>
            </w:r>
          </w:p>
        </w:tc>
        <w:tc>
          <w:tcPr>
            <w:tcW w:w="0" w:type="auto"/>
            <w:hideMark/>
          </w:tcPr>
          <w:p w14:paraId="0C8E2B5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~1,250–1,600 (e)</w:t>
            </w:r>
          </w:p>
        </w:tc>
      </w:tr>
      <w:tr w:rsidR="00D662C2" w:rsidRPr="00D662C2" w14:paraId="62894763" w14:textId="77777777" w:rsidTr="00D662C2">
        <w:tc>
          <w:tcPr>
            <w:tcW w:w="0" w:type="auto"/>
            <w:hideMark/>
          </w:tcPr>
          <w:p w14:paraId="1863C34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Installed capacity (MW)</w:t>
            </w:r>
          </w:p>
        </w:tc>
        <w:tc>
          <w:tcPr>
            <w:tcW w:w="0" w:type="auto"/>
            <w:hideMark/>
          </w:tcPr>
          <w:p w14:paraId="4647EFB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~765–830</w:t>
            </w:r>
          </w:p>
        </w:tc>
        <w:tc>
          <w:tcPr>
            <w:tcW w:w="0" w:type="auto"/>
            <w:hideMark/>
          </w:tcPr>
          <w:p w14:paraId="50C4D0D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~880–950 (assuming CED expansion to ~100 MW and modest hydro additions)</w:t>
            </w:r>
          </w:p>
        </w:tc>
        <w:tc>
          <w:tcPr>
            <w:tcW w:w="0" w:type="auto"/>
            <w:hideMark/>
          </w:tcPr>
          <w:p w14:paraId="298BD3B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~1,000–1,300 (assuming CEC combined-cycle conversion and/or partial CED 700 MW expansion)</w:t>
            </w:r>
          </w:p>
        </w:tc>
        <w:tc>
          <w:tcPr>
            <w:tcW w:w="0" w:type="auto"/>
            <w:hideMark/>
          </w:tcPr>
          <w:p w14:paraId="7446F67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Highly dependent on whether the 700 MW/1,000 MW CEC pathway or the proposed 1,000 MW Pointe-Noire plant proceeds — </w:t>
            </w:r>
            <w:r w:rsidRPr="00D662C2">
              <w:rPr>
                <w:rFonts w:ascii="Times New Roman" w:hAnsi="Times New Roman" w:cs="Times New Roman"/>
                <w:b/>
                <w:bCs/>
                <w:sz w:val="22"/>
                <w:szCs w:val="22"/>
              </w:rPr>
              <w:t>not forecastable without FID data</w:t>
            </w:r>
          </w:p>
        </w:tc>
        <w:tc>
          <w:tcPr>
            <w:tcW w:w="0" w:type="auto"/>
            <w:hideMark/>
          </w:tcPr>
          <w:p w14:paraId="616B0AC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2035, compounding uncertainty</w:t>
            </w:r>
          </w:p>
        </w:tc>
      </w:tr>
      <w:tr w:rsidR="00D662C2" w:rsidRPr="00D662C2" w14:paraId="6DCD549D" w14:textId="77777777" w:rsidTr="00D662C2">
        <w:tc>
          <w:tcPr>
            <w:tcW w:w="0" w:type="auto"/>
            <w:hideMark/>
          </w:tcPr>
          <w:p w14:paraId="47848BA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Available capacity (MW)</w:t>
            </w:r>
          </w:p>
        </w:tc>
        <w:tc>
          <w:tcPr>
            <w:tcW w:w="0" w:type="auto"/>
            <w:hideMark/>
          </w:tcPr>
          <w:p w14:paraId="42EEC56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~570–575</w:t>
            </w:r>
          </w:p>
        </w:tc>
        <w:tc>
          <w:tcPr>
            <w:tcW w:w="0" w:type="auto"/>
            <w:hideMark/>
          </w:tcPr>
          <w:p w14:paraId="5D18200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Broadly tracking installed capacity at a similar ~75–80% availability ratio, absent major reliability investment</w:t>
            </w:r>
          </w:p>
        </w:tc>
        <w:tc>
          <w:tcPr>
            <w:tcW w:w="0" w:type="auto"/>
            <w:hideMark/>
          </w:tcPr>
          <w:p w14:paraId="01910F4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above</w:t>
            </w:r>
          </w:p>
        </w:tc>
        <w:tc>
          <w:tcPr>
            <w:tcW w:w="0" w:type="auto"/>
            <w:hideMark/>
          </w:tcPr>
          <w:p w14:paraId="3502BCE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above</w:t>
            </w:r>
          </w:p>
        </w:tc>
        <w:tc>
          <w:tcPr>
            <w:tcW w:w="0" w:type="auto"/>
            <w:hideMark/>
          </w:tcPr>
          <w:p w14:paraId="4515BBA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above</w:t>
            </w:r>
          </w:p>
        </w:tc>
      </w:tr>
      <w:tr w:rsidR="00D662C2" w:rsidRPr="00D662C2" w14:paraId="0E244642" w14:textId="77777777" w:rsidTr="00D662C2">
        <w:tc>
          <w:tcPr>
            <w:tcW w:w="0" w:type="auto"/>
            <w:hideMark/>
          </w:tcPr>
          <w:p w14:paraId="79340A1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Gas-fired generation (MW, installed)</w:t>
            </w:r>
          </w:p>
        </w:tc>
        <w:tc>
          <w:tcPr>
            <w:tcW w:w="0" w:type="auto"/>
            <w:hideMark/>
          </w:tcPr>
          <w:p w14:paraId="5C74D6C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534</w:t>
            </w:r>
          </w:p>
        </w:tc>
        <w:tc>
          <w:tcPr>
            <w:tcW w:w="0" w:type="auto"/>
            <w:hideMark/>
          </w:tcPr>
          <w:p w14:paraId="0960347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534–584 (with CED expansion)</w:t>
            </w:r>
          </w:p>
        </w:tc>
        <w:tc>
          <w:tcPr>
            <w:tcW w:w="0" w:type="auto"/>
            <w:hideMark/>
          </w:tcPr>
          <w:p w14:paraId="4ACA489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534–1,234+ if CEC/CED expansion pathways proceed</w:t>
            </w:r>
          </w:p>
        </w:tc>
        <w:tc>
          <w:tcPr>
            <w:tcW w:w="0" w:type="auto"/>
            <w:hideMark/>
          </w:tcPr>
          <w:p w14:paraId="4D50D1D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Highly scenario-dependent</w:t>
            </w:r>
          </w:p>
        </w:tc>
        <w:tc>
          <w:tcPr>
            <w:tcW w:w="0" w:type="auto"/>
            <w:hideMark/>
          </w:tcPr>
          <w:p w14:paraId="308F8D1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Highly scenario-dependent</w:t>
            </w:r>
          </w:p>
        </w:tc>
      </w:tr>
      <w:tr w:rsidR="00D662C2" w:rsidRPr="00D662C2" w14:paraId="05E08B25" w14:textId="77777777" w:rsidTr="00D662C2">
        <w:tc>
          <w:tcPr>
            <w:tcW w:w="0" w:type="auto"/>
            <w:hideMark/>
          </w:tcPr>
          <w:p w14:paraId="20A80D7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Hydro generation (MW, installed)</w:t>
            </w:r>
          </w:p>
        </w:tc>
        <w:tc>
          <w:tcPr>
            <w:tcW w:w="0" w:type="auto"/>
            <w:hideMark/>
          </w:tcPr>
          <w:p w14:paraId="6A1996F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231</w:t>
            </w:r>
          </w:p>
        </w:tc>
        <w:tc>
          <w:tcPr>
            <w:tcW w:w="0" w:type="auto"/>
            <w:hideMark/>
          </w:tcPr>
          <w:p w14:paraId="72C1BB4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231 (no confirmed near-term addition; </w:t>
            </w:r>
            <w:proofErr w:type="spellStart"/>
            <w:r w:rsidRPr="00D662C2">
              <w:rPr>
                <w:rFonts w:ascii="Times New Roman" w:hAnsi="Times New Roman" w:cs="Times New Roman"/>
                <w:sz w:val="22"/>
                <w:szCs w:val="22"/>
              </w:rPr>
              <w:t>Sounda</w:t>
            </w:r>
            <w:proofErr w:type="spellEnd"/>
            <w:r w:rsidRPr="00D662C2">
              <w:rPr>
                <w:rFonts w:ascii="Times New Roman" w:hAnsi="Times New Roman" w:cs="Times New Roman"/>
                <w:sz w:val="22"/>
                <w:szCs w:val="22"/>
              </w:rPr>
              <w:t xml:space="preserve"> Gorge remains conceptual)</w:t>
            </w:r>
          </w:p>
        </w:tc>
        <w:tc>
          <w:tcPr>
            <w:tcW w:w="0" w:type="auto"/>
            <w:hideMark/>
          </w:tcPr>
          <w:p w14:paraId="0D397C9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231, or up to ~1,431 if </w:t>
            </w:r>
            <w:proofErr w:type="spellStart"/>
            <w:r w:rsidRPr="00D662C2">
              <w:rPr>
                <w:rFonts w:ascii="Times New Roman" w:hAnsi="Times New Roman" w:cs="Times New Roman"/>
                <w:sz w:val="22"/>
                <w:szCs w:val="22"/>
              </w:rPr>
              <w:t>Sounda</w:t>
            </w:r>
            <w:proofErr w:type="spellEnd"/>
            <w:r w:rsidRPr="00D662C2">
              <w:rPr>
                <w:rFonts w:ascii="Times New Roman" w:hAnsi="Times New Roman" w:cs="Times New Roman"/>
                <w:sz w:val="22"/>
                <w:szCs w:val="22"/>
              </w:rPr>
              <w:t xml:space="preserve"> Gorge (1,200 MW) reaches FID — </w:t>
            </w:r>
            <w:r w:rsidRPr="00D662C2">
              <w:rPr>
                <w:rFonts w:ascii="Times New Roman" w:hAnsi="Times New Roman" w:cs="Times New Roman"/>
                <w:b/>
                <w:bCs/>
                <w:sz w:val="22"/>
                <w:szCs w:val="22"/>
              </w:rPr>
              <w:t>no FID identified as of August 2026</w:t>
            </w:r>
          </w:p>
        </w:tc>
        <w:tc>
          <w:tcPr>
            <w:tcW w:w="0" w:type="auto"/>
            <w:hideMark/>
          </w:tcPr>
          <w:p w14:paraId="716C72F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Scenario-dependent</w:t>
            </w:r>
          </w:p>
        </w:tc>
        <w:tc>
          <w:tcPr>
            <w:tcW w:w="0" w:type="auto"/>
            <w:hideMark/>
          </w:tcPr>
          <w:p w14:paraId="6883084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Scenario-dependent</w:t>
            </w:r>
          </w:p>
        </w:tc>
      </w:tr>
    </w:tbl>
    <w:p w14:paraId="69982569" w14:textId="77777777" w:rsidR="00D662C2" w:rsidRDefault="00D662C2" w:rsidP="00D662C2">
      <w:pPr>
        <w:jc w:val="both"/>
        <w:rPr>
          <w:rFonts w:ascii="Times New Roman" w:hAnsi="Times New Roman" w:cs="Times New Roman"/>
          <w:b/>
          <w:bCs/>
        </w:rPr>
      </w:pPr>
    </w:p>
    <w:p w14:paraId="4CFD8C83" w14:textId="77777777" w:rsidR="00D662C2" w:rsidRDefault="00D662C2" w:rsidP="00D662C2">
      <w:pPr>
        <w:jc w:val="both"/>
        <w:rPr>
          <w:rFonts w:ascii="Times New Roman" w:hAnsi="Times New Roman" w:cs="Times New Roman"/>
          <w:b/>
          <w:bCs/>
        </w:rPr>
      </w:pPr>
      <w:r w:rsidRPr="00D662C2">
        <w:rPr>
          <w:rFonts w:ascii="Times New Roman" w:hAnsi="Times New Roman" w:cs="Times New Roman"/>
          <w:b/>
          <w:bCs/>
        </w:rPr>
        <w:t>Assumptions:</w:t>
      </w:r>
    </w:p>
    <w:p w14:paraId="0E334A05" w14:textId="77777777" w:rsidR="00D662C2" w:rsidRDefault="00D662C2" w:rsidP="00D662C2">
      <w:pPr>
        <w:jc w:val="both"/>
        <w:rPr>
          <w:rFonts w:ascii="Times New Roman" w:hAnsi="Times New Roman" w:cs="Times New Roman"/>
        </w:rPr>
      </w:pPr>
      <w:r w:rsidRPr="00D662C2">
        <w:rPr>
          <w:rFonts w:ascii="Times New Roman" w:hAnsi="Times New Roman" w:cs="Times New Roman"/>
        </w:rPr>
        <w:t xml:space="preserve">(1) demand growth of 5–7% p.a., moderating over the outlook, consistent with a developing grid with rising industrial/urban demand but from a low base; </w:t>
      </w:r>
    </w:p>
    <w:p w14:paraId="2AA2F103" w14:textId="77777777" w:rsidR="00D662C2" w:rsidRDefault="00D662C2" w:rsidP="00D662C2">
      <w:pPr>
        <w:jc w:val="both"/>
        <w:rPr>
          <w:rFonts w:ascii="Times New Roman" w:hAnsi="Times New Roman" w:cs="Times New Roman"/>
        </w:rPr>
      </w:pPr>
      <w:r w:rsidRPr="00D662C2">
        <w:rPr>
          <w:rFonts w:ascii="Times New Roman" w:hAnsi="Times New Roman" w:cs="Times New Roman"/>
        </w:rPr>
        <w:t xml:space="preserve">(2) no allowance for a step-change from a specific new large industrial off-taker unless explicitly identified (Section 12); </w:t>
      </w:r>
    </w:p>
    <w:p w14:paraId="1246C2A4" w14:textId="60AB6733"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(3) hydro capacity held flat absent a </w:t>
      </w:r>
      <w:proofErr w:type="spellStart"/>
      <w:r w:rsidRPr="00D662C2">
        <w:rPr>
          <w:rFonts w:ascii="Times New Roman" w:hAnsi="Times New Roman" w:cs="Times New Roman"/>
        </w:rPr>
        <w:t>Sounda</w:t>
      </w:r>
      <w:proofErr w:type="spellEnd"/>
      <w:r w:rsidRPr="00D662C2">
        <w:rPr>
          <w:rFonts w:ascii="Times New Roman" w:hAnsi="Times New Roman" w:cs="Times New Roman"/>
        </w:rPr>
        <w:t xml:space="preserve"> Gorge FID, given the World Bank's </w:t>
      </w:r>
      <w:proofErr w:type="spellStart"/>
      <w:r w:rsidRPr="00D662C2">
        <w:rPr>
          <w:rFonts w:ascii="Times New Roman" w:hAnsi="Times New Roman" w:cs="Times New Roman"/>
        </w:rPr>
        <w:t>characterisation</w:t>
      </w:r>
      <w:proofErr w:type="spellEnd"/>
      <w:r w:rsidRPr="00D662C2">
        <w:rPr>
          <w:rFonts w:ascii="Times New Roman" w:hAnsi="Times New Roman" w:cs="Times New Roman"/>
        </w:rPr>
        <w:t xml:space="preserve"> of </w:t>
      </w:r>
      <w:proofErr w:type="spellStart"/>
      <w:r w:rsidRPr="00D662C2">
        <w:rPr>
          <w:rFonts w:ascii="Times New Roman" w:hAnsi="Times New Roman" w:cs="Times New Roman"/>
        </w:rPr>
        <w:t>Djoué</w:t>
      </w:r>
      <w:proofErr w:type="spellEnd"/>
      <w:r w:rsidRPr="00D662C2">
        <w:rPr>
          <w:rFonts w:ascii="Times New Roman" w:hAnsi="Times New Roman" w:cs="Times New Roman"/>
        </w:rPr>
        <w:t xml:space="preserve"> (15 MW installed) as having zero available capacity, indicating the existing hydro fleet has reliability issues rather than growth headroom. These are explicitly benchmark assumptions, not official projections.</w:t>
      </w:r>
    </w:p>
    <w:p w14:paraId="3FA5C9E5" w14:textId="4804BFA1" w:rsidR="00D662C2" w:rsidRPr="00D662C2" w:rsidRDefault="00D662C2" w:rsidP="00D662C2">
      <w:pPr>
        <w:jc w:val="both"/>
        <w:rPr>
          <w:rFonts w:ascii="Times New Roman" w:hAnsi="Times New Roman" w:cs="Times New Roman"/>
        </w:rPr>
      </w:pPr>
    </w:p>
    <w:p w14:paraId="563F387F"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4. Offshore Gas-to-Power Supply Chain</w:t>
      </w:r>
    </w:p>
    <w:p w14:paraId="526745F7" w14:textId="79F6571F" w:rsidR="00D662C2" w:rsidRPr="00D662C2" w:rsidRDefault="00D662C2" w:rsidP="00D662C2">
      <w:pPr>
        <w:jc w:val="both"/>
        <w:rPr>
          <w:rFonts w:ascii="Times New Roman" w:hAnsi="Times New Roman" w:cs="Times New Roman"/>
        </w:rPr>
      </w:pPr>
      <w:r w:rsidRPr="00D662C2">
        <w:rPr>
          <w:rFonts w:ascii="Times New Roman" w:hAnsi="Times New Roman" w:cs="Times New Roman"/>
        </w:rPr>
        <w:t>The technical pathway for Congo's principal gas-to-power route runs: Marine XII offshore platforms (</w:t>
      </w:r>
      <w:proofErr w:type="spellStart"/>
      <w:r w:rsidRPr="00D662C2">
        <w:rPr>
          <w:rFonts w:ascii="Times New Roman" w:hAnsi="Times New Roman" w:cs="Times New Roman"/>
        </w:rPr>
        <w:t>Nené</w:t>
      </w:r>
      <w:proofErr w:type="spellEnd"/>
      <w:r w:rsidRPr="00D662C2">
        <w:rPr>
          <w:rFonts w:ascii="Times New Roman" w:hAnsi="Times New Roman" w:cs="Times New Roman"/>
        </w:rPr>
        <w:t>/</w:t>
      </w:r>
      <w:proofErr w:type="spellStart"/>
      <w:r w:rsidRPr="00D662C2">
        <w:rPr>
          <w:rFonts w:ascii="Times New Roman" w:hAnsi="Times New Roman" w:cs="Times New Roman"/>
        </w:rPr>
        <w:t>Litchendjili</w:t>
      </w:r>
      <w:proofErr w:type="spellEnd"/>
      <w:r w:rsidRPr="00D662C2">
        <w:rPr>
          <w:rFonts w:ascii="Times New Roman" w:hAnsi="Times New Roman" w:cs="Times New Roman"/>
        </w:rPr>
        <w:t>)</w:t>
      </w:r>
      <w:r w:rsidRPr="00D662C2">
        <w:rPr>
          <w:rFonts w:ascii="Times New Roman" w:hAnsi="Times New Roman" w:cs="Times New Roman"/>
        </w:rPr>
        <w:t xml:space="preserve">, </w:t>
      </w:r>
      <w:r w:rsidRPr="00D662C2">
        <w:rPr>
          <w:rFonts w:ascii="Times New Roman" w:hAnsi="Times New Roman" w:cs="Times New Roman"/>
        </w:rPr>
        <w:t>offshore gathering</w:t>
      </w:r>
      <w:r w:rsidRPr="00D662C2">
        <w:rPr>
          <w:rFonts w:ascii="Times New Roman" w:hAnsi="Times New Roman" w:cs="Times New Roman"/>
        </w:rPr>
        <w:t xml:space="preserve">, </w:t>
      </w:r>
      <w:r w:rsidRPr="00D662C2">
        <w:rPr>
          <w:rFonts w:ascii="Times New Roman" w:hAnsi="Times New Roman" w:cs="Times New Roman"/>
        </w:rPr>
        <w:t xml:space="preserve">the </w:t>
      </w:r>
      <w:proofErr w:type="spellStart"/>
      <w:r w:rsidRPr="00D662C2">
        <w:rPr>
          <w:rFonts w:ascii="Times New Roman" w:hAnsi="Times New Roman" w:cs="Times New Roman"/>
        </w:rPr>
        <w:t>Litchendjili</w:t>
      </w:r>
      <w:proofErr w:type="spellEnd"/>
      <w:r w:rsidRPr="00D662C2">
        <w:rPr>
          <w:rFonts w:ascii="Times New Roman" w:hAnsi="Times New Roman" w:cs="Times New Roman"/>
        </w:rPr>
        <w:t xml:space="preserve"> gas plant (onshore gas treatment)</w:t>
      </w:r>
      <w:r w:rsidRPr="00D662C2">
        <w:rPr>
          <w:rFonts w:ascii="Times New Roman" w:hAnsi="Times New Roman" w:cs="Times New Roman"/>
        </w:rPr>
        <w:t xml:space="preserve">, </w:t>
      </w:r>
      <w:r w:rsidRPr="00D662C2">
        <w:rPr>
          <w:rFonts w:ascii="Times New Roman" w:hAnsi="Times New Roman" w:cs="Times New Roman"/>
        </w:rPr>
        <w:t>CEC/CED gas turbines</w:t>
      </w:r>
      <w:r w:rsidRPr="00D662C2">
        <w:rPr>
          <w:rFonts w:ascii="Times New Roman" w:hAnsi="Times New Roman" w:cs="Times New Roman"/>
        </w:rPr>
        <w:t xml:space="preserve">, </w:t>
      </w:r>
      <w:r w:rsidRPr="00D662C2">
        <w:rPr>
          <w:rFonts w:ascii="Times New Roman" w:hAnsi="Times New Roman" w:cs="Times New Roman"/>
        </w:rPr>
        <w:t>high-voltage transmission (Pointe-Noire–Brazzaville corridor)</w:t>
      </w:r>
      <w:r w:rsidRPr="00D662C2">
        <w:rPr>
          <w:rFonts w:ascii="Times New Roman" w:hAnsi="Times New Roman" w:cs="Times New Roman"/>
        </w:rPr>
        <w:t xml:space="preserve">, </w:t>
      </w:r>
      <w:r w:rsidRPr="00D662C2">
        <w:rPr>
          <w:rFonts w:ascii="Times New Roman" w:hAnsi="Times New Roman" w:cs="Times New Roman"/>
        </w:rPr>
        <w:t xml:space="preserve">end users, with </w:t>
      </w:r>
      <w:proofErr w:type="spellStart"/>
      <w:r w:rsidRPr="00D662C2">
        <w:rPr>
          <w:rFonts w:ascii="Times New Roman" w:hAnsi="Times New Roman" w:cs="Times New Roman"/>
        </w:rPr>
        <w:t>M'Boundi</w:t>
      </w:r>
      <w:proofErr w:type="spellEnd"/>
      <w:r w:rsidRPr="00D662C2">
        <w:rPr>
          <w:rFonts w:ascii="Times New Roman" w:hAnsi="Times New Roman" w:cs="Times New Roman"/>
        </w:rPr>
        <w:t xml:space="preserve"> providing a parallel onshore-sourced supply for CEC. A separate, smaller and non-grid-connected pathway exists at Perenco's offshore fields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 which self-generates for operational use only.</w:t>
      </w:r>
    </w:p>
    <w:p w14:paraId="5EF3E8CC" w14:textId="3905DC9E" w:rsidR="00D662C2" w:rsidRPr="00D662C2" w:rsidRDefault="00D662C2" w:rsidP="00D662C2">
      <w:pPr>
        <w:jc w:val="both"/>
        <w:rPr>
          <w:rFonts w:ascii="Times New Roman" w:hAnsi="Times New Roman" w:cs="Times New Roman"/>
        </w:rPr>
      </w:pPr>
      <w:r w:rsidRPr="00D662C2">
        <w:rPr>
          <w:rFonts w:ascii="Times New Roman" w:hAnsi="Times New Roman" w:cs="Times New Roman"/>
        </w:rPr>
        <w:lastRenderedPageBreak/>
        <w:t xml:space="preserve">Key technical facts established from sources: the onshore LNG pre-treatment (OPT) facility, sized at approximately 80 </w:t>
      </w:r>
      <w:proofErr w:type="spellStart"/>
      <w:r w:rsidRPr="00D662C2">
        <w:rPr>
          <w:rFonts w:ascii="Times New Roman" w:hAnsi="Times New Roman" w:cs="Times New Roman"/>
        </w:rPr>
        <w:t>mmscfd</w:t>
      </w:r>
      <w:proofErr w:type="spellEnd"/>
      <w:r w:rsidRPr="00D662C2">
        <w:rPr>
          <w:rFonts w:ascii="Times New Roman" w:hAnsi="Times New Roman" w:cs="Times New Roman"/>
        </w:rPr>
        <w:t xml:space="preserve">, is located near the </w:t>
      </w:r>
      <w:proofErr w:type="spellStart"/>
      <w:r w:rsidRPr="00D662C2">
        <w:rPr>
          <w:rFonts w:ascii="Times New Roman" w:hAnsi="Times New Roman" w:cs="Times New Roman"/>
        </w:rPr>
        <w:t>Litchendjili</w:t>
      </w:r>
      <w:proofErr w:type="spellEnd"/>
      <w:r w:rsidRPr="00D662C2">
        <w:rPr>
          <w:rFonts w:ascii="Times New Roman" w:hAnsi="Times New Roman" w:cs="Times New Roman"/>
        </w:rPr>
        <w:t xml:space="preserve"> gas plant that also supplies CEC</w:t>
      </w:r>
      <w:r w:rsidRPr="00D662C2">
        <w:rPr>
          <w:rFonts w:ascii="Times New Roman" w:hAnsi="Times New Roman" w:cs="Times New Roman"/>
        </w:rPr>
        <w:t xml:space="preserve"> </w:t>
      </w:r>
      <w:r w:rsidRPr="00D662C2">
        <w:rPr>
          <w:rFonts w:ascii="Times New Roman" w:hAnsi="Times New Roman" w:cs="Times New Roman"/>
        </w:rPr>
        <w:t xml:space="preserve">indicating the LNG and power supply chains share upstream gathering and processing infrastructure at this node, rather than being fully independent systems. This is a structurally important finding: debottlenecking or </w:t>
      </w:r>
      <w:proofErr w:type="spellStart"/>
      <w:r w:rsidRPr="00D662C2">
        <w:rPr>
          <w:rFonts w:ascii="Times New Roman" w:hAnsi="Times New Roman" w:cs="Times New Roman"/>
        </w:rPr>
        <w:t>prioritisation</w:t>
      </w:r>
      <w:proofErr w:type="spellEnd"/>
      <w:r w:rsidRPr="00D662C2">
        <w:rPr>
          <w:rFonts w:ascii="Times New Roman" w:hAnsi="Times New Roman" w:cs="Times New Roman"/>
        </w:rPr>
        <w:t xml:space="preserve"> decisions at the </w:t>
      </w:r>
      <w:proofErr w:type="spellStart"/>
      <w:r w:rsidRPr="00D662C2">
        <w:rPr>
          <w:rFonts w:ascii="Times New Roman" w:hAnsi="Times New Roman" w:cs="Times New Roman"/>
        </w:rPr>
        <w:t>Litchendjili</w:t>
      </w:r>
      <w:proofErr w:type="spellEnd"/>
      <w:r w:rsidRPr="00D662C2">
        <w:rPr>
          <w:rFonts w:ascii="Times New Roman" w:hAnsi="Times New Roman" w:cs="Times New Roman"/>
        </w:rPr>
        <w:t>/OPT node directly affect both LNG feedstock and CEC gas supply, and any material increase in gas-to-power supply competes for capacity at this shared processing point, not only for upstream reserves.</w:t>
      </w:r>
    </w:p>
    <w:p w14:paraId="4E36D2AB"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Whether existing infrastructure can support additional gas-fired generation: partially. CEC's own stated need for a 35% gas-supply increase to support a comparatively modest 5–10% output increase suggests the </w:t>
      </w:r>
      <w:r w:rsidRPr="00D662C2">
        <w:rPr>
          <w:rFonts w:ascii="Times New Roman" w:hAnsi="Times New Roman" w:cs="Times New Roman"/>
          <w:i/>
          <w:iCs/>
        </w:rPr>
        <w:t>existing</w:t>
      </w:r>
      <w:r w:rsidRPr="00D662C2">
        <w:rPr>
          <w:rFonts w:ascii="Times New Roman" w:hAnsi="Times New Roman" w:cs="Times New Roman"/>
        </w:rPr>
        <w:t xml:space="preserve"> gas supply arrangement (not the LNG-dedicated infrastructure) is close to its practical delivery limit and that new gathering/processing capacity — potentially from the Mbungu field, which CEC cites as a supplementary source — would be required for any material expansion. Larger-scale expansion (the 700 MW/1,000 MW CEC pathway, or the proposed 1,000 MW Pointe-Noire SEZ plant) would clearly require new dedicated gas processing and pipeline infrastructure; no FEED or route data for such expansion was identified in sources reviewed.</w:t>
      </w:r>
    </w:p>
    <w:p w14:paraId="283CCDED" w14:textId="30ED79AF" w:rsidR="00D662C2" w:rsidRPr="00D662C2" w:rsidRDefault="00D662C2" w:rsidP="00D662C2">
      <w:pPr>
        <w:jc w:val="both"/>
        <w:rPr>
          <w:rFonts w:ascii="Times New Roman" w:hAnsi="Times New Roman" w:cs="Times New Roman"/>
        </w:rPr>
      </w:pPr>
    </w:p>
    <w:p w14:paraId="3FB4D4D7"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5. Gas Availability for Power Generation</w:t>
      </w:r>
    </w:p>
    <w:p w14:paraId="17560A7C"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Data limitation:</w:t>
      </w:r>
      <w:r w:rsidRPr="00D662C2">
        <w:rPr>
          <w:rFonts w:ascii="Times New Roman" w:hAnsi="Times New Roman" w:cs="Times New Roman"/>
        </w:rPr>
        <w:t xml:space="preserve"> Congo does not appear to publish a disaggregated national gas balance (production, LNG feedstock, domestic consumption, reinjection, flaring) on an annual, forward-looking basis. The table below combines the hardest available data points with clearly labelled benchmark projections; several cells are marked "not disclosed."</w:t>
      </w:r>
    </w:p>
    <w:tbl>
      <w:tblPr>
        <w:tblStyle w:val="TableGrid"/>
        <w:tblW w:w="0" w:type="auto"/>
        <w:tblLook w:val="04A0" w:firstRow="1" w:lastRow="0" w:firstColumn="1" w:lastColumn="0" w:noHBand="0" w:noVBand="1"/>
      </w:tblPr>
      <w:tblGrid>
        <w:gridCol w:w="1909"/>
        <w:gridCol w:w="2623"/>
        <w:gridCol w:w="1963"/>
        <w:gridCol w:w="1941"/>
        <w:gridCol w:w="914"/>
      </w:tblGrid>
      <w:tr w:rsidR="00D662C2" w:rsidRPr="00D662C2" w14:paraId="14630C41" w14:textId="77777777" w:rsidTr="00D662C2">
        <w:tc>
          <w:tcPr>
            <w:tcW w:w="0" w:type="auto"/>
            <w:hideMark/>
          </w:tcPr>
          <w:p w14:paraId="5ADCEA5F"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Allocation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indicative)</w:t>
            </w:r>
          </w:p>
        </w:tc>
        <w:tc>
          <w:tcPr>
            <w:tcW w:w="0" w:type="auto"/>
            <w:hideMark/>
          </w:tcPr>
          <w:p w14:paraId="6818289C"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2026</w:t>
            </w:r>
          </w:p>
        </w:tc>
        <w:tc>
          <w:tcPr>
            <w:tcW w:w="0" w:type="auto"/>
            <w:hideMark/>
          </w:tcPr>
          <w:p w14:paraId="01DACA4F"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2030</w:t>
            </w:r>
          </w:p>
        </w:tc>
        <w:tc>
          <w:tcPr>
            <w:tcW w:w="0" w:type="auto"/>
            <w:hideMark/>
          </w:tcPr>
          <w:p w14:paraId="418FDFD0"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2035</w:t>
            </w:r>
          </w:p>
        </w:tc>
        <w:tc>
          <w:tcPr>
            <w:tcW w:w="0" w:type="auto"/>
            <w:hideMark/>
          </w:tcPr>
          <w:p w14:paraId="478A015C"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2040</w:t>
            </w:r>
          </w:p>
        </w:tc>
      </w:tr>
      <w:tr w:rsidR="00D662C2" w:rsidRPr="00D662C2" w14:paraId="0D7E7760" w14:textId="77777777" w:rsidTr="00D662C2">
        <w:tc>
          <w:tcPr>
            <w:tcW w:w="0" w:type="auto"/>
            <w:hideMark/>
          </w:tcPr>
          <w:p w14:paraId="36D9C75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Total gas production (gross, all uses)</w:t>
            </w:r>
          </w:p>
        </w:tc>
        <w:tc>
          <w:tcPr>
            <w:tcW w:w="0" w:type="auto"/>
            <w:hideMark/>
          </w:tcPr>
          <w:p w14:paraId="5BC066F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Materially higher than the 2023 marketed figure of 1.1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 given Congo LNG's 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feedstock requirement at full 3 MTPA </w:t>
            </w:r>
            <w:proofErr w:type="spellStart"/>
            <w:r w:rsidRPr="00D662C2">
              <w:rPr>
                <w:rFonts w:ascii="Times New Roman" w:hAnsi="Times New Roman" w:cs="Times New Roman"/>
                <w:sz w:val="22"/>
                <w:szCs w:val="22"/>
              </w:rPr>
              <w:t>utilisation</w:t>
            </w:r>
            <w:proofErr w:type="spellEnd"/>
            <w:r w:rsidRPr="00D662C2">
              <w:rPr>
                <w:rFonts w:ascii="Times New Roman" w:hAnsi="Times New Roman" w:cs="Times New Roman"/>
                <w:sz w:val="22"/>
                <w:szCs w:val="22"/>
              </w:rPr>
              <w:t xml:space="preserve">; </w:t>
            </w:r>
            <w:r w:rsidRPr="00D662C2">
              <w:rPr>
                <w:rFonts w:ascii="Times New Roman" w:hAnsi="Times New Roman" w:cs="Times New Roman"/>
                <w:b/>
                <w:bCs/>
                <w:sz w:val="22"/>
                <w:szCs w:val="22"/>
              </w:rPr>
              <w:t>an official current gross-production figure was not identified</w:t>
            </w:r>
            <w:r w:rsidRPr="00D662C2">
              <w:rPr>
                <w:rFonts w:ascii="Times New Roman" w:hAnsi="Times New Roman" w:cs="Times New Roman"/>
                <w:sz w:val="22"/>
                <w:szCs w:val="22"/>
              </w:rPr>
              <w:t xml:space="preserve"> — gross production in 2026 is likely in the region of </w:t>
            </w:r>
            <w:r w:rsidRPr="00D662C2">
              <w:rPr>
                <w:rFonts w:ascii="Times New Roman" w:hAnsi="Times New Roman" w:cs="Times New Roman"/>
                <w:b/>
                <w:bCs/>
                <w:sz w:val="22"/>
                <w:szCs w:val="22"/>
              </w:rPr>
              <w:t xml:space="preserve">5–6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w:t>
            </w:r>
            <w:r w:rsidRPr="00D662C2">
              <w:rPr>
                <w:rFonts w:ascii="Times New Roman" w:hAnsi="Times New Roman" w:cs="Times New Roman"/>
                <w:sz w:val="22"/>
                <w:szCs w:val="22"/>
              </w:rPr>
              <w:t xml:space="preserve"> if Congo LNG is running near nameplate, but this is a </w:t>
            </w:r>
            <w:r w:rsidRPr="00D662C2">
              <w:rPr>
                <w:rFonts w:ascii="Times New Roman" w:hAnsi="Times New Roman" w:cs="Times New Roman"/>
                <w:sz w:val="22"/>
                <w:szCs w:val="22"/>
              </w:rPr>
              <w:lastRenderedPageBreak/>
              <w:t>derived inference, not a reported figure</w:t>
            </w:r>
          </w:p>
        </w:tc>
        <w:tc>
          <w:tcPr>
            <w:tcW w:w="0" w:type="auto"/>
            <w:hideMark/>
          </w:tcPr>
          <w:p w14:paraId="7F3BB55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Assuming continued ramp-up and potential further Marine XII/exploration-block development, gross production could plausibly reach </w:t>
            </w:r>
            <w:r w:rsidRPr="00D662C2">
              <w:rPr>
                <w:rFonts w:ascii="Times New Roman" w:hAnsi="Times New Roman" w:cs="Times New Roman"/>
                <w:b/>
                <w:bCs/>
                <w:sz w:val="22"/>
                <w:szCs w:val="22"/>
              </w:rPr>
              <w:t xml:space="preserve">6–8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p>
        </w:tc>
        <w:tc>
          <w:tcPr>
            <w:tcW w:w="0" w:type="auto"/>
            <w:hideMark/>
          </w:tcPr>
          <w:p w14:paraId="30A9157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Dependent on new field FIDs (Marine VI Bis, XXIV, XXXI); </w:t>
            </w:r>
            <w:r w:rsidRPr="00D662C2">
              <w:rPr>
                <w:rFonts w:ascii="Times New Roman" w:hAnsi="Times New Roman" w:cs="Times New Roman"/>
                <w:b/>
                <w:bCs/>
                <w:sz w:val="22"/>
                <w:szCs w:val="22"/>
              </w:rPr>
              <w:t>not forecastable without further exploration results</w:t>
            </w:r>
          </w:p>
        </w:tc>
        <w:tc>
          <w:tcPr>
            <w:tcW w:w="0" w:type="auto"/>
            <w:hideMark/>
          </w:tcPr>
          <w:p w14:paraId="61A8382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2035</w:t>
            </w:r>
          </w:p>
        </w:tc>
      </w:tr>
      <w:tr w:rsidR="00D662C2" w:rsidRPr="00D662C2" w14:paraId="1ACB73EA" w14:textId="77777777" w:rsidTr="00D662C2">
        <w:tc>
          <w:tcPr>
            <w:tcW w:w="0" w:type="auto"/>
            <w:hideMark/>
          </w:tcPr>
          <w:p w14:paraId="47B65D7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LNG feedstock</w:t>
            </w:r>
          </w:p>
        </w:tc>
        <w:tc>
          <w:tcPr>
            <w:tcW w:w="0" w:type="auto"/>
            <w:hideMark/>
          </w:tcPr>
          <w:p w14:paraId="3A2D666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Up to 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at full 3 MTPA </w:t>
            </w:r>
            <w:proofErr w:type="spellStart"/>
            <w:r w:rsidRPr="00D662C2">
              <w:rPr>
                <w:rFonts w:ascii="Times New Roman" w:hAnsi="Times New Roman" w:cs="Times New Roman"/>
                <w:sz w:val="22"/>
                <w:szCs w:val="22"/>
              </w:rPr>
              <w:t>utilisation</w:t>
            </w:r>
            <w:proofErr w:type="spellEnd"/>
            <w:r w:rsidRPr="00D662C2">
              <w:rPr>
                <w:rFonts w:ascii="Times New Roman" w:hAnsi="Times New Roman" w:cs="Times New Roman"/>
                <w:sz w:val="22"/>
                <w:szCs w:val="22"/>
              </w:rPr>
              <w:t xml:space="preserve"> (Eni-stated capacity figure)</w:t>
            </w:r>
          </w:p>
        </w:tc>
        <w:tc>
          <w:tcPr>
            <w:tcW w:w="0" w:type="auto"/>
            <w:hideMark/>
          </w:tcPr>
          <w:p w14:paraId="7ABEE0D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(assuming no further LNG train expansion is sanctioned)</w:t>
            </w:r>
          </w:p>
        </w:tc>
        <w:tc>
          <w:tcPr>
            <w:tcW w:w="0" w:type="auto"/>
            <w:hideMark/>
          </w:tcPr>
          <w:p w14:paraId="07C3E33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or higher if Eni's broader 20 MTPA-by-2030 portfolio target implies further Congo-specific expansion — </w:t>
            </w:r>
            <w:r w:rsidRPr="00D662C2">
              <w:rPr>
                <w:rFonts w:ascii="Times New Roman" w:hAnsi="Times New Roman" w:cs="Times New Roman"/>
                <w:b/>
                <w:bCs/>
                <w:sz w:val="22"/>
                <w:szCs w:val="22"/>
              </w:rPr>
              <w:t>not confirmed for Congo specifically</w:t>
            </w:r>
          </w:p>
        </w:tc>
        <w:tc>
          <w:tcPr>
            <w:tcW w:w="0" w:type="auto"/>
            <w:hideMark/>
          </w:tcPr>
          <w:p w14:paraId="00F0391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2035</w:t>
            </w:r>
          </w:p>
        </w:tc>
      </w:tr>
      <w:tr w:rsidR="00D662C2" w:rsidRPr="00D662C2" w14:paraId="402315C8" w14:textId="77777777" w:rsidTr="00D662C2">
        <w:tc>
          <w:tcPr>
            <w:tcW w:w="0" w:type="auto"/>
            <w:hideMark/>
          </w:tcPr>
          <w:p w14:paraId="0A2A86D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Existing domestic gas consumption (CEC/CED/other)</w:t>
            </w:r>
          </w:p>
        </w:tc>
        <w:tc>
          <w:tcPr>
            <w:tcW w:w="0" w:type="auto"/>
            <w:hideMark/>
          </w:tcPr>
          <w:p w14:paraId="1C83B93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Benchmark estimate of </w:t>
            </w:r>
            <w:r w:rsidRPr="00D662C2">
              <w:rPr>
                <w:rFonts w:ascii="Times New Roman" w:hAnsi="Times New Roman" w:cs="Times New Roman"/>
                <w:b/>
                <w:bCs/>
                <w:sz w:val="22"/>
                <w:szCs w:val="22"/>
              </w:rPr>
              <w:t xml:space="preserve">~0.5–0.8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w:t>
            </w:r>
            <w:r w:rsidRPr="00D662C2">
              <w:rPr>
                <w:rFonts w:ascii="Times New Roman" w:hAnsi="Times New Roman" w:cs="Times New Roman"/>
                <w:sz w:val="22"/>
                <w:szCs w:val="22"/>
              </w:rPr>
              <w:t xml:space="preserve">, derived from CEC's stated need for a ~35% supply increase against an unconfirmed current base — </w:t>
            </w:r>
            <w:r w:rsidRPr="00D662C2">
              <w:rPr>
                <w:rFonts w:ascii="Times New Roman" w:hAnsi="Times New Roman" w:cs="Times New Roman"/>
                <w:b/>
                <w:bCs/>
                <w:sz w:val="22"/>
                <w:szCs w:val="22"/>
              </w:rPr>
              <w:t>treat with caution given the uncertainty flagged in Section 2</w:t>
            </w:r>
          </w:p>
        </w:tc>
        <w:tc>
          <w:tcPr>
            <w:tcW w:w="0" w:type="auto"/>
            <w:hideMark/>
          </w:tcPr>
          <w:p w14:paraId="0466342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Modestly higher if CEC/CED expansion proceeds: </w:t>
            </w:r>
            <w:r w:rsidRPr="00D662C2">
              <w:rPr>
                <w:rFonts w:ascii="Times New Roman" w:hAnsi="Times New Roman" w:cs="Times New Roman"/>
                <w:b/>
                <w:bCs/>
                <w:sz w:val="22"/>
                <w:szCs w:val="22"/>
              </w:rPr>
              <w:t xml:space="preserve">~0.7–1.1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p>
        </w:tc>
        <w:tc>
          <w:tcPr>
            <w:tcW w:w="0" w:type="auto"/>
            <w:hideMark/>
          </w:tcPr>
          <w:p w14:paraId="5FEBE6A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Materially higher only if the 700 MW/1,000 MW CEC pathway or new SEZ plant is sanctioned — </w:t>
            </w:r>
            <w:r w:rsidRPr="00D662C2">
              <w:rPr>
                <w:rFonts w:ascii="Times New Roman" w:hAnsi="Times New Roman" w:cs="Times New Roman"/>
                <w:b/>
                <w:bCs/>
                <w:sz w:val="22"/>
                <w:szCs w:val="22"/>
              </w:rPr>
              <w:t>not quantifiable without FID data</w:t>
            </w:r>
          </w:p>
        </w:tc>
        <w:tc>
          <w:tcPr>
            <w:tcW w:w="0" w:type="auto"/>
            <w:hideMark/>
          </w:tcPr>
          <w:p w14:paraId="77FD012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2035</w:t>
            </w:r>
          </w:p>
        </w:tc>
      </w:tr>
      <w:tr w:rsidR="00D662C2" w:rsidRPr="00D662C2" w14:paraId="2D7302F0" w14:textId="77777777" w:rsidTr="00D662C2">
        <w:tc>
          <w:tcPr>
            <w:tcW w:w="0" w:type="auto"/>
            <w:hideMark/>
          </w:tcPr>
          <w:p w14:paraId="1D076C0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Reinjection</w:t>
            </w:r>
          </w:p>
        </w:tc>
        <w:tc>
          <w:tcPr>
            <w:tcW w:w="0" w:type="auto"/>
            <w:hideMark/>
          </w:tcPr>
          <w:p w14:paraId="40C72DB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~17% of gross production (2024 ratio, </w:t>
            </w:r>
            <w:proofErr w:type="spellStart"/>
            <w:r w:rsidRPr="00D662C2">
              <w:rPr>
                <w:rFonts w:ascii="Times New Roman" w:hAnsi="Times New Roman" w:cs="Times New Roman"/>
                <w:sz w:val="22"/>
                <w:szCs w:val="22"/>
              </w:rPr>
              <w:t>Cedigaz</w:t>
            </w:r>
            <w:proofErr w:type="spellEnd"/>
            <w:r w:rsidRPr="00D662C2">
              <w:rPr>
                <w:rFonts w:ascii="Times New Roman" w:hAnsi="Times New Roman" w:cs="Times New Roman"/>
                <w:sz w:val="22"/>
                <w:szCs w:val="22"/>
              </w:rPr>
              <w:t>/</w:t>
            </w:r>
            <w:proofErr w:type="spellStart"/>
            <w:r w:rsidRPr="00D662C2">
              <w:rPr>
                <w:rFonts w:ascii="Times New Roman" w:hAnsi="Times New Roman" w:cs="Times New Roman"/>
                <w:sz w:val="22"/>
                <w:szCs w:val="22"/>
              </w:rPr>
              <w:t>Enerdata</w:t>
            </w:r>
            <w:proofErr w:type="spellEnd"/>
            <w:r w:rsidRPr="00D662C2">
              <w:rPr>
                <w:rFonts w:ascii="Times New Roman" w:hAnsi="Times New Roman" w:cs="Times New Roman"/>
                <w:sz w:val="22"/>
                <w:szCs w:val="22"/>
              </w:rPr>
              <w:t xml:space="preserve">) applied to the 2026 gross-production estimate: </w:t>
            </w:r>
            <w:r w:rsidRPr="00D662C2">
              <w:rPr>
                <w:rFonts w:ascii="Times New Roman" w:hAnsi="Times New Roman" w:cs="Times New Roman"/>
                <w:b/>
                <w:bCs/>
                <w:sz w:val="22"/>
                <w:szCs w:val="22"/>
              </w:rPr>
              <w:t xml:space="preserve">~0.85–1.0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p>
        </w:tc>
        <w:tc>
          <w:tcPr>
            <w:tcW w:w="0" w:type="auto"/>
            <w:hideMark/>
          </w:tcPr>
          <w:p w14:paraId="3432A18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Assumed to decline modestly as a share of gross production as </w:t>
            </w:r>
            <w:proofErr w:type="spellStart"/>
            <w:r w:rsidRPr="00D662C2">
              <w:rPr>
                <w:rFonts w:ascii="Times New Roman" w:hAnsi="Times New Roman" w:cs="Times New Roman"/>
                <w:sz w:val="22"/>
                <w:szCs w:val="22"/>
              </w:rPr>
              <w:t>monetisation</w:t>
            </w:r>
            <w:proofErr w:type="spellEnd"/>
            <w:r w:rsidRPr="00D662C2">
              <w:rPr>
                <w:rFonts w:ascii="Times New Roman" w:hAnsi="Times New Roman" w:cs="Times New Roman"/>
                <w:sz w:val="22"/>
                <w:szCs w:val="22"/>
              </w:rPr>
              <w:t xml:space="preserve"> infrastructure expands: </w:t>
            </w:r>
            <w:r w:rsidRPr="00D662C2">
              <w:rPr>
                <w:rFonts w:ascii="Times New Roman" w:hAnsi="Times New Roman" w:cs="Times New Roman"/>
                <w:b/>
                <w:bCs/>
                <w:sz w:val="22"/>
                <w:szCs w:val="22"/>
              </w:rPr>
              <w:t>~15% (e)</w:t>
            </w:r>
          </w:p>
        </w:tc>
        <w:tc>
          <w:tcPr>
            <w:tcW w:w="0" w:type="auto"/>
            <w:hideMark/>
          </w:tcPr>
          <w:p w14:paraId="156B60C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~12–15% (e)</w:t>
            </w:r>
          </w:p>
        </w:tc>
        <w:tc>
          <w:tcPr>
            <w:tcW w:w="0" w:type="auto"/>
            <w:hideMark/>
          </w:tcPr>
          <w:p w14:paraId="536D917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~10–15% (e)</w:t>
            </w:r>
          </w:p>
        </w:tc>
      </w:tr>
      <w:tr w:rsidR="00D662C2" w:rsidRPr="00D662C2" w14:paraId="69AFFDB8" w14:textId="77777777" w:rsidTr="00D662C2">
        <w:tc>
          <w:tcPr>
            <w:tcW w:w="0" w:type="auto"/>
            <w:hideMark/>
          </w:tcPr>
          <w:p w14:paraId="3044703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Flaring</w:t>
            </w:r>
          </w:p>
        </w:tc>
        <w:tc>
          <w:tcPr>
            <w:tcW w:w="0" w:type="auto"/>
            <w:hideMark/>
          </w:tcPr>
          <w:p w14:paraId="4C914B8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~33% of gross production (2024 ratio): </w:t>
            </w:r>
            <w:r w:rsidRPr="00D662C2">
              <w:rPr>
                <w:rFonts w:ascii="Times New Roman" w:hAnsi="Times New Roman" w:cs="Times New Roman"/>
                <w:b/>
                <w:bCs/>
                <w:sz w:val="22"/>
                <w:szCs w:val="22"/>
              </w:rPr>
              <w:t xml:space="preserve">~1.65–2.0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p>
        </w:tc>
        <w:tc>
          <w:tcPr>
            <w:tcW w:w="0" w:type="auto"/>
            <w:hideMark/>
          </w:tcPr>
          <w:p w14:paraId="7D0ACB8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Assumed to decline as further gas-capture infrastructure (Banga Kayo, further FLNG/power expansion) is built: </w:t>
            </w:r>
            <w:r w:rsidRPr="00D662C2">
              <w:rPr>
                <w:rFonts w:ascii="Times New Roman" w:hAnsi="Times New Roman" w:cs="Times New Roman"/>
                <w:b/>
                <w:bCs/>
                <w:sz w:val="22"/>
                <w:szCs w:val="22"/>
              </w:rPr>
              <w:t>~25% (e)</w:t>
            </w:r>
          </w:p>
        </w:tc>
        <w:tc>
          <w:tcPr>
            <w:tcW w:w="0" w:type="auto"/>
            <w:hideMark/>
          </w:tcPr>
          <w:p w14:paraId="222E422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~15–20% (e)</w:t>
            </w:r>
            <w:r w:rsidRPr="00D662C2">
              <w:rPr>
                <w:rFonts w:ascii="Times New Roman" w:hAnsi="Times New Roman" w:cs="Times New Roman"/>
                <w:sz w:val="22"/>
                <w:szCs w:val="22"/>
              </w:rPr>
              <w:t>, contingent on continued investment in flare-reduction projects</w:t>
            </w:r>
          </w:p>
        </w:tc>
        <w:tc>
          <w:tcPr>
            <w:tcW w:w="0" w:type="auto"/>
            <w:hideMark/>
          </w:tcPr>
          <w:p w14:paraId="63AC727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~10–15% (e)</w:t>
            </w:r>
          </w:p>
        </w:tc>
      </w:tr>
      <w:tr w:rsidR="00D662C2" w:rsidRPr="00D662C2" w14:paraId="742822A0" w14:textId="77777777" w:rsidTr="00D662C2">
        <w:tc>
          <w:tcPr>
            <w:tcW w:w="0" w:type="auto"/>
            <w:hideMark/>
          </w:tcPr>
          <w:p w14:paraId="1FA5686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 xml:space="preserve">Potential additional gas available for </w:t>
            </w:r>
            <w:r w:rsidRPr="00D662C2">
              <w:rPr>
                <w:rFonts w:ascii="Times New Roman" w:hAnsi="Times New Roman" w:cs="Times New Roman"/>
                <w:b/>
                <w:bCs/>
                <w:sz w:val="22"/>
                <w:szCs w:val="22"/>
              </w:rPr>
              <w:lastRenderedPageBreak/>
              <w:t xml:space="preserve">domestic </w:t>
            </w:r>
            <w:proofErr w:type="spellStart"/>
            <w:r w:rsidRPr="00D662C2">
              <w:rPr>
                <w:rFonts w:ascii="Times New Roman" w:hAnsi="Times New Roman" w:cs="Times New Roman"/>
                <w:b/>
                <w:bCs/>
                <w:sz w:val="22"/>
                <w:szCs w:val="22"/>
              </w:rPr>
              <w:t>monetisation</w:t>
            </w:r>
            <w:proofErr w:type="spellEnd"/>
          </w:p>
        </w:tc>
        <w:tc>
          <w:tcPr>
            <w:tcW w:w="0" w:type="auto"/>
            <w:hideMark/>
          </w:tcPr>
          <w:p w14:paraId="27A38BE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lastRenderedPageBreak/>
              <w:t xml:space="preserve">~0.5–1.0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r w:rsidRPr="00D662C2">
              <w:rPr>
                <w:rFonts w:ascii="Times New Roman" w:hAnsi="Times New Roman" w:cs="Times New Roman"/>
                <w:sz w:val="22"/>
                <w:szCs w:val="22"/>
              </w:rPr>
              <w:t xml:space="preserve">, representing the gap between currently flared/reinjected gas and what could realistically be </w:t>
            </w:r>
            <w:r w:rsidRPr="00D662C2">
              <w:rPr>
                <w:rFonts w:ascii="Times New Roman" w:hAnsi="Times New Roman" w:cs="Times New Roman"/>
                <w:sz w:val="22"/>
                <w:szCs w:val="22"/>
              </w:rPr>
              <w:lastRenderedPageBreak/>
              <w:t>captured with modest incremental gathering investment</w:t>
            </w:r>
          </w:p>
        </w:tc>
        <w:tc>
          <w:tcPr>
            <w:tcW w:w="0" w:type="auto"/>
            <w:hideMark/>
          </w:tcPr>
          <w:p w14:paraId="483B6EF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lastRenderedPageBreak/>
              <w:t xml:space="preserve">~0.8–1.5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p>
        </w:tc>
        <w:tc>
          <w:tcPr>
            <w:tcW w:w="0" w:type="auto"/>
            <w:hideMark/>
          </w:tcPr>
          <w:p w14:paraId="2B1BF2B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 xml:space="preserve">~1.0–2.0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r w:rsidRPr="00D662C2">
              <w:rPr>
                <w:rFonts w:ascii="Times New Roman" w:hAnsi="Times New Roman" w:cs="Times New Roman"/>
                <w:sz w:val="22"/>
                <w:szCs w:val="22"/>
              </w:rPr>
              <w:t xml:space="preserve">, contingent on continued </w:t>
            </w:r>
            <w:r w:rsidRPr="00D662C2">
              <w:rPr>
                <w:rFonts w:ascii="Times New Roman" w:hAnsi="Times New Roman" w:cs="Times New Roman"/>
                <w:sz w:val="22"/>
                <w:szCs w:val="22"/>
              </w:rPr>
              <w:lastRenderedPageBreak/>
              <w:t>flare/reinjection reduction</w:t>
            </w:r>
          </w:p>
        </w:tc>
        <w:tc>
          <w:tcPr>
            <w:tcW w:w="0" w:type="auto"/>
            <w:hideMark/>
          </w:tcPr>
          <w:p w14:paraId="6A3AFDD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lastRenderedPageBreak/>
              <w:t xml:space="preserve">~1.0–2.5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 (e)</w:t>
            </w:r>
          </w:p>
        </w:tc>
      </w:tr>
    </w:tbl>
    <w:p w14:paraId="13B5483C" w14:textId="77777777" w:rsidR="00D662C2" w:rsidRDefault="00D662C2" w:rsidP="00D662C2">
      <w:pPr>
        <w:jc w:val="both"/>
        <w:rPr>
          <w:rFonts w:ascii="Times New Roman" w:hAnsi="Times New Roman" w:cs="Times New Roman"/>
          <w:b/>
          <w:bCs/>
        </w:rPr>
      </w:pPr>
    </w:p>
    <w:p w14:paraId="42C53CF3" w14:textId="344E667D"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Interpretation: even the low end of the "potential additional gas" row (~0.5 </w:t>
      </w:r>
      <w:proofErr w:type="spellStart"/>
      <w:r w:rsidRPr="00D662C2">
        <w:rPr>
          <w:rFonts w:ascii="Times New Roman" w:hAnsi="Times New Roman" w:cs="Times New Roman"/>
        </w:rPr>
        <w:t>bcm</w:t>
      </w:r>
      <w:proofErr w:type="spellEnd"/>
      <w:r w:rsidRPr="00D662C2">
        <w:rPr>
          <w:rFonts w:ascii="Times New Roman" w:hAnsi="Times New Roman" w:cs="Times New Roman"/>
        </w:rPr>
        <w:t xml:space="preserve">/yr) is large relative to CEC's likely current consumption (benchmark ~0.5–0.8 </w:t>
      </w:r>
      <w:proofErr w:type="spellStart"/>
      <w:r w:rsidRPr="00D662C2">
        <w:rPr>
          <w:rFonts w:ascii="Times New Roman" w:hAnsi="Times New Roman" w:cs="Times New Roman"/>
        </w:rPr>
        <w:t>bcm</w:t>
      </w:r>
      <w:proofErr w:type="spellEnd"/>
      <w:r w:rsidRPr="00D662C2">
        <w:rPr>
          <w:rFonts w:ascii="Times New Roman" w:hAnsi="Times New Roman" w:cs="Times New Roman"/>
        </w:rPr>
        <w:t>/</w:t>
      </w:r>
      <w:proofErr w:type="gramStart"/>
      <w:r w:rsidRPr="00D662C2">
        <w:rPr>
          <w:rFonts w:ascii="Times New Roman" w:hAnsi="Times New Roman" w:cs="Times New Roman"/>
        </w:rPr>
        <w:t>yr)  implying</w:t>
      </w:r>
      <w:proofErr w:type="gramEnd"/>
      <w:r w:rsidRPr="00D662C2">
        <w:rPr>
          <w:rFonts w:ascii="Times New Roman" w:hAnsi="Times New Roman" w:cs="Times New Roman"/>
        </w:rPr>
        <w:t xml:space="preserve"> that flared and reinjected gas alone could, in principle, support a material expansion of domestic gas-fired generation without displacing LNG feedstock, provided the necessary field-specific gathering and processing infrastructure is built. This is consistent with the historical rationale for CEC/CED's original construction (to </w:t>
      </w:r>
      <w:proofErr w:type="spellStart"/>
      <w:r w:rsidRPr="00D662C2">
        <w:rPr>
          <w:rFonts w:ascii="Times New Roman" w:hAnsi="Times New Roman" w:cs="Times New Roman"/>
        </w:rPr>
        <w:t>commercialise</w:t>
      </w:r>
      <w:proofErr w:type="spellEnd"/>
      <w:r w:rsidRPr="00D662C2">
        <w:rPr>
          <w:rFonts w:ascii="Times New Roman" w:hAnsi="Times New Roman" w:cs="Times New Roman"/>
        </w:rPr>
        <w:t xml:space="preserve"> gas that would otherwise be flared) and suggests the same logic could be extended to new capacity, rather than gas-to-power necessarily competing head-to-head with LNG for the same already-processed gas stream.</w:t>
      </w:r>
    </w:p>
    <w:p w14:paraId="23C0149D" w14:textId="2CA0EA6F" w:rsidR="00D662C2" w:rsidRPr="00D662C2" w:rsidRDefault="00D662C2" w:rsidP="00D662C2">
      <w:pPr>
        <w:jc w:val="both"/>
        <w:rPr>
          <w:rFonts w:ascii="Times New Roman" w:hAnsi="Times New Roman" w:cs="Times New Roman"/>
        </w:rPr>
      </w:pPr>
    </w:p>
    <w:p w14:paraId="1AE398D0"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6. Gas-Fired Generation Technology Assessment</w:t>
      </w:r>
    </w:p>
    <w:p w14:paraId="286A2BDF"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Data limitation:</w:t>
      </w:r>
      <w:r w:rsidRPr="00D662C2">
        <w:rPr>
          <w:rFonts w:ascii="Times New Roman" w:hAnsi="Times New Roman" w:cs="Times New Roman"/>
        </w:rPr>
        <w:t xml:space="preserve"> Congo-specific CAPEX, OPEX and efficiency figures for CEC/CED are not disclosed in the sources reviewed (beyond capacity ratings). The table below uses </w:t>
      </w:r>
      <w:r w:rsidRPr="00D662C2">
        <w:rPr>
          <w:rFonts w:ascii="Times New Roman" w:hAnsi="Times New Roman" w:cs="Times New Roman"/>
          <w:b/>
          <w:bCs/>
        </w:rPr>
        <w:t>standard published industry benchmark ranges</w:t>
      </w:r>
      <w:r w:rsidRPr="00D662C2">
        <w:rPr>
          <w:rFonts w:ascii="Times New Roman" w:hAnsi="Times New Roman" w:cs="Times New Roman"/>
        </w:rPr>
        <w:t xml:space="preserve"> for the technology classes in question, appropriate for a Sub-Saharan African offshore/onshore gas context, clearly labelled as such.</w:t>
      </w:r>
    </w:p>
    <w:tbl>
      <w:tblPr>
        <w:tblStyle w:val="TableGrid"/>
        <w:tblW w:w="0" w:type="auto"/>
        <w:tblLook w:val="04A0" w:firstRow="1" w:lastRow="0" w:firstColumn="1" w:lastColumn="0" w:noHBand="0" w:noVBand="1"/>
      </w:tblPr>
      <w:tblGrid>
        <w:gridCol w:w="1374"/>
        <w:gridCol w:w="1232"/>
        <w:gridCol w:w="1405"/>
        <w:gridCol w:w="1297"/>
        <w:gridCol w:w="1341"/>
        <w:gridCol w:w="907"/>
        <w:gridCol w:w="1794"/>
      </w:tblGrid>
      <w:tr w:rsidR="00D662C2" w:rsidRPr="00D662C2" w14:paraId="098F5484" w14:textId="77777777" w:rsidTr="00D662C2">
        <w:tc>
          <w:tcPr>
            <w:tcW w:w="0" w:type="auto"/>
            <w:hideMark/>
          </w:tcPr>
          <w:p w14:paraId="0C21C85B"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Technology</w:t>
            </w:r>
          </w:p>
        </w:tc>
        <w:tc>
          <w:tcPr>
            <w:tcW w:w="0" w:type="auto"/>
            <w:hideMark/>
          </w:tcPr>
          <w:p w14:paraId="07100355"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Efficiency (LHV, benchmark)</w:t>
            </w:r>
          </w:p>
        </w:tc>
        <w:tc>
          <w:tcPr>
            <w:tcW w:w="0" w:type="auto"/>
            <w:hideMark/>
          </w:tcPr>
          <w:p w14:paraId="0C5C972B"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CAPEX/MW (benchmark, USD)</w:t>
            </w:r>
          </w:p>
        </w:tc>
        <w:tc>
          <w:tcPr>
            <w:tcW w:w="0" w:type="auto"/>
            <w:hideMark/>
          </w:tcPr>
          <w:p w14:paraId="57200471"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OPEX (benchmark)</w:t>
            </w:r>
          </w:p>
        </w:tc>
        <w:tc>
          <w:tcPr>
            <w:tcW w:w="0" w:type="auto"/>
            <w:hideMark/>
          </w:tcPr>
          <w:p w14:paraId="02574942"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Consumption (benchmark heat rate)</w:t>
            </w:r>
          </w:p>
        </w:tc>
        <w:tc>
          <w:tcPr>
            <w:tcW w:w="0" w:type="auto"/>
            <w:hideMark/>
          </w:tcPr>
          <w:p w14:paraId="69A21329"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Start-up Time</w:t>
            </w:r>
          </w:p>
        </w:tc>
        <w:tc>
          <w:tcPr>
            <w:tcW w:w="0" w:type="auto"/>
            <w:hideMark/>
          </w:tcPr>
          <w:p w14:paraId="09C5EFDB"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Best Application</w:t>
            </w:r>
          </w:p>
        </w:tc>
      </w:tr>
      <w:tr w:rsidR="00D662C2" w:rsidRPr="00D662C2" w14:paraId="1C8B8997" w14:textId="77777777" w:rsidTr="00D662C2">
        <w:tc>
          <w:tcPr>
            <w:tcW w:w="0" w:type="auto"/>
            <w:hideMark/>
          </w:tcPr>
          <w:p w14:paraId="5AAA090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Open-Cycle Gas Turbine (OCGT)</w:t>
            </w:r>
          </w:p>
        </w:tc>
        <w:tc>
          <w:tcPr>
            <w:tcW w:w="0" w:type="auto"/>
            <w:hideMark/>
          </w:tcPr>
          <w:p w14:paraId="4828E01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30–38%</w:t>
            </w:r>
          </w:p>
        </w:tc>
        <w:tc>
          <w:tcPr>
            <w:tcW w:w="0" w:type="auto"/>
            <w:hideMark/>
          </w:tcPr>
          <w:p w14:paraId="6329423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$500,000–800,000/MW</w:t>
            </w:r>
          </w:p>
        </w:tc>
        <w:tc>
          <w:tcPr>
            <w:tcW w:w="0" w:type="auto"/>
            <w:hideMark/>
          </w:tcPr>
          <w:p w14:paraId="40DF42B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Lower capital, higher fuel cost per MWh; O&amp;M ~$8–15/MWh (benchmark)</w:t>
            </w:r>
          </w:p>
        </w:tc>
        <w:tc>
          <w:tcPr>
            <w:tcW w:w="0" w:type="auto"/>
            <w:hideMark/>
          </w:tcPr>
          <w:p w14:paraId="500EC8B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~9,000–11,500 Btu/kWh</w:t>
            </w:r>
          </w:p>
        </w:tc>
        <w:tc>
          <w:tcPr>
            <w:tcW w:w="0" w:type="auto"/>
            <w:hideMark/>
          </w:tcPr>
          <w:p w14:paraId="6237A9D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Minutes (fast-start)</w:t>
            </w:r>
          </w:p>
        </w:tc>
        <w:tc>
          <w:tcPr>
            <w:tcW w:w="0" w:type="auto"/>
            <w:hideMark/>
          </w:tcPr>
          <w:p w14:paraId="0C7C6DC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Peaking, grid balancing, backup</w:t>
            </w:r>
          </w:p>
        </w:tc>
      </w:tr>
      <w:tr w:rsidR="00D662C2" w:rsidRPr="00D662C2" w14:paraId="1D6488BC" w14:textId="77777777" w:rsidTr="00D662C2">
        <w:tc>
          <w:tcPr>
            <w:tcW w:w="0" w:type="auto"/>
            <w:hideMark/>
          </w:tcPr>
          <w:p w14:paraId="302A1EB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Combined-Cycle Gas Turbine (CCGT)</w:t>
            </w:r>
          </w:p>
        </w:tc>
        <w:tc>
          <w:tcPr>
            <w:tcW w:w="0" w:type="auto"/>
            <w:hideMark/>
          </w:tcPr>
          <w:p w14:paraId="5AE99A3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48–58%</w:t>
            </w:r>
          </w:p>
        </w:tc>
        <w:tc>
          <w:tcPr>
            <w:tcW w:w="0" w:type="auto"/>
            <w:hideMark/>
          </w:tcPr>
          <w:p w14:paraId="4ECEF9B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$900,000–1,400,000/MW</w:t>
            </w:r>
          </w:p>
        </w:tc>
        <w:tc>
          <w:tcPr>
            <w:tcW w:w="0" w:type="auto"/>
            <w:hideMark/>
          </w:tcPr>
          <w:p w14:paraId="754FB0D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Lower fuel cost per MWh than OCGT; O&amp;M ~$6–10/MWh </w:t>
            </w:r>
            <w:r w:rsidRPr="00D662C2">
              <w:rPr>
                <w:rFonts w:ascii="Times New Roman" w:hAnsi="Times New Roman" w:cs="Times New Roman"/>
                <w:sz w:val="22"/>
                <w:szCs w:val="22"/>
              </w:rPr>
              <w:lastRenderedPageBreak/>
              <w:t>(benchmark)</w:t>
            </w:r>
          </w:p>
        </w:tc>
        <w:tc>
          <w:tcPr>
            <w:tcW w:w="0" w:type="auto"/>
            <w:hideMark/>
          </w:tcPr>
          <w:p w14:paraId="0D40C2A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~5,900–7,100 Btu/kWh</w:t>
            </w:r>
          </w:p>
        </w:tc>
        <w:tc>
          <w:tcPr>
            <w:tcW w:w="0" w:type="auto"/>
            <w:hideMark/>
          </w:tcPr>
          <w:p w14:paraId="0878A60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Hours (slower start, though modern fast-</w:t>
            </w:r>
            <w:r w:rsidRPr="00D662C2">
              <w:rPr>
                <w:rFonts w:ascii="Times New Roman" w:hAnsi="Times New Roman" w:cs="Times New Roman"/>
                <w:sz w:val="22"/>
                <w:szCs w:val="22"/>
              </w:rPr>
              <w:lastRenderedPageBreak/>
              <w:t>start CCGTs narrow this gap)</w:t>
            </w:r>
          </w:p>
        </w:tc>
        <w:tc>
          <w:tcPr>
            <w:tcW w:w="0" w:type="auto"/>
            <w:hideMark/>
          </w:tcPr>
          <w:p w14:paraId="17867C8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Base-load and mid-merit generation — </w:t>
            </w:r>
            <w:r w:rsidRPr="00D662C2">
              <w:rPr>
                <w:rFonts w:ascii="Times New Roman" w:hAnsi="Times New Roman" w:cs="Times New Roman"/>
                <w:b/>
                <w:bCs/>
                <w:sz w:val="22"/>
                <w:szCs w:val="22"/>
              </w:rPr>
              <w:t xml:space="preserve">matches </w:t>
            </w:r>
            <w:proofErr w:type="gramStart"/>
            <w:r w:rsidRPr="00D662C2">
              <w:rPr>
                <w:rFonts w:ascii="Times New Roman" w:hAnsi="Times New Roman" w:cs="Times New Roman"/>
                <w:b/>
                <w:bCs/>
                <w:sz w:val="22"/>
                <w:szCs w:val="22"/>
              </w:rPr>
              <w:t>CEC's</w:t>
            </w:r>
            <w:proofErr w:type="gramEnd"/>
            <w:r w:rsidRPr="00D662C2">
              <w:rPr>
                <w:rFonts w:ascii="Times New Roman" w:hAnsi="Times New Roman" w:cs="Times New Roman"/>
                <w:b/>
                <w:bCs/>
                <w:sz w:val="22"/>
                <w:szCs w:val="22"/>
              </w:rPr>
              <w:t xml:space="preserve"> stated </w:t>
            </w:r>
            <w:r w:rsidRPr="00D662C2">
              <w:rPr>
                <w:rFonts w:ascii="Times New Roman" w:hAnsi="Times New Roman" w:cs="Times New Roman"/>
                <w:b/>
                <w:bCs/>
                <w:sz w:val="22"/>
                <w:szCs w:val="22"/>
              </w:rPr>
              <w:lastRenderedPageBreak/>
              <w:t>combined-cycle conversion plan</w:t>
            </w:r>
          </w:p>
        </w:tc>
      </w:tr>
      <w:tr w:rsidR="00D662C2" w:rsidRPr="00D662C2" w14:paraId="19484680" w14:textId="77777777" w:rsidTr="00D662C2">
        <w:tc>
          <w:tcPr>
            <w:tcW w:w="0" w:type="auto"/>
            <w:hideMark/>
          </w:tcPr>
          <w:p w14:paraId="34DE5C8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Gas (reciprocating) engines</w:t>
            </w:r>
          </w:p>
        </w:tc>
        <w:tc>
          <w:tcPr>
            <w:tcW w:w="0" w:type="auto"/>
            <w:hideMark/>
          </w:tcPr>
          <w:p w14:paraId="519084C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38–46%</w:t>
            </w:r>
          </w:p>
        </w:tc>
        <w:tc>
          <w:tcPr>
            <w:tcW w:w="0" w:type="auto"/>
            <w:hideMark/>
          </w:tcPr>
          <w:p w14:paraId="3042A90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$700,000–1,100,000/MW</w:t>
            </w:r>
          </w:p>
        </w:tc>
        <w:tc>
          <w:tcPr>
            <w:tcW w:w="0" w:type="auto"/>
            <w:hideMark/>
          </w:tcPr>
          <w:p w14:paraId="085C1AA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Modular, good part-load efficiency; O&amp;M ~$10–18/MWh (benchmark, driven by maintenance-intensive design)</w:t>
            </w:r>
          </w:p>
        </w:tc>
        <w:tc>
          <w:tcPr>
            <w:tcW w:w="0" w:type="auto"/>
            <w:hideMark/>
          </w:tcPr>
          <w:p w14:paraId="50769A8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~7,400–9,000 Btu/kWh</w:t>
            </w:r>
          </w:p>
        </w:tc>
        <w:tc>
          <w:tcPr>
            <w:tcW w:w="0" w:type="auto"/>
            <w:hideMark/>
          </w:tcPr>
          <w:p w14:paraId="7114346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Minutes</w:t>
            </w:r>
          </w:p>
        </w:tc>
        <w:tc>
          <w:tcPr>
            <w:tcW w:w="0" w:type="auto"/>
            <w:hideMark/>
          </w:tcPr>
          <w:p w14:paraId="2F2AD55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Distributed/modular generation, industrial self-supply, grid balancing — closest technology analogue to Perenco's </w:t>
            </w:r>
            <w:proofErr w:type="spellStart"/>
            <w:r w:rsidRPr="00D662C2">
              <w:rPr>
                <w:rFonts w:ascii="Times New Roman" w:hAnsi="Times New Roman" w:cs="Times New Roman"/>
                <w:sz w:val="22"/>
                <w:szCs w:val="22"/>
              </w:rPr>
              <w:t>Tchendo</w:t>
            </w:r>
            <w:proofErr w:type="spellEnd"/>
            <w:r w:rsidRPr="00D662C2">
              <w:rPr>
                <w:rFonts w:ascii="Times New Roman" w:hAnsi="Times New Roman" w:cs="Times New Roman"/>
                <w:sz w:val="22"/>
                <w:szCs w:val="22"/>
              </w:rPr>
              <w:t xml:space="preserve"> 2 self-generation model</w:t>
            </w:r>
          </w:p>
        </w:tc>
      </w:tr>
      <w:tr w:rsidR="00D662C2" w:rsidRPr="00D662C2" w14:paraId="51027FD7" w14:textId="77777777" w:rsidTr="00D662C2">
        <w:tc>
          <w:tcPr>
            <w:tcW w:w="0" w:type="auto"/>
            <w:hideMark/>
          </w:tcPr>
          <w:p w14:paraId="04C55DB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Combined Heat and Power (CHP)</w:t>
            </w:r>
          </w:p>
        </w:tc>
        <w:tc>
          <w:tcPr>
            <w:tcW w:w="0" w:type="auto"/>
            <w:hideMark/>
          </w:tcPr>
          <w:p w14:paraId="22A803D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70–85% (combined electrical + thermal)</w:t>
            </w:r>
          </w:p>
        </w:tc>
        <w:tc>
          <w:tcPr>
            <w:tcW w:w="0" w:type="auto"/>
            <w:hideMark/>
          </w:tcPr>
          <w:p w14:paraId="22A79C2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$1,000,000–1,600,000/MW (electrical-equivalent, benchmark)</w:t>
            </w:r>
          </w:p>
        </w:tc>
        <w:tc>
          <w:tcPr>
            <w:tcW w:w="0" w:type="auto"/>
            <w:hideMark/>
          </w:tcPr>
          <w:p w14:paraId="131E709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Highest economic value only where a matched thermal </w:t>
            </w:r>
            <w:proofErr w:type="spellStart"/>
            <w:r w:rsidRPr="00D662C2">
              <w:rPr>
                <w:rFonts w:ascii="Times New Roman" w:hAnsi="Times New Roman" w:cs="Times New Roman"/>
                <w:sz w:val="22"/>
                <w:szCs w:val="22"/>
              </w:rPr>
              <w:t>offtaker</w:t>
            </w:r>
            <w:proofErr w:type="spellEnd"/>
            <w:r w:rsidRPr="00D662C2">
              <w:rPr>
                <w:rFonts w:ascii="Times New Roman" w:hAnsi="Times New Roman" w:cs="Times New Roman"/>
                <w:sz w:val="22"/>
                <w:szCs w:val="22"/>
              </w:rPr>
              <w:t xml:space="preserve"> exists</w:t>
            </w:r>
          </w:p>
        </w:tc>
        <w:tc>
          <w:tcPr>
            <w:tcW w:w="0" w:type="auto"/>
            <w:hideMark/>
          </w:tcPr>
          <w:p w14:paraId="11D2245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Varies with prime mover</w:t>
            </w:r>
          </w:p>
        </w:tc>
        <w:tc>
          <w:tcPr>
            <w:tcW w:w="0" w:type="auto"/>
            <w:hideMark/>
          </w:tcPr>
          <w:p w14:paraId="45C86B5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Slower to site (requires co-located heat demand)</w:t>
            </w:r>
          </w:p>
        </w:tc>
        <w:tc>
          <w:tcPr>
            <w:tcW w:w="0" w:type="auto"/>
            <w:hideMark/>
          </w:tcPr>
          <w:p w14:paraId="34CA53E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Industrial parks/petrochemical clusters with steam/heat demand — </w:t>
            </w:r>
            <w:r w:rsidRPr="00D662C2">
              <w:rPr>
                <w:rFonts w:ascii="Times New Roman" w:hAnsi="Times New Roman" w:cs="Times New Roman"/>
                <w:b/>
                <w:bCs/>
                <w:sz w:val="22"/>
                <w:szCs w:val="22"/>
              </w:rPr>
              <w:t>no confirmed matched thermal off-taker was identified for Congo in sources reviewed; CHP is included for completeness but is not evidently a near-term fit</w:t>
            </w:r>
          </w:p>
        </w:tc>
      </w:tr>
    </w:tbl>
    <w:p w14:paraId="04E25C63" w14:textId="77777777" w:rsidR="00D662C2" w:rsidRDefault="00D662C2" w:rsidP="00D662C2">
      <w:pPr>
        <w:jc w:val="both"/>
        <w:rPr>
          <w:rFonts w:ascii="Times New Roman" w:hAnsi="Times New Roman" w:cs="Times New Roman"/>
          <w:b/>
          <w:bCs/>
        </w:rPr>
      </w:pPr>
    </w:p>
    <w:p w14:paraId="67EF45A7" w14:textId="10B18259"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Technology fit by application:</w:t>
      </w:r>
    </w:p>
    <w:p w14:paraId="614FFCBF" w14:textId="2434498A" w:rsidR="00D662C2" w:rsidRPr="00D662C2" w:rsidRDefault="00D662C2" w:rsidP="00D662C2">
      <w:pPr>
        <w:numPr>
          <w:ilvl w:val="0"/>
          <w:numId w:val="1"/>
        </w:numPr>
        <w:jc w:val="both"/>
        <w:rPr>
          <w:rFonts w:ascii="Times New Roman" w:hAnsi="Times New Roman" w:cs="Times New Roman"/>
        </w:rPr>
      </w:pPr>
      <w:r w:rsidRPr="00D662C2">
        <w:rPr>
          <w:rFonts w:ascii="Times New Roman" w:hAnsi="Times New Roman" w:cs="Times New Roman"/>
          <w:b/>
          <w:bCs/>
        </w:rPr>
        <w:t>Base-load:</w:t>
      </w:r>
      <w:r w:rsidRPr="00D662C2">
        <w:rPr>
          <w:rFonts w:ascii="Times New Roman" w:hAnsi="Times New Roman" w:cs="Times New Roman"/>
        </w:rPr>
        <w:t xml:space="preserve"> CCGT matches CEC's own stated combined-cycle conversion plan and is the most fuel-efficient use of a gas resource that otherwise carries a low domestic opportunity cost (Section 8).</w:t>
      </w:r>
    </w:p>
    <w:p w14:paraId="54A00680" w14:textId="77777777" w:rsidR="00D662C2" w:rsidRPr="00D662C2" w:rsidRDefault="00D662C2" w:rsidP="00D662C2">
      <w:pPr>
        <w:numPr>
          <w:ilvl w:val="0"/>
          <w:numId w:val="1"/>
        </w:numPr>
        <w:jc w:val="both"/>
        <w:rPr>
          <w:rFonts w:ascii="Times New Roman" w:hAnsi="Times New Roman" w:cs="Times New Roman"/>
        </w:rPr>
      </w:pPr>
      <w:r w:rsidRPr="00D662C2">
        <w:rPr>
          <w:rFonts w:ascii="Times New Roman" w:hAnsi="Times New Roman" w:cs="Times New Roman"/>
          <w:b/>
          <w:bCs/>
        </w:rPr>
        <w:lastRenderedPageBreak/>
        <w:t>Peak generation:</w:t>
      </w:r>
      <w:r w:rsidRPr="00D662C2">
        <w:rPr>
          <w:rFonts w:ascii="Times New Roman" w:hAnsi="Times New Roman" w:cs="Times New Roman"/>
        </w:rPr>
        <w:t xml:space="preserve"> OCGT or gas engines, given fast-start capability; particularly relevant given Congo's 42% T&amp;D losses and reliability issues (</w:t>
      </w:r>
      <w:proofErr w:type="spellStart"/>
      <w:r w:rsidRPr="00D662C2">
        <w:rPr>
          <w:rFonts w:ascii="Times New Roman" w:hAnsi="Times New Roman" w:cs="Times New Roman"/>
        </w:rPr>
        <w:t>Djoué</w:t>
      </w:r>
      <w:proofErr w:type="spellEnd"/>
      <w:r w:rsidRPr="00D662C2">
        <w:rPr>
          <w:rFonts w:ascii="Times New Roman" w:hAnsi="Times New Roman" w:cs="Times New Roman"/>
        </w:rPr>
        <w:t xml:space="preserve"> hydro at 0% available capacity) that likely require flexible balancing capacity.</w:t>
      </w:r>
    </w:p>
    <w:p w14:paraId="1A26318C" w14:textId="77777777" w:rsidR="00D662C2" w:rsidRPr="00D662C2" w:rsidRDefault="00D662C2" w:rsidP="00D662C2">
      <w:pPr>
        <w:numPr>
          <w:ilvl w:val="0"/>
          <w:numId w:val="1"/>
        </w:numPr>
        <w:jc w:val="both"/>
        <w:rPr>
          <w:rFonts w:ascii="Times New Roman" w:hAnsi="Times New Roman" w:cs="Times New Roman"/>
        </w:rPr>
      </w:pPr>
      <w:r w:rsidRPr="00D662C2">
        <w:rPr>
          <w:rFonts w:ascii="Times New Roman" w:hAnsi="Times New Roman" w:cs="Times New Roman"/>
          <w:b/>
          <w:bCs/>
        </w:rPr>
        <w:t>Industrial power:</w:t>
      </w:r>
      <w:r w:rsidRPr="00D662C2">
        <w:rPr>
          <w:rFonts w:ascii="Times New Roman" w:hAnsi="Times New Roman" w:cs="Times New Roman"/>
        </w:rPr>
        <w:t xml:space="preserve"> Gas engines (modular, can be sited close to industrial parks) or dedicated CCGT if scale is large enough (Section 12).</w:t>
      </w:r>
    </w:p>
    <w:p w14:paraId="4647818E" w14:textId="77777777" w:rsidR="00D662C2" w:rsidRPr="00D662C2" w:rsidRDefault="00D662C2" w:rsidP="00D662C2">
      <w:pPr>
        <w:numPr>
          <w:ilvl w:val="0"/>
          <w:numId w:val="1"/>
        </w:numPr>
        <w:jc w:val="both"/>
        <w:rPr>
          <w:rFonts w:ascii="Times New Roman" w:hAnsi="Times New Roman" w:cs="Times New Roman"/>
        </w:rPr>
      </w:pPr>
      <w:r w:rsidRPr="00D662C2">
        <w:rPr>
          <w:rFonts w:ascii="Times New Roman" w:hAnsi="Times New Roman" w:cs="Times New Roman"/>
          <w:b/>
          <w:bCs/>
        </w:rPr>
        <w:t>Grid balancing:</w:t>
      </w:r>
      <w:r w:rsidRPr="00D662C2">
        <w:rPr>
          <w:rFonts w:ascii="Times New Roman" w:hAnsi="Times New Roman" w:cs="Times New Roman"/>
        </w:rPr>
        <w:t xml:space="preserve"> OCGT/gas engines, to complement variable hydro output (Section 15).</w:t>
      </w:r>
    </w:p>
    <w:p w14:paraId="4041F92E" w14:textId="77777777" w:rsidR="00D662C2" w:rsidRPr="00D662C2" w:rsidRDefault="00D662C2" w:rsidP="00D662C2">
      <w:pPr>
        <w:numPr>
          <w:ilvl w:val="0"/>
          <w:numId w:val="1"/>
        </w:numPr>
        <w:jc w:val="both"/>
        <w:rPr>
          <w:rFonts w:ascii="Times New Roman" w:hAnsi="Times New Roman" w:cs="Times New Roman"/>
        </w:rPr>
      </w:pPr>
      <w:r w:rsidRPr="00D662C2">
        <w:rPr>
          <w:rFonts w:ascii="Times New Roman" w:hAnsi="Times New Roman" w:cs="Times New Roman"/>
          <w:b/>
          <w:bCs/>
        </w:rPr>
        <w:t>Backup generation:</w:t>
      </w:r>
      <w:r w:rsidRPr="00D662C2">
        <w:rPr>
          <w:rFonts w:ascii="Times New Roman" w:hAnsi="Times New Roman" w:cs="Times New Roman"/>
        </w:rPr>
        <w:t xml:space="preserve"> Gas engines, consistent with the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 self-generation model, though that project is a non-grid, operator-specific analogue rather than a national-grid backup solution.</w:t>
      </w:r>
    </w:p>
    <w:p w14:paraId="3E013653" w14:textId="49C50253" w:rsidR="00D662C2" w:rsidRPr="00D662C2" w:rsidRDefault="00D662C2" w:rsidP="00D662C2">
      <w:pPr>
        <w:jc w:val="both"/>
        <w:rPr>
          <w:rFonts w:ascii="Times New Roman" w:hAnsi="Times New Roman" w:cs="Times New Roman"/>
        </w:rPr>
      </w:pPr>
    </w:p>
    <w:p w14:paraId="4F8DD51C"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7. Gas Consumption and Power Output</w:t>
      </w:r>
    </w:p>
    <w:p w14:paraId="0F356D8A"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Using the CCGT benchmark heat rate of </w:t>
      </w:r>
      <w:r w:rsidRPr="00D662C2">
        <w:rPr>
          <w:rFonts w:ascii="Times New Roman" w:hAnsi="Times New Roman" w:cs="Times New Roman"/>
          <w:b/>
          <w:bCs/>
        </w:rPr>
        <w:t>~7,000 Btu/kWh</w:t>
      </w:r>
      <w:r w:rsidRPr="00D662C2">
        <w:rPr>
          <w:rFonts w:ascii="Times New Roman" w:hAnsi="Times New Roman" w:cs="Times New Roman"/>
        </w:rPr>
        <w:t xml:space="preserve"> (mid-range of the Section 6 benchmark, corresponding to roughly 48.8% efficiency) and a </w:t>
      </w:r>
      <w:r w:rsidRPr="00D662C2">
        <w:rPr>
          <w:rFonts w:ascii="Times New Roman" w:hAnsi="Times New Roman" w:cs="Times New Roman"/>
          <w:b/>
          <w:bCs/>
        </w:rPr>
        <w:t>70% capacity factor</w:t>
      </w:r>
      <w:r w:rsidRPr="00D662C2">
        <w:rPr>
          <w:rFonts w:ascii="Times New Roman" w:hAnsi="Times New Roman" w:cs="Times New Roman"/>
        </w:rPr>
        <w:t xml:space="preserve"> (a reasonable base-load assumption for a plant displacing flared gas with minimal fuel-cost constraint, though this is a modelling assumption, not a CEC-specific disclosed figure):</w:t>
      </w:r>
    </w:p>
    <w:tbl>
      <w:tblPr>
        <w:tblStyle w:val="TableGrid"/>
        <w:tblW w:w="0" w:type="auto"/>
        <w:tblLook w:val="04A0" w:firstRow="1" w:lastRow="0" w:firstColumn="1" w:lastColumn="0" w:noHBand="0" w:noVBand="1"/>
      </w:tblPr>
      <w:tblGrid>
        <w:gridCol w:w="1530"/>
        <w:gridCol w:w="1284"/>
        <w:gridCol w:w="2145"/>
        <w:gridCol w:w="2269"/>
        <w:gridCol w:w="2122"/>
      </w:tblGrid>
      <w:tr w:rsidR="00D662C2" w:rsidRPr="00D662C2" w14:paraId="74C31E5C" w14:textId="77777777" w:rsidTr="008C668F">
        <w:tc>
          <w:tcPr>
            <w:tcW w:w="0" w:type="auto"/>
            <w:hideMark/>
          </w:tcPr>
          <w:p w14:paraId="0FB7FCDC"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Generation Capacity</w:t>
            </w:r>
          </w:p>
        </w:tc>
        <w:tc>
          <w:tcPr>
            <w:tcW w:w="0" w:type="auto"/>
            <w:hideMark/>
          </w:tcPr>
          <w:p w14:paraId="206C4077"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Technology</w:t>
            </w:r>
          </w:p>
        </w:tc>
        <w:tc>
          <w:tcPr>
            <w:tcW w:w="0" w:type="auto"/>
            <w:hideMark/>
          </w:tcPr>
          <w:p w14:paraId="73F1E613"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Requirement (</w:t>
            </w:r>
            <w:proofErr w:type="spellStart"/>
            <w:r w:rsidRPr="00D662C2">
              <w:rPr>
                <w:rFonts w:ascii="Times New Roman" w:hAnsi="Times New Roman" w:cs="Times New Roman"/>
                <w:b/>
                <w:bCs/>
                <w:sz w:val="22"/>
                <w:szCs w:val="22"/>
              </w:rPr>
              <w:t>mmscfd</w:t>
            </w:r>
            <w:proofErr w:type="spellEnd"/>
            <w:r w:rsidRPr="00D662C2">
              <w:rPr>
                <w:rFonts w:ascii="Times New Roman" w:hAnsi="Times New Roman" w:cs="Times New Roman"/>
                <w:b/>
                <w:bCs/>
                <w:sz w:val="22"/>
                <w:szCs w:val="22"/>
              </w:rPr>
              <w:t>, at 70% CF)</w:t>
            </w:r>
          </w:p>
        </w:tc>
        <w:tc>
          <w:tcPr>
            <w:tcW w:w="0" w:type="auto"/>
            <w:hideMark/>
          </w:tcPr>
          <w:p w14:paraId="221466BB"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 xml:space="preserve">Annual Gas Consumption (Bcf/yr / </w:t>
            </w:r>
            <w:proofErr w:type="spellStart"/>
            <w:r w:rsidRPr="00D662C2">
              <w:rPr>
                <w:rFonts w:ascii="Times New Roman" w:hAnsi="Times New Roman" w:cs="Times New Roman"/>
                <w:b/>
                <w:bCs/>
                <w:sz w:val="22"/>
                <w:szCs w:val="22"/>
              </w:rPr>
              <w:t>bcm</w:t>
            </w:r>
            <w:proofErr w:type="spellEnd"/>
            <w:r w:rsidRPr="00D662C2">
              <w:rPr>
                <w:rFonts w:ascii="Times New Roman" w:hAnsi="Times New Roman" w:cs="Times New Roman"/>
                <w:b/>
                <w:bCs/>
                <w:sz w:val="22"/>
                <w:szCs w:val="22"/>
              </w:rPr>
              <w:t>/yr)</w:t>
            </w:r>
          </w:p>
        </w:tc>
        <w:tc>
          <w:tcPr>
            <w:tcW w:w="0" w:type="auto"/>
            <w:hideMark/>
          </w:tcPr>
          <w:p w14:paraId="03B5E948"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Expected Generation (GWh/yr, at 70% CF)</w:t>
            </w:r>
          </w:p>
        </w:tc>
      </w:tr>
      <w:tr w:rsidR="00D662C2" w:rsidRPr="00D662C2" w14:paraId="577D68D5" w14:textId="77777777" w:rsidTr="008C668F">
        <w:tc>
          <w:tcPr>
            <w:tcW w:w="0" w:type="auto"/>
            <w:hideMark/>
          </w:tcPr>
          <w:p w14:paraId="7C7099E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100 MW</w:t>
            </w:r>
          </w:p>
        </w:tc>
        <w:tc>
          <w:tcPr>
            <w:tcW w:w="0" w:type="auto"/>
            <w:hideMark/>
          </w:tcPr>
          <w:p w14:paraId="06CCC46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CCGT</w:t>
            </w:r>
          </w:p>
        </w:tc>
        <w:tc>
          <w:tcPr>
            <w:tcW w:w="0" w:type="auto"/>
            <w:hideMark/>
          </w:tcPr>
          <w:p w14:paraId="78967D2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~11.4 </w:t>
            </w:r>
            <w:proofErr w:type="spellStart"/>
            <w:r w:rsidRPr="00D662C2">
              <w:rPr>
                <w:rFonts w:ascii="Times New Roman" w:hAnsi="Times New Roman" w:cs="Times New Roman"/>
                <w:sz w:val="22"/>
                <w:szCs w:val="22"/>
              </w:rPr>
              <w:t>mmscfd</w:t>
            </w:r>
            <w:proofErr w:type="spellEnd"/>
          </w:p>
        </w:tc>
        <w:tc>
          <w:tcPr>
            <w:tcW w:w="0" w:type="auto"/>
            <w:hideMark/>
          </w:tcPr>
          <w:p w14:paraId="404C18A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~4.2 Bcf/yr (~0.12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w:t>
            </w:r>
          </w:p>
        </w:tc>
        <w:tc>
          <w:tcPr>
            <w:tcW w:w="0" w:type="auto"/>
            <w:hideMark/>
          </w:tcPr>
          <w:p w14:paraId="425BD16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~613 GWh/yr</w:t>
            </w:r>
          </w:p>
        </w:tc>
      </w:tr>
      <w:tr w:rsidR="00D662C2" w:rsidRPr="00D662C2" w14:paraId="5EEB12CE" w14:textId="77777777" w:rsidTr="008C668F">
        <w:tc>
          <w:tcPr>
            <w:tcW w:w="0" w:type="auto"/>
            <w:hideMark/>
          </w:tcPr>
          <w:p w14:paraId="012B9C5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250 MW</w:t>
            </w:r>
          </w:p>
        </w:tc>
        <w:tc>
          <w:tcPr>
            <w:tcW w:w="0" w:type="auto"/>
            <w:hideMark/>
          </w:tcPr>
          <w:p w14:paraId="011A14E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CCGT</w:t>
            </w:r>
          </w:p>
        </w:tc>
        <w:tc>
          <w:tcPr>
            <w:tcW w:w="0" w:type="auto"/>
            <w:hideMark/>
          </w:tcPr>
          <w:p w14:paraId="60A053C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~28.6 </w:t>
            </w:r>
            <w:proofErr w:type="spellStart"/>
            <w:r w:rsidRPr="00D662C2">
              <w:rPr>
                <w:rFonts w:ascii="Times New Roman" w:hAnsi="Times New Roman" w:cs="Times New Roman"/>
                <w:sz w:val="22"/>
                <w:szCs w:val="22"/>
              </w:rPr>
              <w:t>mmscfd</w:t>
            </w:r>
            <w:proofErr w:type="spellEnd"/>
          </w:p>
        </w:tc>
        <w:tc>
          <w:tcPr>
            <w:tcW w:w="0" w:type="auto"/>
            <w:hideMark/>
          </w:tcPr>
          <w:p w14:paraId="01BA122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~10.4 Bcf/yr (~0.29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w:t>
            </w:r>
          </w:p>
        </w:tc>
        <w:tc>
          <w:tcPr>
            <w:tcW w:w="0" w:type="auto"/>
            <w:hideMark/>
          </w:tcPr>
          <w:p w14:paraId="5A57372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~1,533 GWh/yr</w:t>
            </w:r>
          </w:p>
        </w:tc>
      </w:tr>
      <w:tr w:rsidR="00D662C2" w:rsidRPr="00D662C2" w14:paraId="3A23164B" w14:textId="77777777" w:rsidTr="008C668F">
        <w:tc>
          <w:tcPr>
            <w:tcW w:w="0" w:type="auto"/>
            <w:hideMark/>
          </w:tcPr>
          <w:p w14:paraId="7B3D588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500 MW</w:t>
            </w:r>
          </w:p>
        </w:tc>
        <w:tc>
          <w:tcPr>
            <w:tcW w:w="0" w:type="auto"/>
            <w:hideMark/>
          </w:tcPr>
          <w:p w14:paraId="7B7B12C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CCGT</w:t>
            </w:r>
          </w:p>
        </w:tc>
        <w:tc>
          <w:tcPr>
            <w:tcW w:w="0" w:type="auto"/>
            <w:hideMark/>
          </w:tcPr>
          <w:p w14:paraId="3B8B67E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~57.2 </w:t>
            </w:r>
            <w:proofErr w:type="spellStart"/>
            <w:r w:rsidRPr="00D662C2">
              <w:rPr>
                <w:rFonts w:ascii="Times New Roman" w:hAnsi="Times New Roman" w:cs="Times New Roman"/>
                <w:sz w:val="22"/>
                <w:szCs w:val="22"/>
              </w:rPr>
              <w:t>mmscfd</w:t>
            </w:r>
            <w:proofErr w:type="spellEnd"/>
          </w:p>
        </w:tc>
        <w:tc>
          <w:tcPr>
            <w:tcW w:w="0" w:type="auto"/>
            <w:hideMark/>
          </w:tcPr>
          <w:p w14:paraId="6E1EEC0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~20.9 Bcf/yr (~0.59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w:t>
            </w:r>
          </w:p>
        </w:tc>
        <w:tc>
          <w:tcPr>
            <w:tcW w:w="0" w:type="auto"/>
            <w:hideMark/>
          </w:tcPr>
          <w:p w14:paraId="3350B45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~3,066 GWh/yr</w:t>
            </w:r>
          </w:p>
        </w:tc>
      </w:tr>
      <w:tr w:rsidR="00D662C2" w:rsidRPr="00D662C2" w14:paraId="05F1F727" w14:textId="77777777" w:rsidTr="008C668F">
        <w:tc>
          <w:tcPr>
            <w:tcW w:w="0" w:type="auto"/>
            <w:hideMark/>
          </w:tcPr>
          <w:p w14:paraId="6F1B06E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1,000 MW (1 GW)</w:t>
            </w:r>
          </w:p>
        </w:tc>
        <w:tc>
          <w:tcPr>
            <w:tcW w:w="0" w:type="auto"/>
            <w:hideMark/>
          </w:tcPr>
          <w:p w14:paraId="7AE5771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CCGT</w:t>
            </w:r>
          </w:p>
        </w:tc>
        <w:tc>
          <w:tcPr>
            <w:tcW w:w="0" w:type="auto"/>
            <w:hideMark/>
          </w:tcPr>
          <w:p w14:paraId="50172BE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~114.4 </w:t>
            </w:r>
            <w:proofErr w:type="spellStart"/>
            <w:r w:rsidRPr="00D662C2">
              <w:rPr>
                <w:rFonts w:ascii="Times New Roman" w:hAnsi="Times New Roman" w:cs="Times New Roman"/>
                <w:sz w:val="22"/>
                <w:szCs w:val="22"/>
              </w:rPr>
              <w:t>mmscfd</w:t>
            </w:r>
            <w:proofErr w:type="spellEnd"/>
          </w:p>
        </w:tc>
        <w:tc>
          <w:tcPr>
            <w:tcW w:w="0" w:type="auto"/>
            <w:hideMark/>
          </w:tcPr>
          <w:p w14:paraId="23FB7EA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~41.7 Bcf/yr (~1.18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w:t>
            </w:r>
          </w:p>
        </w:tc>
        <w:tc>
          <w:tcPr>
            <w:tcW w:w="0" w:type="auto"/>
            <w:hideMark/>
          </w:tcPr>
          <w:p w14:paraId="0236A8A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~6,132 GWh/yr</w:t>
            </w:r>
          </w:p>
        </w:tc>
      </w:tr>
    </w:tbl>
    <w:p w14:paraId="550B3F8B" w14:textId="77777777" w:rsidR="008C668F" w:rsidRDefault="008C668F" w:rsidP="00D662C2">
      <w:pPr>
        <w:jc w:val="both"/>
        <w:rPr>
          <w:rFonts w:ascii="Times New Roman" w:hAnsi="Times New Roman" w:cs="Times New Roman"/>
          <w:b/>
          <w:bCs/>
        </w:rPr>
      </w:pPr>
    </w:p>
    <w:p w14:paraId="2EA341C7" w14:textId="0CD1874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Cross-check against the Perenco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 benchmark: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 uses up to 10 </w:t>
      </w:r>
      <w:proofErr w:type="spellStart"/>
      <w:r w:rsidRPr="00D662C2">
        <w:rPr>
          <w:rFonts w:ascii="Times New Roman" w:hAnsi="Times New Roman" w:cs="Times New Roman"/>
        </w:rPr>
        <w:t>mmscfd</w:t>
      </w:r>
      <w:proofErr w:type="spellEnd"/>
      <w:r w:rsidRPr="00D662C2">
        <w:rPr>
          <w:rFonts w:ascii="Times New Roman" w:hAnsi="Times New Roman" w:cs="Times New Roman"/>
        </w:rPr>
        <w:t xml:space="preserve"> to generate 27 MW, a ratio of ~0.37 </w:t>
      </w:r>
      <w:proofErr w:type="spellStart"/>
      <w:r w:rsidRPr="00D662C2">
        <w:rPr>
          <w:rFonts w:ascii="Times New Roman" w:hAnsi="Times New Roman" w:cs="Times New Roman"/>
        </w:rPr>
        <w:t>mmscfd</w:t>
      </w:r>
      <w:proofErr w:type="spellEnd"/>
      <w:r w:rsidRPr="00D662C2">
        <w:rPr>
          <w:rFonts w:ascii="Times New Roman" w:hAnsi="Times New Roman" w:cs="Times New Roman"/>
        </w:rPr>
        <w:t xml:space="preserve">/MW at presumably high/continuous load markedly less gas-efficient than the CCGT benchmark above (0.114 </w:t>
      </w:r>
      <w:proofErr w:type="spellStart"/>
      <w:r w:rsidRPr="00D662C2">
        <w:rPr>
          <w:rFonts w:ascii="Times New Roman" w:hAnsi="Times New Roman" w:cs="Times New Roman"/>
        </w:rPr>
        <w:t>mmscfd</w:t>
      </w:r>
      <w:proofErr w:type="spellEnd"/>
      <w:r w:rsidRPr="00D662C2">
        <w:rPr>
          <w:rFonts w:ascii="Times New Roman" w:hAnsi="Times New Roman" w:cs="Times New Roman"/>
        </w:rPr>
        <w:t xml:space="preserve">/MW at 70% CF, i.e. roughly 0.163 </w:t>
      </w:r>
      <w:proofErr w:type="spellStart"/>
      <w:r w:rsidRPr="00D662C2">
        <w:rPr>
          <w:rFonts w:ascii="Times New Roman" w:hAnsi="Times New Roman" w:cs="Times New Roman"/>
        </w:rPr>
        <w:t>mmscfd</w:t>
      </w:r>
      <w:proofErr w:type="spellEnd"/>
      <w:r w:rsidRPr="00D662C2">
        <w:rPr>
          <w:rFonts w:ascii="Times New Roman" w:hAnsi="Times New Roman" w:cs="Times New Roman"/>
        </w:rPr>
        <w:t xml:space="preserve">/MW at 100% load). This is expected: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 uses smaller aeroderivative/simple-cycle turbines </w:t>
      </w:r>
      <w:proofErr w:type="spellStart"/>
      <w:r w:rsidRPr="00D662C2">
        <w:rPr>
          <w:rFonts w:ascii="Times New Roman" w:hAnsi="Times New Roman" w:cs="Times New Roman"/>
        </w:rPr>
        <w:t>optimised</w:t>
      </w:r>
      <w:proofErr w:type="spellEnd"/>
      <w:r w:rsidRPr="00D662C2">
        <w:rPr>
          <w:rFonts w:ascii="Times New Roman" w:hAnsi="Times New Roman" w:cs="Times New Roman"/>
        </w:rPr>
        <w:t xml:space="preserve"> for offshore reliability and modularity, not thermal efficiency, and is not a proxy for grid-scale CCGT economics. This benchmark is included per the brief's instruction to use </w:t>
      </w:r>
      <w:proofErr w:type="spellStart"/>
      <w:r w:rsidRPr="00D662C2">
        <w:rPr>
          <w:rFonts w:ascii="Times New Roman" w:hAnsi="Times New Roman" w:cs="Times New Roman"/>
        </w:rPr>
        <w:lastRenderedPageBreak/>
        <w:t>Tchendo</w:t>
      </w:r>
      <w:proofErr w:type="spellEnd"/>
      <w:r w:rsidRPr="00D662C2">
        <w:rPr>
          <w:rFonts w:ascii="Times New Roman" w:hAnsi="Times New Roman" w:cs="Times New Roman"/>
        </w:rPr>
        <w:t xml:space="preserve"> 2 as a technical reference point, not as a basis for assuming its economics apply to a national CCGT expansion.</w:t>
      </w:r>
    </w:p>
    <w:p w14:paraId="481F3903" w14:textId="33D7529A" w:rsidR="00D662C2" w:rsidRPr="00D662C2" w:rsidRDefault="00D662C2" w:rsidP="00D662C2">
      <w:pPr>
        <w:jc w:val="both"/>
        <w:rPr>
          <w:rFonts w:ascii="Times New Roman" w:hAnsi="Times New Roman" w:cs="Times New Roman"/>
        </w:rPr>
      </w:pPr>
    </w:p>
    <w:p w14:paraId="70DB0EDA"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8. LNG Export versus Domestic Power Generation</w:t>
      </w:r>
    </w:p>
    <w:p w14:paraId="1ED5B2CA"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This is the central analytical question of the note.</w:t>
      </w:r>
    </w:p>
    <w:tbl>
      <w:tblPr>
        <w:tblStyle w:val="TableGrid"/>
        <w:tblW w:w="0" w:type="auto"/>
        <w:tblLook w:val="04A0" w:firstRow="1" w:lastRow="0" w:firstColumn="1" w:lastColumn="0" w:noHBand="0" w:noVBand="1"/>
      </w:tblPr>
      <w:tblGrid>
        <w:gridCol w:w="1553"/>
        <w:gridCol w:w="4357"/>
        <w:gridCol w:w="3440"/>
      </w:tblGrid>
      <w:tr w:rsidR="00D662C2" w:rsidRPr="00D662C2" w14:paraId="30E33005" w14:textId="77777777" w:rsidTr="00FA12F0">
        <w:tc>
          <w:tcPr>
            <w:tcW w:w="0" w:type="auto"/>
            <w:hideMark/>
          </w:tcPr>
          <w:p w14:paraId="0738B0F3"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Indicator</w:t>
            </w:r>
          </w:p>
        </w:tc>
        <w:tc>
          <w:tcPr>
            <w:tcW w:w="0" w:type="auto"/>
            <w:hideMark/>
          </w:tcPr>
          <w:p w14:paraId="24E90B48"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LNG Export</w:t>
            </w:r>
          </w:p>
        </w:tc>
        <w:tc>
          <w:tcPr>
            <w:tcW w:w="0" w:type="auto"/>
            <w:hideMark/>
          </w:tcPr>
          <w:p w14:paraId="1B629B0E"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Domestic Gas-to-Power</w:t>
            </w:r>
          </w:p>
        </w:tc>
      </w:tr>
      <w:tr w:rsidR="00D662C2" w:rsidRPr="00D662C2" w14:paraId="355A6AFF" w14:textId="77777777" w:rsidTr="00FA12F0">
        <w:tc>
          <w:tcPr>
            <w:tcW w:w="0" w:type="auto"/>
            <w:hideMark/>
          </w:tcPr>
          <w:p w14:paraId="16B5F1A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required (illustrative, per unit of value created)</w:t>
            </w:r>
          </w:p>
        </w:tc>
        <w:tc>
          <w:tcPr>
            <w:tcW w:w="0" w:type="auto"/>
            <w:hideMark/>
          </w:tcPr>
          <w:p w14:paraId="5D056D1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~1.36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feeds ~1 Mtpa of LNG at the Congo LNG conversion ratio implied by Eni's disclosed figures (4.5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 3 Mtpa)</w:t>
            </w:r>
          </w:p>
        </w:tc>
        <w:tc>
          <w:tcPr>
            <w:tcW w:w="0" w:type="auto"/>
            <w:hideMark/>
          </w:tcPr>
          <w:p w14:paraId="3436CCC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~0.12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generates ~613 GWh/yr from a 100 MW CCGT at 70% CF (Section 7) — </w:t>
            </w:r>
            <w:r w:rsidRPr="00D662C2">
              <w:rPr>
                <w:rFonts w:ascii="Times New Roman" w:hAnsi="Times New Roman" w:cs="Times New Roman"/>
                <w:b/>
                <w:bCs/>
                <w:sz w:val="22"/>
                <w:szCs w:val="22"/>
              </w:rPr>
              <w:t>gas requirements per unit of "value" are not directly comparable without specifying the value metric; see Revenue rows below</w:t>
            </w:r>
          </w:p>
        </w:tc>
      </w:tr>
      <w:tr w:rsidR="00D662C2" w:rsidRPr="00D662C2" w14:paraId="4C41A8CB" w14:textId="77777777" w:rsidTr="00FA12F0">
        <w:tc>
          <w:tcPr>
            <w:tcW w:w="0" w:type="auto"/>
            <w:hideMark/>
          </w:tcPr>
          <w:p w14:paraId="68C792C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price/value captured at the wellhead-equivalent point</w:t>
            </w:r>
          </w:p>
        </w:tc>
        <w:tc>
          <w:tcPr>
            <w:tcW w:w="0" w:type="auto"/>
            <w:hideMark/>
          </w:tcPr>
          <w:p w14:paraId="4B56A37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Linked to international LNG benchmarks; JKM/TTF were trading in the </w:t>
            </w:r>
            <w:r w:rsidRPr="00D662C2">
              <w:rPr>
                <w:rFonts w:ascii="Times New Roman" w:hAnsi="Times New Roman" w:cs="Times New Roman"/>
                <w:b/>
                <w:bCs/>
                <w:sz w:val="22"/>
                <w:szCs w:val="22"/>
              </w:rPr>
              <w:t>$20–21/MMBtu</w:t>
            </w:r>
            <w:r w:rsidRPr="00D662C2">
              <w:rPr>
                <w:rFonts w:ascii="Times New Roman" w:hAnsi="Times New Roman" w:cs="Times New Roman"/>
                <w:sz w:val="22"/>
                <w:szCs w:val="22"/>
              </w:rPr>
              <w:t xml:space="preserve"> range as of mid-August 2026 (Global LNG Hub), an elevated level attributed in part to LNG supply disruption from the March 2026 </w:t>
            </w:r>
            <w:proofErr w:type="spellStart"/>
            <w:r w:rsidRPr="00D662C2">
              <w:rPr>
                <w:rFonts w:ascii="Times New Roman" w:hAnsi="Times New Roman" w:cs="Times New Roman"/>
                <w:sz w:val="22"/>
                <w:szCs w:val="22"/>
              </w:rPr>
              <w:t>QatarEnergy</w:t>
            </w:r>
            <w:proofErr w:type="spellEnd"/>
            <w:r w:rsidRPr="00D662C2">
              <w:rPr>
                <w:rFonts w:ascii="Times New Roman" w:hAnsi="Times New Roman" w:cs="Times New Roman"/>
                <w:sz w:val="22"/>
                <w:szCs w:val="22"/>
              </w:rPr>
              <w:t xml:space="preserve"> Ras Laffan force majeure</w:t>
            </w:r>
          </w:p>
        </w:tc>
        <w:tc>
          <w:tcPr>
            <w:tcW w:w="0" w:type="auto"/>
            <w:hideMark/>
          </w:tcPr>
          <w:p w14:paraId="55CA483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Congo's domestic electricity tariff is not disclosed in the sources reviewed; domestic gas supplied to CEC/CED has historically been priced on a basis that reflects its otherwise-flared opportunity cost rather than an internationally-linked commodity price — </w:t>
            </w:r>
            <w:r w:rsidRPr="00D662C2">
              <w:rPr>
                <w:rFonts w:ascii="Times New Roman" w:hAnsi="Times New Roman" w:cs="Times New Roman"/>
                <w:b/>
                <w:bCs/>
                <w:sz w:val="22"/>
                <w:szCs w:val="22"/>
              </w:rPr>
              <w:t>no specific domestic gas transfer price was identified</w:t>
            </w:r>
          </w:p>
        </w:tc>
      </w:tr>
      <w:tr w:rsidR="00D662C2" w:rsidRPr="00D662C2" w14:paraId="7BC18B1A" w14:textId="77777777" w:rsidTr="00FA12F0">
        <w:tc>
          <w:tcPr>
            <w:tcW w:w="0" w:type="auto"/>
            <w:hideMark/>
          </w:tcPr>
          <w:p w14:paraId="0DF557C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LNG netback (illustrative)</w:t>
            </w:r>
          </w:p>
        </w:tc>
        <w:tc>
          <w:tcPr>
            <w:tcW w:w="0" w:type="auto"/>
            <w:hideMark/>
          </w:tcPr>
          <w:p w14:paraId="1835339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Applying a benchmark shipping/liquefaction/</w:t>
            </w:r>
            <w:proofErr w:type="spellStart"/>
            <w:r w:rsidRPr="00D662C2">
              <w:rPr>
                <w:rFonts w:ascii="Times New Roman" w:hAnsi="Times New Roman" w:cs="Times New Roman"/>
                <w:sz w:val="22"/>
                <w:szCs w:val="22"/>
              </w:rPr>
              <w:t>regas</w:t>
            </w:r>
            <w:proofErr w:type="spellEnd"/>
            <w:r w:rsidRPr="00D662C2">
              <w:rPr>
                <w:rFonts w:ascii="Times New Roman" w:hAnsi="Times New Roman" w:cs="Times New Roman"/>
                <w:sz w:val="22"/>
                <w:szCs w:val="22"/>
              </w:rPr>
              <w:t xml:space="preserve"> deduction of </w:t>
            </w:r>
            <w:r w:rsidRPr="00D662C2">
              <w:rPr>
                <w:rFonts w:ascii="Times New Roman" w:hAnsi="Times New Roman" w:cs="Times New Roman"/>
                <w:b/>
                <w:bCs/>
                <w:sz w:val="22"/>
                <w:szCs w:val="22"/>
              </w:rPr>
              <w:t>$3–5/MMBtu</w:t>
            </w:r>
            <w:r w:rsidRPr="00D662C2">
              <w:rPr>
                <w:rFonts w:ascii="Times New Roman" w:hAnsi="Times New Roman" w:cs="Times New Roman"/>
                <w:sz w:val="22"/>
                <w:szCs w:val="22"/>
              </w:rPr>
              <w:t xml:space="preserve"> (industry rule-of-thumb range) to the $20–21/MMBtu JKM/TTF level implies an approximate wellhead-equivalent netback in the </w:t>
            </w:r>
            <w:r w:rsidRPr="00D662C2">
              <w:rPr>
                <w:rFonts w:ascii="Times New Roman" w:hAnsi="Times New Roman" w:cs="Times New Roman"/>
                <w:b/>
                <w:bCs/>
                <w:sz w:val="22"/>
                <w:szCs w:val="22"/>
              </w:rPr>
              <w:t>$15–18/MMBtu</w:t>
            </w:r>
            <w:r w:rsidRPr="00D662C2">
              <w:rPr>
                <w:rFonts w:ascii="Times New Roman" w:hAnsi="Times New Roman" w:cs="Times New Roman"/>
                <w:sz w:val="22"/>
                <w:szCs w:val="22"/>
              </w:rPr>
              <w:t xml:space="preserve"> range — </w:t>
            </w:r>
            <w:r w:rsidRPr="00D662C2">
              <w:rPr>
                <w:rFonts w:ascii="Times New Roman" w:hAnsi="Times New Roman" w:cs="Times New Roman"/>
                <w:b/>
                <w:bCs/>
                <w:sz w:val="22"/>
                <w:szCs w:val="22"/>
              </w:rPr>
              <w:t xml:space="preserve">explicitly an illustrative benchmark, not Eni's actual </w:t>
            </w:r>
            <w:proofErr w:type="spellStart"/>
            <w:r w:rsidRPr="00D662C2">
              <w:rPr>
                <w:rFonts w:ascii="Times New Roman" w:hAnsi="Times New Roman" w:cs="Times New Roman"/>
                <w:b/>
                <w:bCs/>
                <w:sz w:val="22"/>
                <w:szCs w:val="22"/>
              </w:rPr>
              <w:t>realised</w:t>
            </w:r>
            <w:proofErr w:type="spellEnd"/>
            <w:r w:rsidRPr="00D662C2">
              <w:rPr>
                <w:rFonts w:ascii="Times New Roman" w:hAnsi="Times New Roman" w:cs="Times New Roman"/>
                <w:b/>
                <w:bCs/>
                <w:sz w:val="22"/>
                <w:szCs w:val="22"/>
              </w:rPr>
              <w:t xml:space="preserve"> Congo LNG price</w:t>
            </w:r>
            <w:r w:rsidRPr="00D662C2">
              <w:rPr>
                <w:rFonts w:ascii="Times New Roman" w:hAnsi="Times New Roman" w:cs="Times New Roman"/>
                <w:sz w:val="22"/>
                <w:szCs w:val="22"/>
              </w:rPr>
              <w:t>, which is not disclosed</w:t>
            </w:r>
          </w:p>
        </w:tc>
        <w:tc>
          <w:tcPr>
            <w:tcW w:w="0" w:type="auto"/>
            <w:hideMark/>
          </w:tcPr>
          <w:p w14:paraId="4C0876C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applicable in the same sense — value is captured as displaced-fuel savings, avoided diesel/HFO costs, and broader economic multiplier effects rather than a single per-MMBtu commodity price</w:t>
            </w:r>
          </w:p>
        </w:tc>
      </w:tr>
      <w:tr w:rsidR="00D662C2" w:rsidRPr="00D662C2" w14:paraId="519B1C24" w14:textId="77777777" w:rsidTr="00FA12F0">
        <w:tc>
          <w:tcPr>
            <w:tcW w:w="0" w:type="auto"/>
            <w:hideMark/>
          </w:tcPr>
          <w:p w14:paraId="4B026A5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generation cost (LCOE)</w:t>
            </w:r>
          </w:p>
        </w:tc>
        <w:tc>
          <w:tcPr>
            <w:tcW w:w="0" w:type="auto"/>
            <w:hideMark/>
          </w:tcPr>
          <w:p w14:paraId="36B67C3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applicable</w:t>
            </w:r>
          </w:p>
        </w:tc>
        <w:tc>
          <w:tcPr>
            <w:tcW w:w="0" w:type="auto"/>
            <w:hideMark/>
          </w:tcPr>
          <w:p w14:paraId="11C870C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Benchmark CCGT LCOE for Congo, using the assumptions in Section 9, is estimated in the </w:t>
            </w:r>
            <w:r w:rsidRPr="00D662C2">
              <w:rPr>
                <w:rFonts w:ascii="Times New Roman" w:hAnsi="Times New Roman" w:cs="Times New Roman"/>
                <w:b/>
                <w:bCs/>
                <w:sz w:val="22"/>
                <w:szCs w:val="22"/>
              </w:rPr>
              <w:t>$55–85/MWh</w:t>
            </w:r>
            <w:r w:rsidRPr="00D662C2">
              <w:rPr>
                <w:rFonts w:ascii="Times New Roman" w:hAnsi="Times New Roman" w:cs="Times New Roman"/>
                <w:sz w:val="22"/>
                <w:szCs w:val="22"/>
              </w:rPr>
              <w:t xml:space="preserve"> range — </w:t>
            </w:r>
            <w:r w:rsidRPr="00D662C2">
              <w:rPr>
                <w:rFonts w:ascii="Times New Roman" w:hAnsi="Times New Roman" w:cs="Times New Roman"/>
                <w:b/>
                <w:bCs/>
                <w:sz w:val="22"/>
                <w:szCs w:val="22"/>
              </w:rPr>
              <w:t>an illustrative benchmark range, not a CEC-specific disclosed cost</w:t>
            </w:r>
          </w:p>
        </w:tc>
      </w:tr>
      <w:tr w:rsidR="00D662C2" w:rsidRPr="00D662C2" w14:paraId="6AEDBF55" w14:textId="77777777" w:rsidTr="00FA12F0">
        <w:tc>
          <w:tcPr>
            <w:tcW w:w="0" w:type="auto"/>
            <w:hideMark/>
          </w:tcPr>
          <w:p w14:paraId="4693847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Domestic electricity tariff</w:t>
            </w:r>
          </w:p>
        </w:tc>
        <w:tc>
          <w:tcPr>
            <w:tcW w:w="0" w:type="auto"/>
            <w:hideMark/>
          </w:tcPr>
          <w:p w14:paraId="244DBEF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applicable</w:t>
            </w:r>
          </w:p>
        </w:tc>
        <w:tc>
          <w:tcPr>
            <w:tcW w:w="0" w:type="auto"/>
            <w:hideMark/>
          </w:tcPr>
          <w:p w14:paraId="55A30B1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Not disclosed in sources reviewed; Sub-Saharan African utility tariffs for comparable grids typically fall in a </w:t>
            </w:r>
            <w:r w:rsidRPr="00D662C2">
              <w:rPr>
                <w:rFonts w:ascii="Times New Roman" w:hAnsi="Times New Roman" w:cs="Times New Roman"/>
                <w:b/>
                <w:bCs/>
                <w:sz w:val="22"/>
                <w:szCs w:val="22"/>
              </w:rPr>
              <w:t>$0.08–0.20/kWh ($80–200/MWh)</w:t>
            </w:r>
            <w:r w:rsidRPr="00D662C2">
              <w:rPr>
                <w:rFonts w:ascii="Times New Roman" w:hAnsi="Times New Roman" w:cs="Times New Roman"/>
                <w:sz w:val="22"/>
                <w:szCs w:val="22"/>
              </w:rPr>
              <w:t xml:space="preserve"> range, though Congo's specific tariff (and any subsidy) was not identified</w:t>
            </w:r>
          </w:p>
        </w:tc>
      </w:tr>
      <w:tr w:rsidR="00D662C2" w:rsidRPr="00D662C2" w14:paraId="3667CE76" w14:textId="77777777" w:rsidTr="00FA12F0">
        <w:tc>
          <w:tcPr>
            <w:tcW w:w="0" w:type="auto"/>
            <w:hideMark/>
          </w:tcPr>
          <w:p w14:paraId="3DD2066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CAPEX</w:t>
            </w:r>
          </w:p>
        </w:tc>
        <w:tc>
          <w:tcPr>
            <w:tcW w:w="0" w:type="auto"/>
            <w:hideMark/>
          </w:tcPr>
          <w:p w14:paraId="3D4BA3A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Congo LNG Phase 2 (</w:t>
            </w:r>
            <w:proofErr w:type="spellStart"/>
            <w:r w:rsidRPr="00D662C2">
              <w:rPr>
                <w:rFonts w:ascii="Times New Roman" w:hAnsi="Times New Roman" w:cs="Times New Roman"/>
                <w:sz w:val="22"/>
                <w:szCs w:val="22"/>
              </w:rPr>
              <w:t>Nguya</w:t>
            </w:r>
            <w:proofErr w:type="spellEnd"/>
            <w:r w:rsidRPr="00D662C2">
              <w:rPr>
                <w:rFonts w:ascii="Times New Roman" w:hAnsi="Times New Roman" w:cs="Times New Roman"/>
                <w:sz w:val="22"/>
                <w:szCs w:val="22"/>
              </w:rPr>
              <w:t xml:space="preserve"> FLNG, three production platforms, </w:t>
            </w:r>
            <w:proofErr w:type="spellStart"/>
            <w:r w:rsidRPr="00D662C2">
              <w:rPr>
                <w:rFonts w:ascii="Times New Roman" w:hAnsi="Times New Roman" w:cs="Times New Roman"/>
                <w:sz w:val="22"/>
                <w:szCs w:val="22"/>
              </w:rPr>
              <w:t>Scarabeo</w:t>
            </w:r>
            <w:proofErr w:type="spellEnd"/>
            <w:r w:rsidRPr="00D662C2">
              <w:rPr>
                <w:rFonts w:ascii="Times New Roman" w:hAnsi="Times New Roman" w:cs="Times New Roman"/>
                <w:sz w:val="22"/>
                <w:szCs w:val="22"/>
              </w:rPr>
              <w:t xml:space="preserve"> 5 treatment/compression) — </w:t>
            </w:r>
            <w:r w:rsidRPr="00D662C2">
              <w:rPr>
                <w:rFonts w:ascii="Times New Roman" w:hAnsi="Times New Roman" w:cs="Times New Roman"/>
                <w:b/>
                <w:bCs/>
                <w:sz w:val="22"/>
                <w:szCs w:val="22"/>
              </w:rPr>
              <w:t>project-specific CAPEX was not disclosed in sources reviewed</w:t>
            </w:r>
            <w:r w:rsidRPr="00D662C2">
              <w:rPr>
                <w:rFonts w:ascii="Times New Roman" w:hAnsi="Times New Roman" w:cs="Times New Roman"/>
                <w:sz w:val="22"/>
                <w:szCs w:val="22"/>
              </w:rPr>
              <w:t>, though FLNG projects of this scale typically run into the low billions of dollars (industry benchmark, not project-specific)</w:t>
            </w:r>
          </w:p>
        </w:tc>
        <w:tc>
          <w:tcPr>
            <w:tcW w:w="0" w:type="auto"/>
            <w:hideMark/>
          </w:tcPr>
          <w:p w14:paraId="19D25DD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CCGT benchmark CAPEX of $900,000–1,400,000/MW (Section 6); e.g., ~$450–700m for a 500 MW plant, before pipeline/gathering costs</w:t>
            </w:r>
          </w:p>
        </w:tc>
      </w:tr>
      <w:tr w:rsidR="00D662C2" w:rsidRPr="00D662C2" w14:paraId="19929982" w14:textId="77777777" w:rsidTr="00FA12F0">
        <w:tc>
          <w:tcPr>
            <w:tcW w:w="0" w:type="auto"/>
            <w:hideMark/>
          </w:tcPr>
          <w:p w14:paraId="4768634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OPEX</w:t>
            </w:r>
          </w:p>
        </w:tc>
        <w:tc>
          <w:tcPr>
            <w:tcW w:w="0" w:type="auto"/>
            <w:hideMark/>
          </w:tcPr>
          <w:p w14:paraId="0AB56F8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disclosed</w:t>
            </w:r>
          </w:p>
        </w:tc>
        <w:tc>
          <w:tcPr>
            <w:tcW w:w="0" w:type="auto"/>
            <w:hideMark/>
          </w:tcPr>
          <w:p w14:paraId="6D84C55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CCGT benchmark O&amp;M of $6–10/MWh (Section 6), plus gas supply cost</w:t>
            </w:r>
          </w:p>
        </w:tc>
      </w:tr>
      <w:tr w:rsidR="00D662C2" w:rsidRPr="00D662C2" w14:paraId="284251C4" w14:textId="77777777" w:rsidTr="00FA12F0">
        <w:tc>
          <w:tcPr>
            <w:tcW w:w="0" w:type="auto"/>
            <w:hideMark/>
          </w:tcPr>
          <w:p w14:paraId="2817C50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Foreign exchange earnings</w:t>
            </w:r>
          </w:p>
        </w:tc>
        <w:tc>
          <w:tcPr>
            <w:tcW w:w="0" w:type="auto"/>
            <w:hideMark/>
          </w:tcPr>
          <w:p w14:paraId="32EF5FB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Direct and immediate</w:t>
            </w:r>
            <w:r w:rsidRPr="00D662C2">
              <w:rPr>
                <w:rFonts w:ascii="Times New Roman" w:hAnsi="Times New Roman" w:cs="Times New Roman"/>
                <w:sz w:val="22"/>
                <w:szCs w:val="22"/>
              </w:rPr>
              <w:t xml:space="preserve"> — LNG is sold internationally in hard currency; this is a first-order fiscal and FX benefit for Congo, consistent with hydrocarbons' well-established role as the country's principal export/GDP driver</w:t>
            </w:r>
          </w:p>
        </w:tc>
        <w:tc>
          <w:tcPr>
            <w:tcW w:w="0" w:type="auto"/>
            <w:hideMark/>
          </w:tcPr>
          <w:p w14:paraId="24388B3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Indirect only</w:t>
            </w:r>
            <w:r w:rsidRPr="00D662C2">
              <w:rPr>
                <w:rFonts w:ascii="Times New Roman" w:hAnsi="Times New Roman" w:cs="Times New Roman"/>
                <w:sz w:val="22"/>
                <w:szCs w:val="22"/>
              </w:rPr>
              <w:t xml:space="preserve"> — displaces the need to import diesel/HFO for backup generation (an FX saving) and can support export-oriented industry (Section 12) growth, but does not itself earn export revenue</w:t>
            </w:r>
          </w:p>
        </w:tc>
      </w:tr>
      <w:tr w:rsidR="00D662C2" w:rsidRPr="00D662C2" w14:paraId="6E61EFC9" w14:textId="77777777" w:rsidTr="00FA12F0">
        <w:tc>
          <w:tcPr>
            <w:tcW w:w="0" w:type="auto"/>
            <w:hideMark/>
          </w:tcPr>
          <w:p w14:paraId="1347A54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Domestic economic impact</w:t>
            </w:r>
          </w:p>
        </w:tc>
        <w:tc>
          <w:tcPr>
            <w:tcW w:w="0" w:type="auto"/>
            <w:hideMark/>
          </w:tcPr>
          <w:p w14:paraId="3E9D06F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Limited direct domestic multiplier beyond fiscal revenue (royalties, taxes, state equity stakes) and construction/operations employment at the FLNG facilities</w:t>
            </w:r>
          </w:p>
        </w:tc>
        <w:tc>
          <w:tcPr>
            <w:tcW w:w="0" w:type="auto"/>
            <w:hideMark/>
          </w:tcPr>
          <w:p w14:paraId="2920E79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Higher domestic multiplier</w:t>
            </w:r>
            <w:r w:rsidRPr="00D662C2">
              <w:rPr>
                <w:rFonts w:ascii="Times New Roman" w:hAnsi="Times New Roman" w:cs="Times New Roman"/>
                <w:sz w:val="22"/>
                <w:szCs w:val="22"/>
              </w:rPr>
              <w:t xml:space="preserve"> — reliable electricity supports industrial competitiveness, reduces diesel dependency for businesses and households, and is a precondition for the broader </w:t>
            </w:r>
            <w:proofErr w:type="spellStart"/>
            <w:r w:rsidRPr="00D662C2">
              <w:rPr>
                <w:rFonts w:ascii="Times New Roman" w:hAnsi="Times New Roman" w:cs="Times New Roman"/>
                <w:sz w:val="22"/>
                <w:szCs w:val="22"/>
              </w:rPr>
              <w:t>industrialisation</w:t>
            </w:r>
            <w:proofErr w:type="spellEnd"/>
            <w:r w:rsidRPr="00D662C2">
              <w:rPr>
                <w:rFonts w:ascii="Times New Roman" w:hAnsi="Times New Roman" w:cs="Times New Roman"/>
                <w:sz w:val="22"/>
                <w:szCs w:val="22"/>
              </w:rPr>
              <w:t xml:space="preserve"> ambitions referenced in Section 12</w:t>
            </w:r>
          </w:p>
        </w:tc>
      </w:tr>
      <w:tr w:rsidR="00D662C2" w:rsidRPr="00D662C2" w14:paraId="5337D9F8" w14:textId="77777777" w:rsidTr="00FA12F0">
        <w:tc>
          <w:tcPr>
            <w:tcW w:w="0" w:type="auto"/>
            <w:hideMark/>
          </w:tcPr>
          <w:p w14:paraId="3E38E0F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Energy security impact</w:t>
            </w:r>
          </w:p>
        </w:tc>
        <w:tc>
          <w:tcPr>
            <w:tcW w:w="0" w:type="auto"/>
            <w:hideMark/>
          </w:tcPr>
          <w:p w14:paraId="271C243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Neutral-to-negative for domestic supply unless explicitly ring-fenced (i.e., LNG-directed gas does not, by default, improve domestic reliability)</w:t>
            </w:r>
          </w:p>
        </w:tc>
        <w:tc>
          <w:tcPr>
            <w:tcW w:w="0" w:type="auto"/>
            <w:hideMark/>
          </w:tcPr>
          <w:p w14:paraId="7DA58DA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Directly positive</w:t>
            </w:r>
            <w:r w:rsidRPr="00D662C2">
              <w:rPr>
                <w:rFonts w:ascii="Times New Roman" w:hAnsi="Times New Roman" w:cs="Times New Roman"/>
                <w:sz w:val="22"/>
                <w:szCs w:val="22"/>
              </w:rPr>
              <w:t xml:space="preserve"> — additional dispatchable gas-fired capacity reduces reliance on a hydro fleet with demonstrated reliability gaps (</w:t>
            </w:r>
            <w:proofErr w:type="spellStart"/>
            <w:r w:rsidRPr="00D662C2">
              <w:rPr>
                <w:rFonts w:ascii="Times New Roman" w:hAnsi="Times New Roman" w:cs="Times New Roman"/>
                <w:sz w:val="22"/>
                <w:szCs w:val="22"/>
              </w:rPr>
              <w:t>Djoué</w:t>
            </w:r>
            <w:proofErr w:type="spellEnd"/>
            <w:r w:rsidRPr="00D662C2">
              <w:rPr>
                <w:rFonts w:ascii="Times New Roman" w:hAnsi="Times New Roman" w:cs="Times New Roman"/>
                <w:sz w:val="22"/>
                <w:szCs w:val="22"/>
              </w:rPr>
              <w:t xml:space="preserve"> at 0% available capacity) and high T&amp;D losses</w:t>
            </w:r>
          </w:p>
        </w:tc>
      </w:tr>
      <w:tr w:rsidR="00D662C2" w:rsidRPr="00D662C2" w14:paraId="53275720" w14:textId="77777777" w:rsidTr="00FA12F0">
        <w:tc>
          <w:tcPr>
            <w:tcW w:w="0" w:type="auto"/>
            <w:hideMark/>
          </w:tcPr>
          <w:p w14:paraId="20B1CFA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Long-term strategic value</w:t>
            </w:r>
          </w:p>
        </w:tc>
        <w:tc>
          <w:tcPr>
            <w:tcW w:w="0" w:type="auto"/>
            <w:hideMark/>
          </w:tcPr>
          <w:p w14:paraId="6077AA8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Diversifies Congo's export base and supports Eni's broader 20 MTPA-by-2030 portfolio ambitions; but is exposed to LNG price cycle </w:t>
            </w:r>
            <w:r w:rsidRPr="00D662C2">
              <w:rPr>
                <w:rFonts w:ascii="Times New Roman" w:hAnsi="Times New Roman" w:cs="Times New Roman"/>
                <w:sz w:val="22"/>
                <w:szCs w:val="22"/>
              </w:rPr>
              <w:lastRenderedPageBreak/>
              <w:t>risk (the current $20–21/MMBtu level is elevated and may not persist)</w:t>
            </w:r>
          </w:p>
        </w:tc>
        <w:tc>
          <w:tcPr>
            <w:tcW w:w="0" w:type="auto"/>
            <w:hideMark/>
          </w:tcPr>
          <w:p w14:paraId="69D6091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Supports </w:t>
            </w:r>
            <w:proofErr w:type="spellStart"/>
            <w:r w:rsidRPr="00D662C2">
              <w:rPr>
                <w:rFonts w:ascii="Times New Roman" w:hAnsi="Times New Roman" w:cs="Times New Roman"/>
                <w:sz w:val="22"/>
                <w:szCs w:val="22"/>
              </w:rPr>
              <w:t>industrialisation</w:t>
            </w:r>
            <w:proofErr w:type="spellEnd"/>
            <w:r w:rsidRPr="00D662C2">
              <w:rPr>
                <w:rFonts w:ascii="Times New Roman" w:hAnsi="Times New Roman" w:cs="Times New Roman"/>
                <w:sz w:val="22"/>
                <w:szCs w:val="22"/>
              </w:rPr>
              <w:t xml:space="preserve">, electrification targets, and reduces diesel/HFO import dependency — a </w:t>
            </w:r>
            <w:r w:rsidRPr="00D662C2">
              <w:rPr>
                <w:rFonts w:ascii="Times New Roman" w:hAnsi="Times New Roman" w:cs="Times New Roman"/>
                <w:sz w:val="22"/>
                <w:szCs w:val="22"/>
              </w:rPr>
              <w:lastRenderedPageBreak/>
              <w:t>more insulated, if lower-magnitude, value stream</w:t>
            </w:r>
          </w:p>
        </w:tc>
      </w:tr>
    </w:tbl>
    <w:p w14:paraId="2399EBE3" w14:textId="77777777" w:rsidR="00FA12F0" w:rsidRDefault="00FA12F0" w:rsidP="00D662C2">
      <w:pPr>
        <w:jc w:val="both"/>
        <w:rPr>
          <w:rFonts w:ascii="Times New Roman" w:hAnsi="Times New Roman" w:cs="Times New Roman"/>
          <w:b/>
          <w:bCs/>
        </w:rPr>
      </w:pPr>
    </w:p>
    <w:p w14:paraId="27464111" w14:textId="466B75FB"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8.1 When does domestic gas-to-power provide greater economic value than LNG exports?</w:t>
      </w:r>
    </w:p>
    <w:p w14:paraId="4D3AE5DE"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Based on the above, domestic gas-to-power is likely to provide </w:t>
      </w:r>
      <w:r w:rsidRPr="00D662C2">
        <w:rPr>
          <w:rFonts w:ascii="Times New Roman" w:hAnsi="Times New Roman" w:cs="Times New Roman"/>
          <w:b/>
          <w:bCs/>
        </w:rPr>
        <w:t>greater economic value than LNG exports specifically at the margin where</w:t>
      </w:r>
      <w:r w:rsidRPr="00D662C2">
        <w:rPr>
          <w:rFonts w:ascii="Times New Roman" w:hAnsi="Times New Roman" w:cs="Times New Roman"/>
        </w:rPr>
        <w:t>: (</w:t>
      </w:r>
      <w:proofErr w:type="spellStart"/>
      <w:r w:rsidRPr="00D662C2">
        <w:rPr>
          <w:rFonts w:ascii="Times New Roman" w:hAnsi="Times New Roman" w:cs="Times New Roman"/>
        </w:rPr>
        <w:t>i</w:t>
      </w:r>
      <w:proofErr w:type="spellEnd"/>
      <w:r w:rsidRPr="00D662C2">
        <w:rPr>
          <w:rFonts w:ascii="Times New Roman" w:hAnsi="Times New Roman" w:cs="Times New Roman"/>
        </w:rPr>
        <w:t xml:space="preserve">) the gas in question would otherwise be flared or reinjected rather than displacing already-committed LNG feedstock (Section 5 indicates meaningful such gas exists); (ii) the alternative for the relevant demand </w:t>
      </w:r>
      <w:proofErr w:type="spellStart"/>
      <w:r w:rsidRPr="00D662C2">
        <w:rPr>
          <w:rFonts w:ascii="Times New Roman" w:hAnsi="Times New Roman" w:cs="Times New Roman"/>
        </w:rPr>
        <w:t>centre</w:t>
      </w:r>
      <w:proofErr w:type="spellEnd"/>
      <w:r w:rsidRPr="00D662C2">
        <w:rPr>
          <w:rFonts w:ascii="Times New Roman" w:hAnsi="Times New Roman" w:cs="Times New Roman"/>
        </w:rPr>
        <w:t xml:space="preserve"> is diesel/HFO generation, against which even a benchmark $55–85/MWh CCGT LCOE is highly competitive (diesel generation in Sub-Saharan Africa frequently costs </w:t>
      </w:r>
      <w:r w:rsidRPr="00D662C2">
        <w:rPr>
          <w:rFonts w:ascii="Times New Roman" w:hAnsi="Times New Roman" w:cs="Times New Roman"/>
          <w:b/>
          <w:bCs/>
        </w:rPr>
        <w:t>$200–350/MWh or more</w:t>
      </w:r>
      <w:r w:rsidRPr="00D662C2">
        <w:rPr>
          <w:rFonts w:ascii="Times New Roman" w:hAnsi="Times New Roman" w:cs="Times New Roman"/>
        </w:rPr>
        <w:t xml:space="preserve"> at prevailing fuel prices — an industry benchmark, not a Congo-specific figure); and (iii) the electricity supports industrial or export-oriented economic activity whose value is not captured in the direct fiscal/FX comparison (Section 12). Conversely, LNG exports offer clearly superior value where the alternative use of the gas is not real (i.e., gas that could not economically be gathered/processed for domestic use in the first place) or where domestic demand is genuinely saturated. </w:t>
      </w:r>
      <w:r w:rsidRPr="00D662C2">
        <w:rPr>
          <w:rFonts w:ascii="Times New Roman" w:hAnsi="Times New Roman" w:cs="Times New Roman"/>
          <w:b/>
          <w:bCs/>
        </w:rPr>
        <w:t>Given Congo's current ~50% national electrification rate and 42% T&amp;D losses, domestic demand is very unlikely to be saturated</w:t>
      </w:r>
      <w:r w:rsidRPr="00D662C2">
        <w:rPr>
          <w:rFonts w:ascii="Times New Roman" w:hAnsi="Times New Roman" w:cs="Times New Roman"/>
        </w:rPr>
        <w:t>, suggesting the gas-to-power opportunity remains under-exploited relative to its economic potential — though this conclusion is directional, not derived from a full bankable comparison given the data limitations noted throughout.</w:t>
      </w:r>
    </w:p>
    <w:p w14:paraId="6791546E" w14:textId="62FB24CD" w:rsidR="00D662C2" w:rsidRPr="00D662C2" w:rsidRDefault="00D662C2" w:rsidP="00D662C2">
      <w:pPr>
        <w:jc w:val="both"/>
        <w:rPr>
          <w:rFonts w:ascii="Times New Roman" w:hAnsi="Times New Roman" w:cs="Times New Roman"/>
        </w:rPr>
      </w:pPr>
    </w:p>
    <w:p w14:paraId="4D60F78C"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 xml:space="preserve">9. </w:t>
      </w:r>
      <w:proofErr w:type="spellStart"/>
      <w:r w:rsidRPr="00D662C2">
        <w:rPr>
          <w:rFonts w:ascii="Times New Roman" w:hAnsi="Times New Roman" w:cs="Times New Roman"/>
          <w:b/>
          <w:bCs/>
        </w:rPr>
        <w:t>Levelised</w:t>
      </w:r>
      <w:proofErr w:type="spellEnd"/>
      <w:r w:rsidRPr="00D662C2">
        <w:rPr>
          <w:rFonts w:ascii="Times New Roman" w:hAnsi="Times New Roman" w:cs="Times New Roman"/>
          <w:b/>
          <w:bCs/>
        </w:rPr>
        <w:t xml:space="preserve"> Cost of Electricity</w:t>
      </w:r>
    </w:p>
    <w:p w14:paraId="1C058BCE"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Data limitation:</w:t>
      </w:r>
      <w:r w:rsidRPr="00D662C2">
        <w:rPr>
          <w:rFonts w:ascii="Times New Roman" w:hAnsi="Times New Roman" w:cs="Times New Roman"/>
        </w:rPr>
        <w:t xml:space="preserve"> no CEC/CED-specific LCOE has been publicly disclosed. The estimate below uses explicit, clearly labelled benchmark assumptions.</w:t>
      </w:r>
    </w:p>
    <w:p w14:paraId="1BD11E6D"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Assumptions (benchmark, not Congo-specific unless noted):</w:t>
      </w:r>
      <w:r w:rsidRPr="00D662C2">
        <w:rPr>
          <w:rFonts w:ascii="Times New Roman" w:hAnsi="Times New Roman" w:cs="Times New Roman"/>
        </w:rPr>
        <w:t xml:space="preserve"> CCGT CAPEX $1,100,000/MW (mid-range of Section 6 benchmark); capacity factor 70%; plant life 25 years; WACC/discount rate 10% (typical for African IPP-type project finance); O&amp;M $8/MWh; gas price assumed at a </w:t>
      </w:r>
      <w:r w:rsidRPr="00D662C2">
        <w:rPr>
          <w:rFonts w:ascii="Times New Roman" w:hAnsi="Times New Roman" w:cs="Times New Roman"/>
          <w:b/>
          <w:bCs/>
        </w:rPr>
        <w:t>low domestic benchmark of $1.50/MMBtu</w:t>
      </w:r>
      <w:r w:rsidRPr="00D662C2">
        <w:rPr>
          <w:rFonts w:ascii="Times New Roman" w:hAnsi="Times New Roman" w:cs="Times New Roman"/>
        </w:rPr>
        <w:t>, reflecting the low opportunity cost of gas that would otherwise be flared (this is materially below the LNG netback in Section 8 and is the crux of the domestic competitiveness argument); heat rate 7,000 Btu/kWh.</w:t>
      </w:r>
    </w:p>
    <w:tbl>
      <w:tblPr>
        <w:tblStyle w:val="TableGrid"/>
        <w:tblW w:w="0" w:type="auto"/>
        <w:tblLook w:val="04A0" w:firstRow="1" w:lastRow="0" w:firstColumn="1" w:lastColumn="0" w:noHBand="0" w:noVBand="1"/>
      </w:tblPr>
      <w:tblGrid>
        <w:gridCol w:w="2877"/>
        <w:gridCol w:w="1283"/>
        <w:gridCol w:w="769"/>
        <w:gridCol w:w="1506"/>
        <w:gridCol w:w="1430"/>
        <w:gridCol w:w="1485"/>
      </w:tblGrid>
      <w:tr w:rsidR="00D662C2" w:rsidRPr="00D662C2" w14:paraId="4AB2524B" w14:textId="77777777" w:rsidTr="00FA12F0">
        <w:tc>
          <w:tcPr>
            <w:tcW w:w="0" w:type="auto"/>
            <w:hideMark/>
          </w:tcPr>
          <w:p w14:paraId="4089051A"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Generation Technology</w:t>
            </w:r>
          </w:p>
        </w:tc>
        <w:tc>
          <w:tcPr>
            <w:tcW w:w="0" w:type="auto"/>
            <w:hideMark/>
          </w:tcPr>
          <w:p w14:paraId="6395978D"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LCOE (benchmark, USD/MWh)</w:t>
            </w:r>
          </w:p>
        </w:tc>
        <w:tc>
          <w:tcPr>
            <w:tcW w:w="0" w:type="auto"/>
            <w:hideMark/>
          </w:tcPr>
          <w:p w14:paraId="7CE3E5A5"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Fuel Cost Share of LCOE</w:t>
            </w:r>
          </w:p>
        </w:tc>
        <w:tc>
          <w:tcPr>
            <w:tcW w:w="0" w:type="auto"/>
            <w:hideMark/>
          </w:tcPr>
          <w:p w14:paraId="4DEDDA96"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CAPEX (benchmark)</w:t>
            </w:r>
          </w:p>
        </w:tc>
        <w:tc>
          <w:tcPr>
            <w:tcW w:w="0" w:type="auto"/>
            <w:hideMark/>
          </w:tcPr>
          <w:p w14:paraId="38E778D8"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Reliability</w:t>
            </w:r>
          </w:p>
        </w:tc>
        <w:tc>
          <w:tcPr>
            <w:tcW w:w="0" w:type="auto"/>
            <w:hideMark/>
          </w:tcPr>
          <w:p w14:paraId="2313D3D5"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Dispatchability</w:t>
            </w:r>
          </w:p>
        </w:tc>
      </w:tr>
      <w:tr w:rsidR="00D662C2" w:rsidRPr="00D662C2" w14:paraId="49FFAD09" w14:textId="77777777" w:rsidTr="00FA12F0">
        <w:tc>
          <w:tcPr>
            <w:tcW w:w="0" w:type="auto"/>
            <w:hideMark/>
          </w:tcPr>
          <w:p w14:paraId="360BDEC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Gas CCGT (domestic gas at $1.50/MMBtu benchmark)</w:t>
            </w:r>
          </w:p>
        </w:tc>
        <w:tc>
          <w:tcPr>
            <w:tcW w:w="0" w:type="auto"/>
            <w:hideMark/>
          </w:tcPr>
          <w:p w14:paraId="006DBEA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~55–65</w:t>
            </w:r>
          </w:p>
        </w:tc>
        <w:tc>
          <w:tcPr>
            <w:tcW w:w="0" w:type="auto"/>
            <w:hideMark/>
          </w:tcPr>
          <w:p w14:paraId="0D38B28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~15–20%</w:t>
            </w:r>
          </w:p>
        </w:tc>
        <w:tc>
          <w:tcPr>
            <w:tcW w:w="0" w:type="auto"/>
            <w:hideMark/>
          </w:tcPr>
          <w:p w14:paraId="53261AB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$1,100,000/MW</w:t>
            </w:r>
          </w:p>
        </w:tc>
        <w:tc>
          <w:tcPr>
            <w:tcW w:w="0" w:type="auto"/>
            <w:hideMark/>
          </w:tcPr>
          <w:p w14:paraId="77DCE2B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 (subject to gas supply continuity — see Section 4 constraint)</w:t>
            </w:r>
          </w:p>
        </w:tc>
        <w:tc>
          <w:tcPr>
            <w:tcW w:w="0" w:type="auto"/>
            <w:hideMark/>
          </w:tcPr>
          <w:p w14:paraId="6FF2A06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 — dispatchable base-load/mid-merit</w:t>
            </w:r>
          </w:p>
        </w:tc>
      </w:tr>
      <w:tr w:rsidR="00D662C2" w:rsidRPr="00D662C2" w14:paraId="41461E28" w14:textId="77777777" w:rsidTr="00FA12F0">
        <w:tc>
          <w:tcPr>
            <w:tcW w:w="0" w:type="auto"/>
            <w:hideMark/>
          </w:tcPr>
          <w:p w14:paraId="709E1F9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CCGT (at a higher, LNG-netback-equivalent gas price of ~$8/MMBtu, for comparison)</w:t>
            </w:r>
          </w:p>
        </w:tc>
        <w:tc>
          <w:tcPr>
            <w:tcW w:w="0" w:type="auto"/>
            <w:hideMark/>
          </w:tcPr>
          <w:p w14:paraId="7D2EBE3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~90–105</w:t>
            </w:r>
          </w:p>
        </w:tc>
        <w:tc>
          <w:tcPr>
            <w:tcW w:w="0" w:type="auto"/>
            <w:hideMark/>
          </w:tcPr>
          <w:p w14:paraId="0544469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~45–55%</w:t>
            </w:r>
          </w:p>
        </w:tc>
        <w:tc>
          <w:tcPr>
            <w:tcW w:w="0" w:type="auto"/>
            <w:hideMark/>
          </w:tcPr>
          <w:p w14:paraId="27548CA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$1,100,000/MW</w:t>
            </w:r>
          </w:p>
        </w:tc>
        <w:tc>
          <w:tcPr>
            <w:tcW w:w="0" w:type="auto"/>
            <w:hideMark/>
          </w:tcPr>
          <w:p w14:paraId="71A5E52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w:t>
            </w:r>
          </w:p>
        </w:tc>
        <w:tc>
          <w:tcPr>
            <w:tcW w:w="0" w:type="auto"/>
            <w:hideMark/>
          </w:tcPr>
          <w:p w14:paraId="0454B8E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w:t>
            </w:r>
          </w:p>
        </w:tc>
      </w:tr>
      <w:tr w:rsidR="00D662C2" w:rsidRPr="00D662C2" w14:paraId="3FC86B3A" w14:textId="77777777" w:rsidTr="00FA12F0">
        <w:tc>
          <w:tcPr>
            <w:tcW w:w="0" w:type="auto"/>
            <w:hideMark/>
          </w:tcPr>
          <w:p w14:paraId="39FFACC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OCGT (peaking)</w:t>
            </w:r>
          </w:p>
        </w:tc>
        <w:tc>
          <w:tcPr>
            <w:tcW w:w="0" w:type="auto"/>
            <w:hideMark/>
          </w:tcPr>
          <w:p w14:paraId="2093929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~110–150</w:t>
            </w:r>
            <w:r w:rsidRPr="00D662C2">
              <w:rPr>
                <w:rFonts w:ascii="Times New Roman" w:hAnsi="Times New Roman" w:cs="Times New Roman"/>
                <w:sz w:val="22"/>
                <w:szCs w:val="22"/>
              </w:rPr>
              <w:t xml:space="preserve"> (driven by lower efficiency and lower capacity factor, typically 15–25% for a </w:t>
            </w:r>
            <w:proofErr w:type="spellStart"/>
            <w:r w:rsidRPr="00D662C2">
              <w:rPr>
                <w:rFonts w:ascii="Times New Roman" w:hAnsi="Times New Roman" w:cs="Times New Roman"/>
                <w:sz w:val="22"/>
                <w:szCs w:val="22"/>
              </w:rPr>
              <w:t>peaker</w:t>
            </w:r>
            <w:proofErr w:type="spellEnd"/>
            <w:r w:rsidRPr="00D662C2">
              <w:rPr>
                <w:rFonts w:ascii="Times New Roman" w:hAnsi="Times New Roman" w:cs="Times New Roman"/>
                <w:sz w:val="22"/>
                <w:szCs w:val="22"/>
              </w:rPr>
              <w:t>)</w:t>
            </w:r>
          </w:p>
        </w:tc>
        <w:tc>
          <w:tcPr>
            <w:tcW w:w="0" w:type="auto"/>
            <w:hideMark/>
          </w:tcPr>
          <w:p w14:paraId="586AF42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~55–65%</w:t>
            </w:r>
          </w:p>
        </w:tc>
        <w:tc>
          <w:tcPr>
            <w:tcW w:w="0" w:type="auto"/>
            <w:hideMark/>
          </w:tcPr>
          <w:p w14:paraId="1A258BC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$650,000/MW</w:t>
            </w:r>
          </w:p>
        </w:tc>
        <w:tc>
          <w:tcPr>
            <w:tcW w:w="0" w:type="auto"/>
            <w:hideMark/>
          </w:tcPr>
          <w:p w14:paraId="2D713F8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w:t>
            </w:r>
          </w:p>
        </w:tc>
        <w:tc>
          <w:tcPr>
            <w:tcW w:w="0" w:type="auto"/>
            <w:hideMark/>
          </w:tcPr>
          <w:p w14:paraId="6C9F8BF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Very high — fast-start</w:t>
            </w:r>
          </w:p>
        </w:tc>
      </w:tr>
      <w:tr w:rsidR="00D662C2" w:rsidRPr="00D662C2" w14:paraId="2C6596D0" w14:textId="77777777" w:rsidTr="00FA12F0">
        <w:tc>
          <w:tcPr>
            <w:tcW w:w="0" w:type="auto"/>
            <w:hideMark/>
          </w:tcPr>
          <w:p w14:paraId="06C65F6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Existing hydro (</w:t>
            </w:r>
            <w:proofErr w:type="spellStart"/>
            <w:r w:rsidRPr="00D662C2">
              <w:rPr>
                <w:rFonts w:ascii="Times New Roman" w:hAnsi="Times New Roman" w:cs="Times New Roman"/>
                <w:sz w:val="22"/>
                <w:szCs w:val="22"/>
              </w:rPr>
              <w:t>Imboulou</w:t>
            </w:r>
            <w:proofErr w:type="spellEnd"/>
            <w:r w:rsidRPr="00D662C2">
              <w:rPr>
                <w:rFonts w:ascii="Times New Roman" w:hAnsi="Times New Roman" w:cs="Times New Roman"/>
                <w:sz w:val="22"/>
                <w:szCs w:val="22"/>
              </w:rPr>
              <w:t>/</w:t>
            </w:r>
            <w:proofErr w:type="spellStart"/>
            <w:r w:rsidRPr="00D662C2">
              <w:rPr>
                <w:rFonts w:ascii="Times New Roman" w:hAnsi="Times New Roman" w:cs="Times New Roman"/>
                <w:sz w:val="22"/>
                <w:szCs w:val="22"/>
              </w:rPr>
              <w:t>Moukoukoulou</w:t>
            </w:r>
            <w:proofErr w:type="spellEnd"/>
            <w:r w:rsidRPr="00D662C2">
              <w:rPr>
                <w:rFonts w:ascii="Times New Roman" w:hAnsi="Times New Roman" w:cs="Times New Roman"/>
                <w:sz w:val="22"/>
                <w:szCs w:val="22"/>
              </w:rPr>
              <w:t>/</w:t>
            </w:r>
            <w:proofErr w:type="spellStart"/>
            <w:r w:rsidRPr="00D662C2">
              <w:rPr>
                <w:rFonts w:ascii="Times New Roman" w:hAnsi="Times New Roman" w:cs="Times New Roman"/>
                <w:sz w:val="22"/>
                <w:szCs w:val="22"/>
              </w:rPr>
              <w:t>Djoué</w:t>
            </w:r>
            <w:proofErr w:type="spellEnd"/>
            <w:r w:rsidRPr="00D662C2">
              <w:rPr>
                <w:rFonts w:ascii="Times New Roman" w:hAnsi="Times New Roman" w:cs="Times New Roman"/>
                <w:sz w:val="22"/>
                <w:szCs w:val="22"/>
              </w:rPr>
              <w:t>, sunk-capital basis)</w:t>
            </w:r>
          </w:p>
        </w:tc>
        <w:tc>
          <w:tcPr>
            <w:tcW w:w="0" w:type="auto"/>
            <w:hideMark/>
          </w:tcPr>
          <w:p w14:paraId="0347736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Not calculable from a sunk-asset base on a comparable new-build basis; </w:t>
            </w:r>
            <w:r w:rsidRPr="00D662C2">
              <w:rPr>
                <w:rFonts w:ascii="Times New Roman" w:hAnsi="Times New Roman" w:cs="Times New Roman"/>
                <w:b/>
                <w:bCs/>
                <w:sz w:val="22"/>
                <w:szCs w:val="22"/>
              </w:rPr>
              <w:t>incremental O&amp;M-only cost is likely well below $30/MWh</w:t>
            </w:r>
            <w:r w:rsidRPr="00D662C2">
              <w:rPr>
                <w:rFonts w:ascii="Times New Roman" w:hAnsi="Times New Roman" w:cs="Times New Roman"/>
                <w:sz w:val="22"/>
                <w:szCs w:val="22"/>
              </w:rPr>
              <w:t xml:space="preserve"> (benchmark, reflecting minimal fuel cost)</w:t>
            </w:r>
          </w:p>
        </w:tc>
        <w:tc>
          <w:tcPr>
            <w:tcW w:w="0" w:type="auto"/>
            <w:hideMark/>
          </w:tcPr>
          <w:p w14:paraId="6723D11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~0% (no fuel cost)</w:t>
            </w:r>
          </w:p>
        </w:tc>
        <w:tc>
          <w:tcPr>
            <w:tcW w:w="0" w:type="auto"/>
            <w:hideMark/>
          </w:tcPr>
          <w:p w14:paraId="641A78C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N/A (existing assets); </w:t>
            </w:r>
            <w:proofErr w:type="spellStart"/>
            <w:r w:rsidRPr="00D662C2">
              <w:rPr>
                <w:rFonts w:ascii="Times New Roman" w:hAnsi="Times New Roman" w:cs="Times New Roman"/>
                <w:sz w:val="22"/>
                <w:szCs w:val="22"/>
              </w:rPr>
              <w:t>Sounda</w:t>
            </w:r>
            <w:proofErr w:type="spellEnd"/>
            <w:r w:rsidRPr="00D662C2">
              <w:rPr>
                <w:rFonts w:ascii="Times New Roman" w:hAnsi="Times New Roman" w:cs="Times New Roman"/>
                <w:sz w:val="22"/>
                <w:szCs w:val="22"/>
              </w:rPr>
              <w:t xml:space="preserve"> Gorge (proposed, 1,200 MW) would carry new-build hydro CAPEX typically in the </w:t>
            </w:r>
            <w:r w:rsidRPr="00D662C2">
              <w:rPr>
                <w:rFonts w:ascii="Times New Roman" w:hAnsi="Times New Roman" w:cs="Times New Roman"/>
                <w:b/>
                <w:bCs/>
                <w:sz w:val="22"/>
                <w:szCs w:val="22"/>
              </w:rPr>
              <w:t>$2,000,000–4,000,000/MW</w:t>
            </w:r>
            <w:r w:rsidRPr="00D662C2">
              <w:rPr>
                <w:rFonts w:ascii="Times New Roman" w:hAnsi="Times New Roman" w:cs="Times New Roman"/>
                <w:sz w:val="22"/>
                <w:szCs w:val="22"/>
              </w:rPr>
              <w:t xml:space="preserve"> range (benchmark for large African hydro)</w:t>
            </w:r>
          </w:p>
        </w:tc>
        <w:tc>
          <w:tcPr>
            <w:tcW w:w="0" w:type="auto"/>
            <w:hideMark/>
          </w:tcPr>
          <w:p w14:paraId="6697D44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Variable — reliability materially affected by hydrology and asset condition</w:t>
            </w:r>
            <w:r w:rsidRPr="00D662C2">
              <w:rPr>
                <w:rFonts w:ascii="Times New Roman" w:hAnsi="Times New Roman" w:cs="Times New Roman"/>
                <w:sz w:val="22"/>
                <w:szCs w:val="22"/>
              </w:rPr>
              <w:t xml:space="preserve"> (</w:t>
            </w:r>
            <w:proofErr w:type="spellStart"/>
            <w:r w:rsidRPr="00D662C2">
              <w:rPr>
                <w:rFonts w:ascii="Times New Roman" w:hAnsi="Times New Roman" w:cs="Times New Roman"/>
                <w:sz w:val="22"/>
                <w:szCs w:val="22"/>
              </w:rPr>
              <w:t>Djoué</w:t>
            </w:r>
            <w:proofErr w:type="spellEnd"/>
            <w:r w:rsidRPr="00D662C2">
              <w:rPr>
                <w:rFonts w:ascii="Times New Roman" w:hAnsi="Times New Roman" w:cs="Times New Roman"/>
                <w:sz w:val="22"/>
                <w:szCs w:val="22"/>
              </w:rPr>
              <w:t xml:space="preserve"> at 0% available capacity is a clear reliability flag)</w:t>
            </w:r>
          </w:p>
        </w:tc>
        <w:tc>
          <w:tcPr>
            <w:tcW w:w="0" w:type="auto"/>
            <w:hideMark/>
          </w:tcPr>
          <w:p w14:paraId="69B6FF1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Moderate — dispatchable within reservoir/river-flow constraints</w:t>
            </w:r>
          </w:p>
        </w:tc>
      </w:tr>
      <w:tr w:rsidR="00D662C2" w:rsidRPr="00D662C2" w14:paraId="2702477E" w14:textId="77777777" w:rsidTr="00FA12F0">
        <w:tc>
          <w:tcPr>
            <w:tcW w:w="0" w:type="auto"/>
            <w:hideMark/>
          </w:tcPr>
          <w:p w14:paraId="5057618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Diesel/HFO generation</w:t>
            </w:r>
          </w:p>
        </w:tc>
        <w:tc>
          <w:tcPr>
            <w:tcW w:w="0" w:type="auto"/>
            <w:hideMark/>
          </w:tcPr>
          <w:p w14:paraId="4345928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~200–350</w:t>
            </w:r>
            <w:r w:rsidRPr="00D662C2">
              <w:rPr>
                <w:rFonts w:ascii="Times New Roman" w:hAnsi="Times New Roman" w:cs="Times New Roman"/>
                <w:sz w:val="22"/>
                <w:szCs w:val="22"/>
              </w:rPr>
              <w:t xml:space="preserve"> (benchmark, driven almost </w:t>
            </w:r>
            <w:r w:rsidRPr="00D662C2">
              <w:rPr>
                <w:rFonts w:ascii="Times New Roman" w:hAnsi="Times New Roman" w:cs="Times New Roman"/>
                <w:sz w:val="22"/>
                <w:szCs w:val="22"/>
              </w:rPr>
              <w:lastRenderedPageBreak/>
              <w:t>entirely by fuel cost)</w:t>
            </w:r>
          </w:p>
        </w:tc>
        <w:tc>
          <w:tcPr>
            <w:tcW w:w="0" w:type="auto"/>
            <w:hideMark/>
          </w:tcPr>
          <w:p w14:paraId="5F13CD2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~70–85%</w:t>
            </w:r>
          </w:p>
        </w:tc>
        <w:tc>
          <w:tcPr>
            <w:tcW w:w="0" w:type="auto"/>
            <w:hideMark/>
          </w:tcPr>
          <w:p w14:paraId="15B2A8F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$400,000–700,000/MW</w:t>
            </w:r>
          </w:p>
        </w:tc>
        <w:tc>
          <w:tcPr>
            <w:tcW w:w="0" w:type="auto"/>
            <w:hideMark/>
          </w:tcPr>
          <w:p w14:paraId="0208C40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Moderate (fuel logistics risk)</w:t>
            </w:r>
          </w:p>
        </w:tc>
        <w:tc>
          <w:tcPr>
            <w:tcW w:w="0" w:type="auto"/>
            <w:hideMark/>
          </w:tcPr>
          <w:p w14:paraId="25541DA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 — fast-start</w:t>
            </w:r>
          </w:p>
        </w:tc>
      </w:tr>
      <w:tr w:rsidR="00D662C2" w:rsidRPr="00D662C2" w14:paraId="4C5A717E" w14:textId="77777777" w:rsidTr="00FA12F0">
        <w:tc>
          <w:tcPr>
            <w:tcW w:w="0" w:type="auto"/>
            <w:hideMark/>
          </w:tcPr>
          <w:p w14:paraId="1D7D839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Solar PV (utility-scale, for reference)</w:t>
            </w:r>
          </w:p>
        </w:tc>
        <w:tc>
          <w:tcPr>
            <w:tcW w:w="0" w:type="auto"/>
            <w:hideMark/>
          </w:tcPr>
          <w:p w14:paraId="732F0BE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~50–80</w:t>
            </w:r>
            <w:r w:rsidRPr="00D662C2">
              <w:rPr>
                <w:rFonts w:ascii="Times New Roman" w:hAnsi="Times New Roman" w:cs="Times New Roman"/>
                <w:sz w:val="22"/>
                <w:szCs w:val="22"/>
              </w:rPr>
              <w:t xml:space="preserve"> (benchmark for a low-latitude, high-irradiance West/Central African site)</w:t>
            </w:r>
          </w:p>
        </w:tc>
        <w:tc>
          <w:tcPr>
            <w:tcW w:w="0" w:type="auto"/>
            <w:hideMark/>
          </w:tcPr>
          <w:p w14:paraId="6EE79B8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0%</w:t>
            </w:r>
          </w:p>
        </w:tc>
        <w:tc>
          <w:tcPr>
            <w:tcW w:w="0" w:type="auto"/>
            <w:hideMark/>
          </w:tcPr>
          <w:p w14:paraId="4645FCA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$700,000–1,000,000/MW</w:t>
            </w:r>
          </w:p>
        </w:tc>
        <w:tc>
          <w:tcPr>
            <w:tcW w:w="0" w:type="auto"/>
            <w:hideMark/>
          </w:tcPr>
          <w:p w14:paraId="05F9991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 standalone (intermittent; would require storage or hydro/gas backup for firm capacity)</w:t>
            </w:r>
          </w:p>
        </w:tc>
        <w:tc>
          <w:tcPr>
            <w:tcW w:w="0" w:type="auto"/>
            <w:hideMark/>
          </w:tcPr>
          <w:p w14:paraId="5371B5D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 without storage</w:t>
            </w:r>
          </w:p>
        </w:tc>
      </w:tr>
      <w:tr w:rsidR="00D662C2" w:rsidRPr="00D662C2" w14:paraId="6C3EE46F" w14:textId="77777777" w:rsidTr="00FA12F0">
        <w:tc>
          <w:tcPr>
            <w:tcW w:w="0" w:type="auto"/>
            <w:hideMark/>
          </w:tcPr>
          <w:p w14:paraId="44C0CDE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imports</w:t>
            </w:r>
          </w:p>
        </w:tc>
        <w:tc>
          <w:tcPr>
            <w:tcW w:w="0" w:type="auto"/>
            <w:hideMark/>
          </w:tcPr>
          <w:p w14:paraId="33A9178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quantifiable — Congo's 2021 import share was only 0.3% of grid injection, indicating imports are not currently a material supply source</w:t>
            </w:r>
          </w:p>
        </w:tc>
        <w:tc>
          <w:tcPr>
            <w:tcW w:w="0" w:type="auto"/>
            <w:hideMark/>
          </w:tcPr>
          <w:p w14:paraId="78F8576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N/A</w:t>
            </w:r>
          </w:p>
        </w:tc>
        <w:tc>
          <w:tcPr>
            <w:tcW w:w="0" w:type="auto"/>
            <w:hideMark/>
          </w:tcPr>
          <w:p w14:paraId="6A3D0D1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N/A</w:t>
            </w:r>
          </w:p>
        </w:tc>
        <w:tc>
          <w:tcPr>
            <w:tcW w:w="0" w:type="auto"/>
            <w:hideMark/>
          </w:tcPr>
          <w:p w14:paraId="432AFD2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Dependent on interconnection and exporting country's own reliability</w:t>
            </w:r>
          </w:p>
        </w:tc>
        <w:tc>
          <w:tcPr>
            <w:tcW w:w="0" w:type="auto"/>
            <w:hideMark/>
          </w:tcPr>
          <w:p w14:paraId="633E689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Dependent on contractual terms</w:t>
            </w:r>
          </w:p>
        </w:tc>
      </w:tr>
    </w:tbl>
    <w:p w14:paraId="5585B131" w14:textId="77777777" w:rsidR="00FA12F0" w:rsidRDefault="00FA12F0" w:rsidP="00D662C2">
      <w:pPr>
        <w:jc w:val="both"/>
        <w:rPr>
          <w:rFonts w:ascii="Times New Roman" w:hAnsi="Times New Roman" w:cs="Times New Roman"/>
          <w:b/>
          <w:bCs/>
        </w:rPr>
      </w:pPr>
    </w:p>
    <w:p w14:paraId="43CE5B07" w14:textId="665A8F8E"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Key finding:</w:t>
      </w:r>
      <w:r w:rsidRPr="00D662C2">
        <w:rPr>
          <w:rFonts w:ascii="Times New Roman" w:hAnsi="Times New Roman" w:cs="Times New Roman"/>
        </w:rPr>
        <w:t xml:space="preserve"> at the low domestic gas price benchmark ($1.50/MMBtu, reflecting flared-gas opportunity cost), CCGT gas-to-power is cost-competitive with utility-scale solar and dramatically cheaper than diesel/HFO reinforcing the Section 8 conclusion that displacing diesel generation with gas-fired capacity is likely Congo's most clearly value-additive near-term gas-to-power opportunity. At a higher, LNG-parity gas price, the domestic cost advantage narrows substantially, which is the central economic tension the government would need to manage in any formal domestic gas pricing policy (Section 10).</w:t>
      </w:r>
    </w:p>
    <w:p w14:paraId="5E86FA2D" w14:textId="04EB975F" w:rsidR="00D662C2" w:rsidRPr="00D662C2" w:rsidRDefault="00D662C2" w:rsidP="00D662C2">
      <w:pPr>
        <w:jc w:val="both"/>
        <w:rPr>
          <w:rFonts w:ascii="Times New Roman" w:hAnsi="Times New Roman" w:cs="Times New Roman"/>
        </w:rPr>
      </w:pPr>
    </w:p>
    <w:p w14:paraId="76604E5B" w14:textId="77777777" w:rsidR="00FA12F0" w:rsidRDefault="00FA12F0" w:rsidP="00D662C2">
      <w:pPr>
        <w:jc w:val="both"/>
        <w:rPr>
          <w:rFonts w:ascii="Times New Roman" w:hAnsi="Times New Roman" w:cs="Times New Roman"/>
          <w:b/>
          <w:bCs/>
        </w:rPr>
      </w:pPr>
    </w:p>
    <w:p w14:paraId="21AB593C" w14:textId="77777777" w:rsidR="00FA12F0" w:rsidRDefault="00FA12F0" w:rsidP="00D662C2">
      <w:pPr>
        <w:jc w:val="both"/>
        <w:rPr>
          <w:rFonts w:ascii="Times New Roman" w:hAnsi="Times New Roman" w:cs="Times New Roman"/>
          <w:b/>
          <w:bCs/>
        </w:rPr>
      </w:pPr>
    </w:p>
    <w:p w14:paraId="7B3879FE" w14:textId="03C402DA"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lastRenderedPageBreak/>
        <w:t xml:space="preserve">10. Domestic Gas Allocation </w:t>
      </w:r>
      <w:r w:rsidR="00FA12F0" w:rsidRPr="00D662C2">
        <w:rPr>
          <w:rFonts w:ascii="Times New Roman" w:hAnsi="Times New Roman" w:cs="Times New Roman"/>
          <w:b/>
          <w:bCs/>
        </w:rPr>
        <w:t>Optimization</w:t>
      </w:r>
    </w:p>
    <w:p w14:paraId="40AD09D2"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10.1 Scenario framework</w:t>
      </w:r>
    </w:p>
    <w:tbl>
      <w:tblPr>
        <w:tblStyle w:val="TableGrid"/>
        <w:tblW w:w="0" w:type="auto"/>
        <w:tblLook w:val="04A0" w:firstRow="1" w:lastRow="0" w:firstColumn="1" w:lastColumn="0" w:noHBand="0" w:noVBand="1"/>
      </w:tblPr>
      <w:tblGrid>
        <w:gridCol w:w="1564"/>
        <w:gridCol w:w="2232"/>
        <w:gridCol w:w="2998"/>
        <w:gridCol w:w="2556"/>
      </w:tblGrid>
      <w:tr w:rsidR="00D662C2" w:rsidRPr="00D662C2" w14:paraId="6E479EE4" w14:textId="77777777" w:rsidTr="00FA12F0">
        <w:tc>
          <w:tcPr>
            <w:tcW w:w="0" w:type="auto"/>
            <w:hideMark/>
          </w:tcPr>
          <w:p w14:paraId="495EA391"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Indicator</w:t>
            </w:r>
          </w:p>
        </w:tc>
        <w:tc>
          <w:tcPr>
            <w:tcW w:w="0" w:type="auto"/>
            <w:hideMark/>
          </w:tcPr>
          <w:p w14:paraId="4EB5C931"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Scenario 1: LNG Priority</w:t>
            </w:r>
          </w:p>
        </w:tc>
        <w:tc>
          <w:tcPr>
            <w:tcW w:w="0" w:type="auto"/>
            <w:hideMark/>
          </w:tcPr>
          <w:p w14:paraId="2EF43CA3"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Scenario 2: Domestic Power Priority</w:t>
            </w:r>
          </w:p>
        </w:tc>
        <w:tc>
          <w:tcPr>
            <w:tcW w:w="0" w:type="auto"/>
            <w:hideMark/>
          </w:tcPr>
          <w:p w14:paraId="6AC6F8E7"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 xml:space="preserve">Scenario 3: Balanced </w:t>
            </w:r>
            <w:proofErr w:type="spellStart"/>
            <w:r w:rsidRPr="00D662C2">
              <w:rPr>
                <w:rFonts w:ascii="Times New Roman" w:hAnsi="Times New Roman" w:cs="Times New Roman"/>
                <w:b/>
                <w:bCs/>
                <w:sz w:val="22"/>
                <w:szCs w:val="22"/>
              </w:rPr>
              <w:t>Monetisation</w:t>
            </w:r>
            <w:proofErr w:type="spellEnd"/>
          </w:p>
        </w:tc>
      </w:tr>
      <w:tr w:rsidR="00D662C2" w:rsidRPr="00D662C2" w14:paraId="25A87649" w14:textId="77777777" w:rsidTr="00FA12F0">
        <w:tc>
          <w:tcPr>
            <w:tcW w:w="0" w:type="auto"/>
            <w:hideMark/>
          </w:tcPr>
          <w:p w14:paraId="4CA77D1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to LNG</w:t>
            </w:r>
          </w:p>
        </w:tc>
        <w:tc>
          <w:tcPr>
            <w:tcW w:w="0" w:type="auto"/>
            <w:hideMark/>
          </w:tcPr>
          <w:p w14:paraId="5077140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Full 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(3 MTPA nameplate), plus any further Eni-sanctioned expansion</w:t>
            </w:r>
          </w:p>
        </w:tc>
        <w:tc>
          <w:tcPr>
            <w:tcW w:w="0" w:type="auto"/>
            <w:hideMark/>
          </w:tcPr>
          <w:p w14:paraId="03492D1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 xml:space="preserve">/yr maintained (existing LNG trains are sunk investments and are assumed not curtailed) but no further LNG expansion </w:t>
            </w:r>
            <w:proofErr w:type="spellStart"/>
            <w:r w:rsidRPr="00D662C2">
              <w:rPr>
                <w:rFonts w:ascii="Times New Roman" w:hAnsi="Times New Roman" w:cs="Times New Roman"/>
                <w:sz w:val="22"/>
                <w:szCs w:val="22"/>
              </w:rPr>
              <w:t>prioritised</w:t>
            </w:r>
            <w:proofErr w:type="spellEnd"/>
          </w:p>
        </w:tc>
        <w:tc>
          <w:tcPr>
            <w:tcW w:w="0" w:type="auto"/>
            <w:hideMark/>
          </w:tcPr>
          <w:p w14:paraId="295464B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maintained; incremental future LNG expansion evaluated case-by-case against domestic power needs</w:t>
            </w:r>
          </w:p>
        </w:tc>
      </w:tr>
      <w:tr w:rsidR="00D662C2" w:rsidRPr="00D662C2" w14:paraId="2C475AF2" w14:textId="77777777" w:rsidTr="00FA12F0">
        <w:tc>
          <w:tcPr>
            <w:tcW w:w="0" w:type="auto"/>
            <w:hideMark/>
          </w:tcPr>
          <w:p w14:paraId="4ACE82A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to power</w:t>
            </w:r>
          </w:p>
        </w:tc>
        <w:tc>
          <w:tcPr>
            <w:tcW w:w="0" w:type="auto"/>
            <w:hideMark/>
          </w:tcPr>
          <w:p w14:paraId="6F77C42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Limited to current CEC/CED consumption (~0.5–0.8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benchmark) plus only the minimum increment needed for reliability</w:t>
            </w:r>
          </w:p>
        </w:tc>
        <w:tc>
          <w:tcPr>
            <w:tcW w:w="0" w:type="auto"/>
            <w:hideMark/>
          </w:tcPr>
          <w:p w14:paraId="60AC9A1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Materially expanded, drawing on the Section 5 "potential additional gas" pool (~0.5–2.5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depending on year) to support the CEC combined-cycle conversion, CED expansion, and potentially the proposed 700 MW/1,000 MW pathway</w:t>
            </w:r>
          </w:p>
        </w:tc>
        <w:tc>
          <w:tcPr>
            <w:tcW w:w="0" w:type="auto"/>
            <w:hideMark/>
          </w:tcPr>
          <w:p w14:paraId="58A0CF8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Moderate expansion, </w:t>
            </w:r>
            <w:proofErr w:type="spellStart"/>
            <w:r w:rsidRPr="00D662C2">
              <w:rPr>
                <w:rFonts w:ascii="Times New Roman" w:hAnsi="Times New Roman" w:cs="Times New Roman"/>
                <w:sz w:val="22"/>
                <w:szCs w:val="22"/>
              </w:rPr>
              <w:t>prioritising</w:t>
            </w:r>
            <w:proofErr w:type="spellEnd"/>
            <w:r w:rsidRPr="00D662C2">
              <w:rPr>
                <w:rFonts w:ascii="Times New Roman" w:hAnsi="Times New Roman" w:cs="Times New Roman"/>
                <w:sz w:val="22"/>
                <w:szCs w:val="22"/>
              </w:rPr>
              <w:t xml:space="preserve"> displacement of diesel/HFO and support for identified industrial off-takers (Section 12), without necessarily pursuing the full 1,000 MW pathway</w:t>
            </w:r>
          </w:p>
        </w:tc>
      </w:tr>
      <w:tr w:rsidR="00D662C2" w:rsidRPr="00D662C2" w14:paraId="673BE6C6" w14:textId="77777777" w:rsidTr="00FA12F0">
        <w:tc>
          <w:tcPr>
            <w:tcW w:w="0" w:type="auto"/>
            <w:hideMark/>
          </w:tcPr>
          <w:p w14:paraId="4878C00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LNG revenue</w:t>
            </w:r>
          </w:p>
        </w:tc>
        <w:tc>
          <w:tcPr>
            <w:tcW w:w="0" w:type="auto"/>
            <w:hideMark/>
          </w:tcPr>
          <w:p w14:paraId="5B6B4BF1" w14:textId="77777777" w:rsidR="00D662C2" w:rsidRPr="00D662C2" w:rsidRDefault="00D662C2" w:rsidP="00D662C2">
            <w:pPr>
              <w:spacing w:after="160" w:line="278" w:lineRule="auto"/>
              <w:jc w:val="both"/>
              <w:rPr>
                <w:rFonts w:ascii="Times New Roman" w:hAnsi="Times New Roman" w:cs="Times New Roman"/>
                <w:sz w:val="22"/>
                <w:szCs w:val="22"/>
              </w:rPr>
            </w:pPr>
            <w:proofErr w:type="spellStart"/>
            <w:r w:rsidRPr="00D662C2">
              <w:rPr>
                <w:rFonts w:ascii="Times New Roman" w:hAnsi="Times New Roman" w:cs="Times New Roman"/>
                <w:sz w:val="22"/>
                <w:szCs w:val="22"/>
              </w:rPr>
              <w:t>Maximised</w:t>
            </w:r>
            <w:proofErr w:type="spellEnd"/>
            <w:r w:rsidRPr="00D662C2">
              <w:rPr>
                <w:rFonts w:ascii="Times New Roman" w:hAnsi="Times New Roman" w:cs="Times New Roman"/>
                <w:sz w:val="22"/>
                <w:szCs w:val="22"/>
              </w:rPr>
              <w:t>, subject to global LNG price cycle risk (Section 8)</w:t>
            </w:r>
          </w:p>
        </w:tc>
        <w:tc>
          <w:tcPr>
            <w:tcW w:w="0" w:type="auto"/>
            <w:hideMark/>
          </w:tcPr>
          <w:p w14:paraId="3E4D4B5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Unchanged from current levels (existing trains only)</w:t>
            </w:r>
          </w:p>
        </w:tc>
        <w:tc>
          <w:tcPr>
            <w:tcW w:w="0" w:type="auto"/>
            <w:hideMark/>
          </w:tcPr>
          <w:p w14:paraId="365147C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Unchanged from current levels, with option value preserved for future expansion</w:t>
            </w:r>
          </w:p>
        </w:tc>
      </w:tr>
      <w:tr w:rsidR="00D662C2" w:rsidRPr="00D662C2" w14:paraId="1B3ECA8B" w14:textId="77777777" w:rsidTr="00FA12F0">
        <w:tc>
          <w:tcPr>
            <w:tcW w:w="0" w:type="auto"/>
            <w:hideMark/>
          </w:tcPr>
          <w:p w14:paraId="0011245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output</w:t>
            </w:r>
          </w:p>
        </w:tc>
        <w:tc>
          <w:tcPr>
            <w:tcW w:w="0" w:type="auto"/>
            <w:hideMark/>
          </w:tcPr>
          <w:p w14:paraId="2CAB81A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Limited growth, risking a widening gap versus the Section 3 demand projections and continued reliance on diesel/imports for unmet demand</w:t>
            </w:r>
          </w:p>
        </w:tc>
        <w:tc>
          <w:tcPr>
            <w:tcW w:w="0" w:type="auto"/>
            <w:hideMark/>
          </w:tcPr>
          <w:p w14:paraId="4A99ED6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Materially increased — potentially closing much of the demand growth gap identified in Section 3</w:t>
            </w:r>
          </w:p>
        </w:tc>
        <w:tc>
          <w:tcPr>
            <w:tcW w:w="0" w:type="auto"/>
            <w:hideMark/>
          </w:tcPr>
          <w:p w14:paraId="0E34D0E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Moderate increase, targeted at the highest-value uses (industrial displacement of diesel, urban reliability improvement)</w:t>
            </w:r>
          </w:p>
        </w:tc>
      </w:tr>
      <w:tr w:rsidR="00D662C2" w:rsidRPr="00D662C2" w14:paraId="59E9150B" w14:textId="77777777" w:rsidTr="00FA12F0">
        <w:tc>
          <w:tcPr>
            <w:tcW w:w="0" w:type="auto"/>
            <w:hideMark/>
          </w:tcPr>
          <w:p w14:paraId="52ECF8C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Domestic economic value</w:t>
            </w:r>
          </w:p>
        </w:tc>
        <w:tc>
          <w:tcPr>
            <w:tcW w:w="0" w:type="auto"/>
            <w:hideMark/>
          </w:tcPr>
          <w:p w14:paraId="6811ED8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Lower — limited direct multiplier beyond fiscal revenue</w:t>
            </w:r>
          </w:p>
        </w:tc>
        <w:tc>
          <w:tcPr>
            <w:tcW w:w="0" w:type="auto"/>
            <w:hideMark/>
          </w:tcPr>
          <w:p w14:paraId="12D1FCB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Higher — supports electrification targets and industrial competitiveness (Section 12)</w:t>
            </w:r>
          </w:p>
        </w:tc>
        <w:tc>
          <w:tcPr>
            <w:tcW w:w="0" w:type="auto"/>
            <w:hideMark/>
          </w:tcPr>
          <w:p w14:paraId="1CD95D9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Balanced — captures much of the domestic value while preserving LNG optionality</w:t>
            </w:r>
          </w:p>
        </w:tc>
      </w:tr>
      <w:tr w:rsidR="00D662C2" w:rsidRPr="00D662C2" w14:paraId="0C315122" w14:textId="77777777" w:rsidTr="00FA12F0">
        <w:tc>
          <w:tcPr>
            <w:tcW w:w="0" w:type="auto"/>
            <w:hideMark/>
          </w:tcPr>
          <w:p w14:paraId="5DD92BF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requirement</w:t>
            </w:r>
          </w:p>
        </w:tc>
        <w:tc>
          <w:tcPr>
            <w:tcW w:w="0" w:type="auto"/>
            <w:hideMark/>
          </w:tcPr>
          <w:p w14:paraId="6F79D02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~4.5–5.3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total (LNG + minimal domestic)</w:t>
            </w:r>
          </w:p>
        </w:tc>
        <w:tc>
          <w:tcPr>
            <w:tcW w:w="0" w:type="auto"/>
            <w:hideMark/>
          </w:tcPr>
          <w:p w14:paraId="2F32F49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~5.0–7.0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total (LNG maintained + expanded domestic)</w:t>
            </w:r>
          </w:p>
        </w:tc>
        <w:tc>
          <w:tcPr>
            <w:tcW w:w="0" w:type="auto"/>
            <w:hideMark/>
          </w:tcPr>
          <w:p w14:paraId="50DEBE2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~4.8–6.0 </w:t>
            </w:r>
            <w:proofErr w:type="spellStart"/>
            <w:r w:rsidRPr="00D662C2">
              <w:rPr>
                <w:rFonts w:ascii="Times New Roman" w:hAnsi="Times New Roman" w:cs="Times New Roman"/>
                <w:sz w:val="22"/>
                <w:szCs w:val="22"/>
              </w:rPr>
              <w:t>bcm</w:t>
            </w:r>
            <w:proofErr w:type="spellEnd"/>
            <w:r w:rsidRPr="00D662C2">
              <w:rPr>
                <w:rFonts w:ascii="Times New Roman" w:hAnsi="Times New Roman" w:cs="Times New Roman"/>
                <w:sz w:val="22"/>
                <w:szCs w:val="22"/>
              </w:rPr>
              <w:t>/yr total</w:t>
            </w:r>
          </w:p>
        </w:tc>
      </w:tr>
      <w:tr w:rsidR="00D662C2" w:rsidRPr="00D662C2" w14:paraId="716BFBD9" w14:textId="77777777" w:rsidTr="00FA12F0">
        <w:tc>
          <w:tcPr>
            <w:tcW w:w="0" w:type="auto"/>
            <w:hideMark/>
          </w:tcPr>
          <w:p w14:paraId="5B0247F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Overall score (qualitative, 1–</w:t>
            </w:r>
            <w:r w:rsidRPr="00D662C2">
              <w:rPr>
                <w:rFonts w:ascii="Times New Roman" w:hAnsi="Times New Roman" w:cs="Times New Roman"/>
                <w:sz w:val="22"/>
                <w:szCs w:val="22"/>
              </w:rPr>
              <w:lastRenderedPageBreak/>
              <w:t>5, this note's own framework)</w:t>
            </w:r>
          </w:p>
        </w:tc>
        <w:tc>
          <w:tcPr>
            <w:tcW w:w="0" w:type="auto"/>
            <w:hideMark/>
          </w:tcPr>
          <w:p w14:paraId="018F949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lastRenderedPageBreak/>
              <w:t>3</w:t>
            </w:r>
            <w:r w:rsidRPr="00D662C2">
              <w:rPr>
                <w:rFonts w:ascii="Times New Roman" w:hAnsi="Times New Roman" w:cs="Times New Roman"/>
                <w:sz w:val="22"/>
                <w:szCs w:val="22"/>
              </w:rPr>
              <w:t xml:space="preserve"> — strong fiscal/FX return but limited </w:t>
            </w:r>
            <w:r w:rsidRPr="00D662C2">
              <w:rPr>
                <w:rFonts w:ascii="Times New Roman" w:hAnsi="Times New Roman" w:cs="Times New Roman"/>
                <w:sz w:val="22"/>
                <w:szCs w:val="22"/>
              </w:rPr>
              <w:lastRenderedPageBreak/>
              <w:t>domestic development impact and continued diesel dependency</w:t>
            </w:r>
          </w:p>
        </w:tc>
        <w:tc>
          <w:tcPr>
            <w:tcW w:w="0" w:type="auto"/>
            <w:hideMark/>
          </w:tcPr>
          <w:p w14:paraId="7C433D3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lastRenderedPageBreak/>
              <w:t>3.5</w:t>
            </w:r>
            <w:r w:rsidRPr="00D662C2">
              <w:rPr>
                <w:rFonts w:ascii="Times New Roman" w:hAnsi="Times New Roman" w:cs="Times New Roman"/>
                <w:sz w:val="22"/>
                <w:szCs w:val="22"/>
              </w:rPr>
              <w:t xml:space="preserve"> — strongest domestic development and energy </w:t>
            </w:r>
            <w:r w:rsidRPr="00D662C2">
              <w:rPr>
                <w:rFonts w:ascii="Times New Roman" w:hAnsi="Times New Roman" w:cs="Times New Roman"/>
                <w:sz w:val="22"/>
                <w:szCs w:val="22"/>
              </w:rPr>
              <w:lastRenderedPageBreak/>
              <w:t>security impact, but requires new infrastructure investment and carries execution risk</w:t>
            </w:r>
          </w:p>
        </w:tc>
        <w:tc>
          <w:tcPr>
            <w:tcW w:w="0" w:type="auto"/>
            <w:hideMark/>
          </w:tcPr>
          <w:p w14:paraId="3A9140B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lastRenderedPageBreak/>
              <w:t xml:space="preserve">4 — best balance of fiscal, domestic </w:t>
            </w:r>
            <w:r w:rsidRPr="00D662C2">
              <w:rPr>
                <w:rFonts w:ascii="Times New Roman" w:hAnsi="Times New Roman" w:cs="Times New Roman"/>
                <w:b/>
                <w:bCs/>
                <w:sz w:val="22"/>
                <w:szCs w:val="22"/>
              </w:rPr>
              <w:lastRenderedPageBreak/>
              <w:t>development and risk-diversification objectives, in this note's assessment</w:t>
            </w:r>
          </w:p>
        </w:tc>
      </w:tr>
    </w:tbl>
    <w:p w14:paraId="4A5739D1" w14:textId="77777777" w:rsidR="00FA12F0" w:rsidRDefault="00FA12F0" w:rsidP="00D662C2">
      <w:pPr>
        <w:jc w:val="both"/>
        <w:rPr>
          <w:rFonts w:ascii="Times New Roman" w:hAnsi="Times New Roman" w:cs="Times New Roman"/>
          <w:b/>
          <w:bCs/>
        </w:rPr>
      </w:pPr>
    </w:p>
    <w:p w14:paraId="56A9B874" w14:textId="1206A8BF"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Recommendation:</w:t>
      </w:r>
      <w:r w:rsidRPr="00D662C2">
        <w:rPr>
          <w:rFonts w:ascii="Times New Roman" w:hAnsi="Times New Roman" w:cs="Times New Roman"/>
        </w:rPr>
        <w:t xml:space="preserve"> </w:t>
      </w:r>
      <w:r w:rsidRPr="00D662C2">
        <w:rPr>
          <w:rFonts w:ascii="Times New Roman" w:hAnsi="Times New Roman" w:cs="Times New Roman"/>
          <w:b/>
          <w:bCs/>
        </w:rPr>
        <w:t xml:space="preserve">Scenario 3 (Balanced </w:t>
      </w:r>
      <w:proofErr w:type="spellStart"/>
      <w:r w:rsidRPr="00D662C2">
        <w:rPr>
          <w:rFonts w:ascii="Times New Roman" w:hAnsi="Times New Roman" w:cs="Times New Roman"/>
          <w:b/>
          <w:bCs/>
        </w:rPr>
        <w:t>Monetisation</w:t>
      </w:r>
      <w:proofErr w:type="spellEnd"/>
      <w:r w:rsidRPr="00D662C2">
        <w:rPr>
          <w:rFonts w:ascii="Times New Roman" w:hAnsi="Times New Roman" w:cs="Times New Roman"/>
          <w:b/>
          <w:bCs/>
        </w:rPr>
        <w:t>)</w:t>
      </w:r>
      <w:r w:rsidRPr="00D662C2">
        <w:rPr>
          <w:rFonts w:ascii="Times New Roman" w:hAnsi="Times New Roman" w:cs="Times New Roman"/>
        </w:rPr>
        <w:t xml:space="preserve"> scores highest in this note's own qualitative framework, primarily because Section 5's gas balance suggests there is no need to choose starkly between LNG and power in the near term sufficient currently-flared/reinjected gas appears to exist to support a meaningful expansion of domestic gas-to-power without curtailing existing or near-term LNG volumes, provided the necessary field-specific gathering and processing infrastructure (Section 4) is built.</w:t>
      </w:r>
    </w:p>
    <w:p w14:paraId="48162776" w14:textId="24846CD9" w:rsidR="00D662C2" w:rsidRPr="00D662C2" w:rsidRDefault="00D662C2" w:rsidP="00D662C2">
      <w:pPr>
        <w:jc w:val="both"/>
        <w:rPr>
          <w:rFonts w:ascii="Times New Roman" w:hAnsi="Times New Roman" w:cs="Times New Roman"/>
        </w:rPr>
      </w:pPr>
    </w:p>
    <w:p w14:paraId="14F4B43C"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11. Power Generation Expansion Requirements</w:t>
      </w:r>
    </w:p>
    <w:p w14:paraId="0AB31786"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Using the Section 3 benchmark demand projections and the Section 7 gas-to-power conversion ratios:</w:t>
      </w:r>
    </w:p>
    <w:tbl>
      <w:tblPr>
        <w:tblStyle w:val="TableGrid"/>
        <w:tblW w:w="0" w:type="auto"/>
        <w:tblLook w:val="04A0" w:firstRow="1" w:lastRow="0" w:firstColumn="1" w:lastColumn="0" w:noHBand="0" w:noVBand="1"/>
      </w:tblPr>
      <w:tblGrid>
        <w:gridCol w:w="2271"/>
        <w:gridCol w:w="2023"/>
        <w:gridCol w:w="1676"/>
        <w:gridCol w:w="3380"/>
      </w:tblGrid>
      <w:tr w:rsidR="00D662C2" w:rsidRPr="00D662C2" w14:paraId="0055E602" w14:textId="77777777" w:rsidTr="00FA12F0">
        <w:tc>
          <w:tcPr>
            <w:tcW w:w="0" w:type="auto"/>
            <w:hideMark/>
          </w:tcPr>
          <w:p w14:paraId="139A2C3A"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Milestone</w:t>
            </w:r>
          </w:p>
        </w:tc>
        <w:tc>
          <w:tcPr>
            <w:tcW w:w="0" w:type="auto"/>
            <w:hideMark/>
          </w:tcPr>
          <w:p w14:paraId="1C9F578F"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Additional MW required (benchmark, cumulative vs. 2021 base)</w:t>
            </w:r>
          </w:p>
        </w:tc>
        <w:tc>
          <w:tcPr>
            <w:tcW w:w="0" w:type="auto"/>
            <w:hideMark/>
          </w:tcPr>
          <w:p w14:paraId="27EEBC0D"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Indicative additional gas requirement</w:t>
            </w:r>
          </w:p>
        </w:tc>
        <w:tc>
          <w:tcPr>
            <w:tcW w:w="0" w:type="auto"/>
            <w:hideMark/>
          </w:tcPr>
          <w:p w14:paraId="0CB113EB"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Most viable development location</w:t>
            </w:r>
          </w:p>
        </w:tc>
      </w:tr>
      <w:tr w:rsidR="00D662C2" w:rsidRPr="00D662C2" w14:paraId="35AC4FBD" w14:textId="77777777" w:rsidTr="00FA12F0">
        <w:tc>
          <w:tcPr>
            <w:tcW w:w="0" w:type="auto"/>
            <w:hideMark/>
          </w:tcPr>
          <w:p w14:paraId="7A6580B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To meet benchmark 2030 peak demand (~750–850 MW) against a 2021 available capacity of ~570–575 MW</w:t>
            </w:r>
          </w:p>
        </w:tc>
        <w:tc>
          <w:tcPr>
            <w:tcW w:w="0" w:type="auto"/>
            <w:hideMark/>
          </w:tcPr>
          <w:p w14:paraId="2307C9D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~180–280 MW</w:t>
            </w:r>
          </w:p>
        </w:tc>
        <w:tc>
          <w:tcPr>
            <w:tcW w:w="0" w:type="auto"/>
            <w:hideMark/>
          </w:tcPr>
          <w:p w14:paraId="7CD731C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~20–32 </w:t>
            </w:r>
            <w:proofErr w:type="spellStart"/>
            <w:r w:rsidRPr="00D662C2">
              <w:rPr>
                <w:rFonts w:ascii="Times New Roman" w:hAnsi="Times New Roman" w:cs="Times New Roman"/>
                <w:sz w:val="22"/>
                <w:szCs w:val="22"/>
              </w:rPr>
              <w:t>mmscfd</w:t>
            </w:r>
            <w:proofErr w:type="spellEnd"/>
            <w:r w:rsidRPr="00D662C2">
              <w:rPr>
                <w:rFonts w:ascii="Times New Roman" w:hAnsi="Times New Roman" w:cs="Times New Roman"/>
                <w:sz w:val="22"/>
                <w:szCs w:val="22"/>
              </w:rPr>
              <w:t xml:space="preserve"> (CCGT basis)</w:t>
            </w:r>
          </w:p>
        </w:tc>
        <w:tc>
          <w:tcPr>
            <w:tcW w:w="0" w:type="auto"/>
            <w:hideMark/>
          </w:tcPr>
          <w:p w14:paraId="669D254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Pointe-Noire (CEC site expansion/combined-cycle conversion) — closest to existing Marine XII/</w:t>
            </w:r>
            <w:proofErr w:type="spellStart"/>
            <w:r w:rsidRPr="00D662C2">
              <w:rPr>
                <w:rFonts w:ascii="Times New Roman" w:hAnsi="Times New Roman" w:cs="Times New Roman"/>
                <w:sz w:val="22"/>
                <w:szCs w:val="22"/>
              </w:rPr>
              <w:t>M'Boundi</w:t>
            </w:r>
            <w:proofErr w:type="spellEnd"/>
            <w:r w:rsidRPr="00D662C2">
              <w:rPr>
                <w:rFonts w:ascii="Times New Roman" w:hAnsi="Times New Roman" w:cs="Times New Roman"/>
                <w:sz w:val="22"/>
                <w:szCs w:val="22"/>
              </w:rPr>
              <w:t xml:space="preserve"> gathering infrastructure</w:t>
            </w:r>
          </w:p>
        </w:tc>
      </w:tr>
      <w:tr w:rsidR="00D662C2" w:rsidRPr="00D662C2" w14:paraId="2A958FBB" w14:textId="77777777" w:rsidTr="00FA12F0">
        <w:tc>
          <w:tcPr>
            <w:tcW w:w="0" w:type="auto"/>
            <w:hideMark/>
          </w:tcPr>
          <w:p w14:paraId="2E7BE6E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To meet benchmark 2035 peak demand (~950–1,150 MW)</w:t>
            </w:r>
          </w:p>
        </w:tc>
        <w:tc>
          <w:tcPr>
            <w:tcW w:w="0" w:type="auto"/>
            <w:hideMark/>
          </w:tcPr>
          <w:p w14:paraId="6256965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~380–580 MW</w:t>
            </w:r>
            <w:r w:rsidRPr="00D662C2">
              <w:rPr>
                <w:rFonts w:ascii="Times New Roman" w:hAnsi="Times New Roman" w:cs="Times New Roman"/>
                <w:sz w:val="22"/>
                <w:szCs w:val="22"/>
              </w:rPr>
              <w:t xml:space="preserve"> cumulative</w:t>
            </w:r>
          </w:p>
        </w:tc>
        <w:tc>
          <w:tcPr>
            <w:tcW w:w="0" w:type="auto"/>
            <w:hideMark/>
          </w:tcPr>
          <w:p w14:paraId="2ED37B8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~43–66 </w:t>
            </w:r>
            <w:proofErr w:type="spellStart"/>
            <w:r w:rsidRPr="00D662C2">
              <w:rPr>
                <w:rFonts w:ascii="Times New Roman" w:hAnsi="Times New Roman" w:cs="Times New Roman"/>
                <w:sz w:val="22"/>
                <w:szCs w:val="22"/>
              </w:rPr>
              <w:t>mmscfd</w:t>
            </w:r>
            <w:proofErr w:type="spellEnd"/>
            <w:r w:rsidRPr="00D662C2">
              <w:rPr>
                <w:rFonts w:ascii="Times New Roman" w:hAnsi="Times New Roman" w:cs="Times New Roman"/>
                <w:sz w:val="22"/>
                <w:szCs w:val="22"/>
              </w:rPr>
              <w:t xml:space="preserve"> cumulative</w:t>
            </w:r>
          </w:p>
        </w:tc>
        <w:tc>
          <w:tcPr>
            <w:tcW w:w="0" w:type="auto"/>
            <w:hideMark/>
          </w:tcPr>
          <w:p w14:paraId="02379D2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Pointe-Noire (CEC 700 MW pathway) and/or CED expansion; Brazzaville corridor benefits via the existing high-voltage interconnection</w:t>
            </w:r>
          </w:p>
        </w:tc>
      </w:tr>
      <w:tr w:rsidR="00D662C2" w:rsidRPr="00D662C2" w14:paraId="7A52B77D" w14:textId="77777777" w:rsidTr="00FA12F0">
        <w:tc>
          <w:tcPr>
            <w:tcW w:w="0" w:type="auto"/>
            <w:hideMark/>
          </w:tcPr>
          <w:p w14:paraId="46B7BE3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To meet benchmark 2040 peak demand (~1,250–1,600 MW)</w:t>
            </w:r>
          </w:p>
        </w:tc>
        <w:tc>
          <w:tcPr>
            <w:tcW w:w="0" w:type="auto"/>
            <w:hideMark/>
          </w:tcPr>
          <w:p w14:paraId="120A420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~680–1,030 MW</w:t>
            </w:r>
            <w:r w:rsidRPr="00D662C2">
              <w:rPr>
                <w:rFonts w:ascii="Times New Roman" w:hAnsi="Times New Roman" w:cs="Times New Roman"/>
                <w:sz w:val="22"/>
                <w:szCs w:val="22"/>
              </w:rPr>
              <w:t xml:space="preserve"> cumulative</w:t>
            </w:r>
          </w:p>
        </w:tc>
        <w:tc>
          <w:tcPr>
            <w:tcW w:w="0" w:type="auto"/>
            <w:hideMark/>
          </w:tcPr>
          <w:p w14:paraId="2E945A9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~78–118 </w:t>
            </w:r>
            <w:proofErr w:type="spellStart"/>
            <w:r w:rsidRPr="00D662C2">
              <w:rPr>
                <w:rFonts w:ascii="Times New Roman" w:hAnsi="Times New Roman" w:cs="Times New Roman"/>
                <w:sz w:val="22"/>
                <w:szCs w:val="22"/>
              </w:rPr>
              <w:t>mmscfd</w:t>
            </w:r>
            <w:proofErr w:type="spellEnd"/>
            <w:r w:rsidRPr="00D662C2">
              <w:rPr>
                <w:rFonts w:ascii="Times New Roman" w:hAnsi="Times New Roman" w:cs="Times New Roman"/>
                <w:sz w:val="22"/>
                <w:szCs w:val="22"/>
              </w:rPr>
              <w:t xml:space="preserve"> cumulative</w:t>
            </w:r>
          </w:p>
        </w:tc>
        <w:tc>
          <w:tcPr>
            <w:tcW w:w="0" w:type="auto"/>
            <w:hideMark/>
          </w:tcPr>
          <w:p w14:paraId="0C642E5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above, plus potential new SEZ-linked capacity if the proposed 1,000 MW Pointe-Noire plant proceeds</w:t>
            </w:r>
          </w:p>
        </w:tc>
      </w:tr>
    </w:tbl>
    <w:p w14:paraId="69DB50AE" w14:textId="77777777" w:rsidR="00FA12F0" w:rsidRDefault="00FA12F0" w:rsidP="00D662C2">
      <w:pPr>
        <w:jc w:val="both"/>
        <w:rPr>
          <w:rFonts w:ascii="Times New Roman" w:hAnsi="Times New Roman" w:cs="Times New Roman"/>
          <w:b/>
          <w:bCs/>
        </w:rPr>
      </w:pPr>
    </w:p>
    <w:p w14:paraId="5256283A" w14:textId="4B71DA95"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lastRenderedPageBreak/>
        <w:t>Transmission and distribution:</w:t>
      </w:r>
      <w:r w:rsidRPr="00D662C2">
        <w:rPr>
          <w:rFonts w:ascii="Times New Roman" w:hAnsi="Times New Roman" w:cs="Times New Roman"/>
        </w:rPr>
        <w:t xml:space="preserve"> given the World Bank's finding of 42% T&amp;D losses (versus a 22% Sub-Saharan African average), </w:t>
      </w:r>
      <w:r w:rsidRPr="00D662C2">
        <w:rPr>
          <w:rFonts w:ascii="Times New Roman" w:hAnsi="Times New Roman" w:cs="Times New Roman"/>
          <w:b/>
          <w:bCs/>
        </w:rPr>
        <w:t>a material share of any new generation investment's value would be captured by parallel investment in transmission/distribution rehabilitation</w:t>
      </w:r>
      <w:r w:rsidRPr="00D662C2">
        <w:rPr>
          <w:rFonts w:ascii="Times New Roman" w:hAnsi="Times New Roman" w:cs="Times New Roman"/>
        </w:rPr>
        <w:t xml:space="preserve">, not generation capacity alone — a point not to be overlooked in </w:t>
      </w:r>
      <w:proofErr w:type="spellStart"/>
      <w:r w:rsidRPr="00D662C2">
        <w:rPr>
          <w:rFonts w:ascii="Times New Roman" w:hAnsi="Times New Roman" w:cs="Times New Roman"/>
        </w:rPr>
        <w:t>prioritisation</w:t>
      </w:r>
      <w:proofErr w:type="spellEnd"/>
      <w:r w:rsidRPr="00D662C2">
        <w:rPr>
          <w:rFonts w:ascii="Times New Roman" w:hAnsi="Times New Roman" w:cs="Times New Roman"/>
        </w:rPr>
        <w:t>, since new generation capacity added to a lossy grid delivers proportionally less usable electricity than the same capacity on a well-maintained grid.</w:t>
      </w:r>
    </w:p>
    <w:p w14:paraId="4E520F9D"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Most viable locations:</w:t>
      </w:r>
      <w:r w:rsidRPr="00D662C2">
        <w:rPr>
          <w:rFonts w:ascii="Times New Roman" w:hAnsi="Times New Roman" w:cs="Times New Roman"/>
        </w:rPr>
        <w:t xml:space="preserve"> Pointe-Noire is clearly </w:t>
      </w:r>
      <w:proofErr w:type="spellStart"/>
      <w:r w:rsidRPr="00D662C2">
        <w:rPr>
          <w:rFonts w:ascii="Times New Roman" w:hAnsi="Times New Roman" w:cs="Times New Roman"/>
        </w:rPr>
        <w:t>favoured</w:t>
      </w:r>
      <w:proofErr w:type="spellEnd"/>
      <w:r w:rsidRPr="00D662C2">
        <w:rPr>
          <w:rFonts w:ascii="Times New Roman" w:hAnsi="Times New Roman" w:cs="Times New Roman"/>
        </w:rPr>
        <w:t xml:space="preserve"> given its proximity to Marine XII and </w:t>
      </w:r>
      <w:proofErr w:type="spellStart"/>
      <w:r w:rsidRPr="00D662C2">
        <w:rPr>
          <w:rFonts w:ascii="Times New Roman" w:hAnsi="Times New Roman" w:cs="Times New Roman"/>
        </w:rPr>
        <w:t>M'Boundi</w:t>
      </w:r>
      <w:proofErr w:type="spellEnd"/>
      <w:r w:rsidRPr="00D662C2">
        <w:rPr>
          <w:rFonts w:ascii="Times New Roman" w:hAnsi="Times New Roman" w:cs="Times New Roman"/>
        </w:rPr>
        <w:t xml:space="preserve"> gas infrastructure, the existing CEC/CED asset base, and the reference to a Pointe-Noire Special Economic Zone as a demand anchor (Section 12). Brazzaville benefits primarily via the existing high-voltage transmission link rather than as a new generation site, absent a dedicated Brazzaville-area gas source.</w:t>
      </w:r>
    </w:p>
    <w:p w14:paraId="3D2DCC02" w14:textId="1DB31927" w:rsidR="00D662C2" w:rsidRPr="00D662C2" w:rsidRDefault="00D662C2" w:rsidP="00D662C2">
      <w:pPr>
        <w:jc w:val="both"/>
        <w:rPr>
          <w:rFonts w:ascii="Times New Roman" w:hAnsi="Times New Roman" w:cs="Times New Roman"/>
        </w:rPr>
      </w:pPr>
    </w:p>
    <w:p w14:paraId="20F837A1"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12. Industrial Gas-to-Power Opportunities</w:t>
      </w:r>
    </w:p>
    <w:p w14:paraId="6D7AD93A"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Data limitation:</w:t>
      </w:r>
      <w:r w:rsidRPr="00D662C2">
        <w:rPr>
          <w:rFonts w:ascii="Times New Roman" w:hAnsi="Times New Roman" w:cs="Times New Roman"/>
        </w:rPr>
        <w:t xml:space="preserve"> disaggregated electricity demand estimates for specific Congolese industrial sectors (mining, cement, </w:t>
      </w:r>
      <w:proofErr w:type="spellStart"/>
      <w:r w:rsidRPr="00D662C2">
        <w:rPr>
          <w:rFonts w:ascii="Times New Roman" w:hAnsi="Times New Roman" w:cs="Times New Roman"/>
        </w:rPr>
        <w:t>fertiliser</w:t>
      </w:r>
      <w:proofErr w:type="spellEnd"/>
      <w:r w:rsidRPr="00D662C2">
        <w:rPr>
          <w:rFonts w:ascii="Times New Roman" w:hAnsi="Times New Roman" w:cs="Times New Roman"/>
        </w:rPr>
        <w:t>, etc.) were not identified in the sources reviewed. The assessment below is therefore qualitative, using the one concrete anchor point available (the Pointe-Noire Special Economic Zone).</w:t>
      </w:r>
    </w:p>
    <w:tbl>
      <w:tblPr>
        <w:tblStyle w:val="TableGrid"/>
        <w:tblW w:w="0" w:type="auto"/>
        <w:tblLook w:val="04A0" w:firstRow="1" w:lastRow="0" w:firstColumn="1" w:lastColumn="0" w:noHBand="0" w:noVBand="1"/>
      </w:tblPr>
      <w:tblGrid>
        <w:gridCol w:w="2551"/>
        <w:gridCol w:w="4612"/>
        <w:gridCol w:w="2187"/>
      </w:tblGrid>
      <w:tr w:rsidR="00D662C2" w:rsidRPr="00D662C2" w14:paraId="679652CB" w14:textId="77777777" w:rsidTr="00FA12F0">
        <w:tc>
          <w:tcPr>
            <w:tcW w:w="0" w:type="auto"/>
            <w:hideMark/>
          </w:tcPr>
          <w:p w14:paraId="1CEC79B0"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Sector</w:t>
            </w:r>
          </w:p>
        </w:tc>
        <w:tc>
          <w:tcPr>
            <w:tcW w:w="0" w:type="auto"/>
            <w:hideMark/>
          </w:tcPr>
          <w:p w14:paraId="370512E7"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Potential Fit for Congo</w:t>
            </w:r>
          </w:p>
        </w:tc>
        <w:tc>
          <w:tcPr>
            <w:tcW w:w="0" w:type="auto"/>
            <w:hideMark/>
          </w:tcPr>
          <w:p w14:paraId="58B30A13"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Basis</w:t>
            </w:r>
          </w:p>
        </w:tc>
      </w:tr>
      <w:tr w:rsidR="00D662C2" w:rsidRPr="00D662C2" w14:paraId="48921039" w14:textId="77777777" w:rsidTr="00FA12F0">
        <w:tc>
          <w:tcPr>
            <w:tcW w:w="0" w:type="auto"/>
            <w:hideMark/>
          </w:tcPr>
          <w:p w14:paraId="0CF3121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Petrochemicals/</w:t>
            </w:r>
            <w:proofErr w:type="spellStart"/>
            <w:r w:rsidRPr="00D662C2">
              <w:rPr>
                <w:rFonts w:ascii="Times New Roman" w:hAnsi="Times New Roman" w:cs="Times New Roman"/>
                <w:sz w:val="22"/>
                <w:szCs w:val="22"/>
              </w:rPr>
              <w:t>fertiliser</w:t>
            </w:r>
            <w:proofErr w:type="spellEnd"/>
          </w:p>
        </w:tc>
        <w:tc>
          <w:tcPr>
            <w:tcW w:w="0" w:type="auto"/>
            <w:hideMark/>
          </w:tcPr>
          <w:p w14:paraId="64089AE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High — the government has referenced a broader "gas master plan and gas code" and interest in LPG/butane/propane </w:t>
            </w:r>
            <w:proofErr w:type="spellStart"/>
            <w:r w:rsidRPr="00D662C2">
              <w:rPr>
                <w:rFonts w:ascii="Times New Roman" w:hAnsi="Times New Roman" w:cs="Times New Roman"/>
                <w:sz w:val="22"/>
                <w:szCs w:val="22"/>
              </w:rPr>
              <w:t>monetisation</w:t>
            </w:r>
            <w:proofErr w:type="spellEnd"/>
            <w:r w:rsidRPr="00D662C2">
              <w:rPr>
                <w:rFonts w:ascii="Times New Roman" w:hAnsi="Times New Roman" w:cs="Times New Roman"/>
                <w:sz w:val="22"/>
                <w:szCs w:val="22"/>
              </w:rPr>
              <w:t xml:space="preserve"> (Banga Kayo), which typically pair with reliable co-located power</w:t>
            </w:r>
          </w:p>
        </w:tc>
        <w:tc>
          <w:tcPr>
            <w:tcW w:w="0" w:type="auto"/>
            <w:hideMark/>
          </w:tcPr>
          <w:p w14:paraId="392B2E0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Republic of Congo Ministry of Hydrocarbons statements (2024)</w:t>
            </w:r>
          </w:p>
        </w:tc>
      </w:tr>
      <w:tr w:rsidR="00D662C2" w:rsidRPr="00D662C2" w14:paraId="69B5092C" w14:textId="77777777" w:rsidTr="00FA12F0">
        <w:tc>
          <w:tcPr>
            <w:tcW w:w="0" w:type="auto"/>
            <w:hideMark/>
          </w:tcPr>
          <w:p w14:paraId="2685255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Industrial parks / SEZ (Pointe-Noire)</w:t>
            </w:r>
          </w:p>
        </w:tc>
        <w:tc>
          <w:tcPr>
            <w:tcW w:w="0" w:type="auto"/>
            <w:hideMark/>
          </w:tcPr>
          <w:p w14:paraId="5CF62AC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 — explicitly referenced as a target beneficiary of the proposed 1,000 MW gas plant discussion with Chinese developers</w:t>
            </w:r>
          </w:p>
        </w:tc>
        <w:tc>
          <w:tcPr>
            <w:tcW w:w="0" w:type="auto"/>
            <w:hideMark/>
          </w:tcPr>
          <w:p w14:paraId="6AD432F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Energy Capital &amp; Power reporting</w:t>
            </w:r>
          </w:p>
        </w:tc>
      </w:tr>
      <w:tr w:rsidR="00D662C2" w:rsidRPr="00D662C2" w14:paraId="4DF2E1B4" w14:textId="77777777" w:rsidTr="00FA12F0">
        <w:tc>
          <w:tcPr>
            <w:tcW w:w="0" w:type="auto"/>
            <w:hideMark/>
          </w:tcPr>
          <w:p w14:paraId="612DC12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Cement/manufacturing</w:t>
            </w:r>
          </w:p>
        </w:tc>
        <w:tc>
          <w:tcPr>
            <w:tcW w:w="0" w:type="auto"/>
            <w:hideMark/>
          </w:tcPr>
          <w:p w14:paraId="33583C7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Plausible but not evidenced with Congo-specific data in sources reviewed</w:t>
            </w:r>
          </w:p>
        </w:tc>
        <w:tc>
          <w:tcPr>
            <w:tcW w:w="0" w:type="auto"/>
            <w:hideMark/>
          </w:tcPr>
          <w:p w14:paraId="5B14F47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disclosed</w:t>
            </w:r>
          </w:p>
        </w:tc>
      </w:tr>
      <w:tr w:rsidR="00D662C2" w:rsidRPr="00D662C2" w14:paraId="190E811B" w14:textId="77777777" w:rsidTr="00FA12F0">
        <w:tc>
          <w:tcPr>
            <w:tcW w:w="0" w:type="auto"/>
            <w:hideMark/>
          </w:tcPr>
          <w:p w14:paraId="79C98EE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Mining</w:t>
            </w:r>
          </w:p>
        </w:tc>
        <w:tc>
          <w:tcPr>
            <w:tcW w:w="0" w:type="auto"/>
            <w:hideMark/>
          </w:tcPr>
          <w:p w14:paraId="447B3B6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Congo's mining sector is smaller than in </w:t>
            </w:r>
            <w:proofErr w:type="spellStart"/>
            <w:r w:rsidRPr="00D662C2">
              <w:rPr>
                <w:rFonts w:ascii="Times New Roman" w:hAnsi="Times New Roman" w:cs="Times New Roman"/>
                <w:sz w:val="22"/>
                <w:szCs w:val="22"/>
              </w:rPr>
              <w:t>neighbouring</w:t>
            </w:r>
            <w:proofErr w:type="spellEnd"/>
            <w:r w:rsidRPr="00D662C2">
              <w:rPr>
                <w:rFonts w:ascii="Times New Roman" w:hAnsi="Times New Roman" w:cs="Times New Roman"/>
                <w:sz w:val="22"/>
                <w:szCs w:val="22"/>
              </w:rPr>
              <w:t xml:space="preserve"> DRC; no specific gas-to-power linkage identified in sources reviewed</w:t>
            </w:r>
          </w:p>
        </w:tc>
        <w:tc>
          <w:tcPr>
            <w:tcW w:w="0" w:type="auto"/>
            <w:hideMark/>
          </w:tcPr>
          <w:p w14:paraId="46A3E82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disclosed</w:t>
            </w:r>
          </w:p>
        </w:tc>
      </w:tr>
      <w:tr w:rsidR="00D662C2" w:rsidRPr="00D662C2" w14:paraId="54610EA1" w14:textId="77777777" w:rsidTr="00FA12F0">
        <w:tc>
          <w:tcPr>
            <w:tcW w:w="0" w:type="auto"/>
            <w:hideMark/>
          </w:tcPr>
          <w:p w14:paraId="5C7BA73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Large-scale agriculture/processing</w:t>
            </w:r>
          </w:p>
        </w:tc>
        <w:tc>
          <w:tcPr>
            <w:tcW w:w="0" w:type="auto"/>
            <w:hideMark/>
          </w:tcPr>
          <w:p w14:paraId="0ECB1B5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Eni's </w:t>
            </w:r>
            <w:proofErr w:type="spellStart"/>
            <w:r w:rsidRPr="00D662C2">
              <w:rPr>
                <w:rFonts w:ascii="Times New Roman" w:hAnsi="Times New Roman" w:cs="Times New Roman"/>
                <w:sz w:val="22"/>
                <w:szCs w:val="22"/>
              </w:rPr>
              <w:t>Loudima</w:t>
            </w:r>
            <w:proofErr w:type="spellEnd"/>
            <w:r w:rsidRPr="00D662C2">
              <w:rPr>
                <w:rFonts w:ascii="Times New Roman" w:hAnsi="Times New Roman" w:cs="Times New Roman"/>
                <w:sz w:val="22"/>
                <w:szCs w:val="22"/>
              </w:rPr>
              <w:t xml:space="preserve"> </w:t>
            </w:r>
            <w:proofErr w:type="spellStart"/>
            <w:r w:rsidRPr="00D662C2">
              <w:rPr>
                <w:rFonts w:ascii="Times New Roman" w:hAnsi="Times New Roman" w:cs="Times New Roman"/>
                <w:sz w:val="22"/>
                <w:szCs w:val="22"/>
              </w:rPr>
              <w:t>agri</w:t>
            </w:r>
            <w:proofErr w:type="spellEnd"/>
            <w:r w:rsidRPr="00D662C2">
              <w:rPr>
                <w:rFonts w:ascii="Times New Roman" w:hAnsi="Times New Roman" w:cs="Times New Roman"/>
                <w:sz w:val="22"/>
                <w:szCs w:val="22"/>
              </w:rPr>
              <w:t>-hub (vegetable oil extraction for biofuels) indicates some agro-industrial development activity, though this is not itself gas-fired-power-dependent per the source reviewed</w:t>
            </w:r>
          </w:p>
        </w:tc>
        <w:tc>
          <w:tcPr>
            <w:tcW w:w="0" w:type="auto"/>
            <w:hideMark/>
          </w:tcPr>
          <w:p w14:paraId="20E38B3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Eni corporate disclosure</w:t>
            </w:r>
          </w:p>
        </w:tc>
      </w:tr>
    </w:tbl>
    <w:p w14:paraId="2A7B192C"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lastRenderedPageBreak/>
        <w:t>Assessment:</w:t>
      </w:r>
      <w:r w:rsidRPr="00D662C2">
        <w:rPr>
          <w:rFonts w:ascii="Times New Roman" w:hAnsi="Times New Roman" w:cs="Times New Roman"/>
        </w:rPr>
        <w:t xml:space="preserve"> reliable gas-fired electricity would plausibly improve industrial competitiveness and reduce diesel dependency for Congolese industry, consistent with the general Sub-Saharan African pattern where unreliable grid power forces businesses into costly captive diesel generation — but </w:t>
      </w:r>
      <w:r w:rsidRPr="00D662C2">
        <w:rPr>
          <w:rFonts w:ascii="Times New Roman" w:hAnsi="Times New Roman" w:cs="Times New Roman"/>
          <w:b/>
          <w:bCs/>
        </w:rPr>
        <w:t>this note cannot quantify the specific megawatt-hours of latent industrial demand without sector-specific data that was not identified in the sources reviewed</w:t>
      </w:r>
      <w:r w:rsidRPr="00D662C2">
        <w:rPr>
          <w:rFonts w:ascii="Times New Roman" w:hAnsi="Times New Roman" w:cs="Times New Roman"/>
        </w:rPr>
        <w:t>, and this is stated as an explicit data gap rather than estimated.</w:t>
      </w:r>
    </w:p>
    <w:p w14:paraId="4F8168ED" w14:textId="42DED0E4" w:rsidR="00D662C2" w:rsidRPr="00D662C2" w:rsidRDefault="00D662C2" w:rsidP="00D662C2">
      <w:pPr>
        <w:jc w:val="both"/>
        <w:rPr>
          <w:rFonts w:ascii="Times New Roman" w:hAnsi="Times New Roman" w:cs="Times New Roman"/>
        </w:rPr>
      </w:pPr>
    </w:p>
    <w:p w14:paraId="32A331ED"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13. Gas Supply and Power Plant Economics</w:t>
      </w:r>
    </w:p>
    <w:p w14:paraId="39BF252B"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b/>
          <w:bCs/>
        </w:rPr>
        <w:t>Data limitation:</w:t>
      </w:r>
      <w:r w:rsidRPr="00D662C2">
        <w:rPr>
          <w:rFonts w:ascii="Times New Roman" w:hAnsi="Times New Roman" w:cs="Times New Roman"/>
        </w:rPr>
        <w:t xml:space="preserve"> no project-specific CAPEX, financing terms, or revenue data for a prospective Congo CCGT expansion were identified. The table below is an illustrative techno-economic benchmark model only, using the Section 9 LCOE assumptions, and explicitly should not be read as a bankable project appraisal.</w:t>
      </w:r>
    </w:p>
    <w:tbl>
      <w:tblPr>
        <w:tblStyle w:val="TableGrid"/>
        <w:tblW w:w="0" w:type="auto"/>
        <w:tblLook w:val="04A0" w:firstRow="1" w:lastRow="0" w:firstColumn="1" w:lastColumn="0" w:noHBand="0" w:noVBand="1"/>
      </w:tblPr>
      <w:tblGrid>
        <w:gridCol w:w="2512"/>
        <w:gridCol w:w="3774"/>
        <w:gridCol w:w="1529"/>
        <w:gridCol w:w="1535"/>
      </w:tblGrid>
      <w:tr w:rsidR="00D662C2" w:rsidRPr="00D662C2" w14:paraId="0F3CD58D" w14:textId="77777777" w:rsidTr="00FA12F0">
        <w:tc>
          <w:tcPr>
            <w:tcW w:w="0" w:type="auto"/>
            <w:hideMark/>
          </w:tcPr>
          <w:p w14:paraId="7501B4D1"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Parameter</w:t>
            </w:r>
          </w:p>
        </w:tc>
        <w:tc>
          <w:tcPr>
            <w:tcW w:w="0" w:type="auto"/>
            <w:hideMark/>
          </w:tcPr>
          <w:p w14:paraId="5D8299BB"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250 MW (benchmark)</w:t>
            </w:r>
          </w:p>
        </w:tc>
        <w:tc>
          <w:tcPr>
            <w:tcW w:w="0" w:type="auto"/>
            <w:hideMark/>
          </w:tcPr>
          <w:p w14:paraId="765072AC"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500 MW (benchmark)</w:t>
            </w:r>
          </w:p>
        </w:tc>
        <w:tc>
          <w:tcPr>
            <w:tcW w:w="0" w:type="auto"/>
            <w:hideMark/>
          </w:tcPr>
          <w:p w14:paraId="074C253A"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1,000 MW (benchmark)</w:t>
            </w:r>
          </w:p>
        </w:tc>
      </w:tr>
      <w:tr w:rsidR="00D662C2" w:rsidRPr="00D662C2" w14:paraId="56A8779D" w14:textId="77777777" w:rsidTr="00FA12F0">
        <w:tc>
          <w:tcPr>
            <w:tcW w:w="0" w:type="auto"/>
            <w:hideMark/>
          </w:tcPr>
          <w:p w14:paraId="2BD92D8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CAPEX (at $1,100,000/MW benchmark)</w:t>
            </w:r>
          </w:p>
        </w:tc>
        <w:tc>
          <w:tcPr>
            <w:tcW w:w="0" w:type="auto"/>
            <w:hideMark/>
          </w:tcPr>
          <w:p w14:paraId="45B493C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~$275m</w:t>
            </w:r>
          </w:p>
        </w:tc>
        <w:tc>
          <w:tcPr>
            <w:tcW w:w="0" w:type="auto"/>
            <w:hideMark/>
          </w:tcPr>
          <w:p w14:paraId="3B96C75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~$550m</w:t>
            </w:r>
          </w:p>
        </w:tc>
        <w:tc>
          <w:tcPr>
            <w:tcW w:w="0" w:type="auto"/>
            <w:hideMark/>
          </w:tcPr>
          <w:p w14:paraId="2269F9F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~$1,100m</w:t>
            </w:r>
          </w:p>
        </w:tc>
      </w:tr>
      <w:tr w:rsidR="00D662C2" w:rsidRPr="00D662C2" w14:paraId="3A6AC542" w14:textId="77777777" w:rsidTr="00FA12F0">
        <w:tc>
          <w:tcPr>
            <w:tcW w:w="0" w:type="auto"/>
            <w:hideMark/>
          </w:tcPr>
          <w:p w14:paraId="1801A2E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cost (at $1.50/MMBtu domestic benchmark, annual)</w:t>
            </w:r>
          </w:p>
        </w:tc>
        <w:tc>
          <w:tcPr>
            <w:tcW w:w="0" w:type="auto"/>
            <w:hideMark/>
          </w:tcPr>
          <w:p w14:paraId="11D3E5E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~$16m/yr (based on Section 7 gas requirement of ~10.4 Bcf/yr)</w:t>
            </w:r>
          </w:p>
        </w:tc>
        <w:tc>
          <w:tcPr>
            <w:tcW w:w="0" w:type="auto"/>
            <w:hideMark/>
          </w:tcPr>
          <w:p w14:paraId="0927317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~$31m/yr (~20.9 Bcf/yr)</w:t>
            </w:r>
          </w:p>
        </w:tc>
        <w:tc>
          <w:tcPr>
            <w:tcW w:w="0" w:type="auto"/>
            <w:hideMark/>
          </w:tcPr>
          <w:p w14:paraId="3FA1BA0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~$63m/yr (~41.7 Bcf/yr)</w:t>
            </w:r>
          </w:p>
        </w:tc>
      </w:tr>
      <w:tr w:rsidR="00D662C2" w:rsidRPr="00D662C2" w14:paraId="00CF457C" w14:textId="77777777" w:rsidTr="00FA12F0">
        <w:tc>
          <w:tcPr>
            <w:tcW w:w="0" w:type="auto"/>
            <w:hideMark/>
          </w:tcPr>
          <w:p w14:paraId="2D1E549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Pipeline/gathering cost</w:t>
            </w:r>
          </w:p>
        </w:tc>
        <w:tc>
          <w:tcPr>
            <w:tcW w:w="0" w:type="auto"/>
            <w:hideMark/>
          </w:tcPr>
          <w:p w14:paraId="7F9FCFA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Not quantifiable without a site-specific route/tie-in study — flagged as a data gap, not estimated</w:t>
            </w:r>
          </w:p>
        </w:tc>
        <w:tc>
          <w:tcPr>
            <w:tcW w:w="0" w:type="auto"/>
            <w:hideMark/>
          </w:tcPr>
          <w:p w14:paraId="30ED958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above</w:t>
            </w:r>
          </w:p>
        </w:tc>
        <w:tc>
          <w:tcPr>
            <w:tcW w:w="0" w:type="auto"/>
            <w:hideMark/>
          </w:tcPr>
          <w:p w14:paraId="258F2D7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As above</w:t>
            </w:r>
          </w:p>
        </w:tc>
      </w:tr>
      <w:tr w:rsidR="00D662C2" w:rsidRPr="00D662C2" w14:paraId="1BF1D7CC" w14:textId="77777777" w:rsidTr="00FA12F0">
        <w:tc>
          <w:tcPr>
            <w:tcW w:w="0" w:type="auto"/>
            <w:hideMark/>
          </w:tcPr>
          <w:p w14:paraId="2AA95C1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Plant efficiency (heat rate)</w:t>
            </w:r>
          </w:p>
        </w:tc>
        <w:tc>
          <w:tcPr>
            <w:tcW w:w="0" w:type="auto"/>
            <w:hideMark/>
          </w:tcPr>
          <w:p w14:paraId="3E3DF6F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7,000 Btu/kWh (benchmark)</w:t>
            </w:r>
          </w:p>
        </w:tc>
        <w:tc>
          <w:tcPr>
            <w:tcW w:w="0" w:type="auto"/>
            <w:hideMark/>
          </w:tcPr>
          <w:p w14:paraId="6A37E0D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7,000 Btu/kWh</w:t>
            </w:r>
          </w:p>
        </w:tc>
        <w:tc>
          <w:tcPr>
            <w:tcW w:w="0" w:type="auto"/>
            <w:hideMark/>
          </w:tcPr>
          <w:p w14:paraId="7CBA8E4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7,000 Btu/kWh</w:t>
            </w:r>
          </w:p>
        </w:tc>
      </w:tr>
      <w:tr w:rsidR="00D662C2" w:rsidRPr="00D662C2" w14:paraId="2C7B2A6A" w14:textId="77777777" w:rsidTr="00FA12F0">
        <w:tc>
          <w:tcPr>
            <w:tcW w:w="0" w:type="auto"/>
            <w:hideMark/>
          </w:tcPr>
          <w:p w14:paraId="27F06D0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OPEX (at $8/MWh benchmark, on Section 7 generation)</w:t>
            </w:r>
          </w:p>
        </w:tc>
        <w:tc>
          <w:tcPr>
            <w:tcW w:w="0" w:type="auto"/>
            <w:hideMark/>
          </w:tcPr>
          <w:p w14:paraId="4D9356B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~$4.9m/yr</w:t>
            </w:r>
          </w:p>
        </w:tc>
        <w:tc>
          <w:tcPr>
            <w:tcW w:w="0" w:type="auto"/>
            <w:hideMark/>
          </w:tcPr>
          <w:p w14:paraId="2871CA8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~$9.8m/yr</w:t>
            </w:r>
          </w:p>
        </w:tc>
        <w:tc>
          <w:tcPr>
            <w:tcW w:w="0" w:type="auto"/>
            <w:hideMark/>
          </w:tcPr>
          <w:p w14:paraId="3072503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~$19.6m/yr</w:t>
            </w:r>
          </w:p>
        </w:tc>
      </w:tr>
      <w:tr w:rsidR="00D662C2" w:rsidRPr="00D662C2" w14:paraId="254F24D7" w14:textId="77777777" w:rsidTr="00FA12F0">
        <w:tc>
          <w:tcPr>
            <w:tcW w:w="0" w:type="auto"/>
            <w:hideMark/>
          </w:tcPr>
          <w:p w14:paraId="0C16EA5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Capacity factor</w:t>
            </w:r>
          </w:p>
        </w:tc>
        <w:tc>
          <w:tcPr>
            <w:tcW w:w="0" w:type="auto"/>
            <w:hideMark/>
          </w:tcPr>
          <w:p w14:paraId="6628F08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 (benchmark)</w:t>
            </w:r>
          </w:p>
        </w:tc>
        <w:tc>
          <w:tcPr>
            <w:tcW w:w="0" w:type="auto"/>
            <w:hideMark/>
          </w:tcPr>
          <w:p w14:paraId="4BA084F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w:t>
            </w:r>
          </w:p>
        </w:tc>
        <w:tc>
          <w:tcPr>
            <w:tcW w:w="0" w:type="auto"/>
            <w:hideMark/>
          </w:tcPr>
          <w:p w14:paraId="6819153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w:t>
            </w:r>
          </w:p>
        </w:tc>
      </w:tr>
      <w:tr w:rsidR="00D662C2" w:rsidRPr="00D662C2" w14:paraId="57B21B32" w14:textId="77777777" w:rsidTr="00FA12F0">
        <w:tc>
          <w:tcPr>
            <w:tcW w:w="0" w:type="auto"/>
            <w:hideMark/>
          </w:tcPr>
          <w:p w14:paraId="6845016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Revenue (illustrative, at a benchmark domestic tariff of $0.12/kWh — </w:t>
            </w:r>
            <w:r w:rsidRPr="00D662C2">
              <w:rPr>
                <w:rFonts w:ascii="Times New Roman" w:hAnsi="Times New Roman" w:cs="Times New Roman"/>
                <w:b/>
                <w:bCs/>
                <w:sz w:val="22"/>
                <w:szCs w:val="22"/>
              </w:rPr>
              <w:t>not a disclosed Congo tariff</w:t>
            </w:r>
            <w:r w:rsidRPr="00D662C2">
              <w:rPr>
                <w:rFonts w:ascii="Times New Roman" w:hAnsi="Times New Roman" w:cs="Times New Roman"/>
                <w:sz w:val="22"/>
                <w:szCs w:val="22"/>
              </w:rPr>
              <w:t>)</w:t>
            </w:r>
          </w:p>
        </w:tc>
        <w:tc>
          <w:tcPr>
            <w:tcW w:w="0" w:type="auto"/>
            <w:hideMark/>
          </w:tcPr>
          <w:p w14:paraId="3A52C5B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~$73.6m/yr</w:t>
            </w:r>
          </w:p>
        </w:tc>
        <w:tc>
          <w:tcPr>
            <w:tcW w:w="0" w:type="auto"/>
            <w:hideMark/>
          </w:tcPr>
          <w:p w14:paraId="1477273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~$147m/yr</w:t>
            </w:r>
          </w:p>
        </w:tc>
        <w:tc>
          <w:tcPr>
            <w:tcW w:w="0" w:type="auto"/>
            <w:hideMark/>
          </w:tcPr>
          <w:p w14:paraId="3A29266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~$294m/yr</w:t>
            </w:r>
          </w:p>
        </w:tc>
      </w:tr>
      <w:tr w:rsidR="00D662C2" w:rsidRPr="00D662C2" w14:paraId="4451C3D7" w14:textId="77777777" w:rsidTr="00FA12F0">
        <w:tc>
          <w:tcPr>
            <w:tcW w:w="0" w:type="auto"/>
            <w:hideMark/>
          </w:tcPr>
          <w:p w14:paraId="66CA43B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EBITDA (illustrative, revenue less gas cost and OPEX)</w:t>
            </w:r>
          </w:p>
        </w:tc>
        <w:tc>
          <w:tcPr>
            <w:tcW w:w="0" w:type="auto"/>
            <w:hideMark/>
          </w:tcPr>
          <w:p w14:paraId="7894118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~$52.7m/yr</w:t>
            </w:r>
          </w:p>
        </w:tc>
        <w:tc>
          <w:tcPr>
            <w:tcW w:w="0" w:type="auto"/>
            <w:hideMark/>
          </w:tcPr>
          <w:p w14:paraId="637055C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~$106m/yr</w:t>
            </w:r>
          </w:p>
        </w:tc>
        <w:tc>
          <w:tcPr>
            <w:tcW w:w="0" w:type="auto"/>
            <w:hideMark/>
          </w:tcPr>
          <w:p w14:paraId="6797C44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~$211m/yr</w:t>
            </w:r>
          </w:p>
        </w:tc>
      </w:tr>
      <w:tr w:rsidR="00D662C2" w:rsidRPr="00D662C2" w14:paraId="329DE23F" w14:textId="77777777" w:rsidTr="00FA12F0">
        <w:tc>
          <w:tcPr>
            <w:tcW w:w="0" w:type="auto"/>
            <w:hideMark/>
          </w:tcPr>
          <w:p w14:paraId="0FD2E61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NPV / IRR / Payback</w:t>
            </w:r>
          </w:p>
        </w:tc>
        <w:tc>
          <w:tcPr>
            <w:tcW w:w="0" w:type="auto"/>
            <w:hideMark/>
          </w:tcPr>
          <w:p w14:paraId="28D2228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Not calculated</w:t>
            </w:r>
            <w:r w:rsidRPr="00D662C2">
              <w:rPr>
                <w:rFonts w:ascii="Times New Roman" w:hAnsi="Times New Roman" w:cs="Times New Roman"/>
                <w:sz w:val="22"/>
                <w:szCs w:val="22"/>
              </w:rPr>
              <w:t xml:space="preserve"> — a defensible NPV/IRR requires financing structure, tax/fiscal terms, and confirmed tariff data that were not identified in sources reviewed; presenting a specific IRR here would risk manufacturing a figure not supportable by available data, which this note explicitly avoids</w:t>
            </w:r>
          </w:p>
        </w:tc>
        <w:tc>
          <w:tcPr>
            <w:tcW w:w="0" w:type="auto"/>
            <w:hideMark/>
          </w:tcPr>
          <w:p w14:paraId="2082650A" w14:textId="77777777" w:rsidR="00D662C2" w:rsidRPr="00D662C2" w:rsidRDefault="00D662C2" w:rsidP="00D662C2">
            <w:pPr>
              <w:spacing w:after="160" w:line="278" w:lineRule="auto"/>
              <w:jc w:val="both"/>
              <w:rPr>
                <w:rFonts w:ascii="Times New Roman" w:hAnsi="Times New Roman" w:cs="Times New Roman"/>
                <w:sz w:val="22"/>
                <w:szCs w:val="22"/>
              </w:rPr>
            </w:pPr>
          </w:p>
        </w:tc>
        <w:tc>
          <w:tcPr>
            <w:tcW w:w="0" w:type="auto"/>
            <w:hideMark/>
          </w:tcPr>
          <w:p w14:paraId="456AF09F" w14:textId="77777777" w:rsidR="00D662C2" w:rsidRPr="00D662C2" w:rsidRDefault="00D662C2" w:rsidP="00D662C2">
            <w:pPr>
              <w:spacing w:after="160" w:line="278" w:lineRule="auto"/>
              <w:jc w:val="both"/>
              <w:rPr>
                <w:rFonts w:ascii="Times New Roman" w:hAnsi="Times New Roman" w:cs="Times New Roman"/>
                <w:sz w:val="22"/>
                <w:szCs w:val="22"/>
              </w:rPr>
            </w:pPr>
          </w:p>
        </w:tc>
      </w:tr>
      <w:tr w:rsidR="00D662C2" w:rsidRPr="00D662C2" w14:paraId="57F5D2AA" w14:textId="77777777" w:rsidTr="00FA12F0">
        <w:tc>
          <w:tcPr>
            <w:tcW w:w="0" w:type="auto"/>
            <w:hideMark/>
          </w:tcPr>
          <w:p w14:paraId="6DFD669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LCOE</w:t>
            </w:r>
          </w:p>
        </w:tc>
        <w:tc>
          <w:tcPr>
            <w:tcW w:w="0" w:type="auto"/>
            <w:hideMark/>
          </w:tcPr>
          <w:p w14:paraId="2D55E20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~$55–65/MWh (from Section 9)</w:t>
            </w:r>
          </w:p>
        </w:tc>
        <w:tc>
          <w:tcPr>
            <w:tcW w:w="0" w:type="auto"/>
            <w:hideMark/>
          </w:tcPr>
          <w:p w14:paraId="52CC4C4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~$55–65/MWh</w:t>
            </w:r>
          </w:p>
        </w:tc>
        <w:tc>
          <w:tcPr>
            <w:tcW w:w="0" w:type="auto"/>
            <w:hideMark/>
          </w:tcPr>
          <w:p w14:paraId="0296382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~$55–65/MWh</w:t>
            </w:r>
          </w:p>
        </w:tc>
      </w:tr>
    </w:tbl>
    <w:p w14:paraId="152F2082" w14:textId="77777777" w:rsidR="00FA12F0" w:rsidRDefault="00FA12F0" w:rsidP="00D662C2">
      <w:pPr>
        <w:jc w:val="both"/>
        <w:rPr>
          <w:rFonts w:ascii="Times New Roman" w:hAnsi="Times New Roman" w:cs="Times New Roman"/>
          <w:b/>
          <w:bCs/>
        </w:rPr>
      </w:pPr>
    </w:p>
    <w:p w14:paraId="0C9FA612" w14:textId="1334587E" w:rsidR="00D662C2" w:rsidRPr="00D662C2" w:rsidRDefault="00D662C2" w:rsidP="00D662C2">
      <w:pPr>
        <w:jc w:val="both"/>
        <w:rPr>
          <w:rFonts w:ascii="Times New Roman" w:hAnsi="Times New Roman" w:cs="Times New Roman"/>
        </w:rPr>
      </w:pPr>
      <w:r w:rsidRPr="00D662C2">
        <w:rPr>
          <w:rFonts w:ascii="Times New Roman" w:hAnsi="Times New Roman" w:cs="Times New Roman"/>
        </w:rPr>
        <w:t>Illustrative payback observation</w:t>
      </w:r>
      <w:r w:rsidRPr="00D662C2">
        <w:rPr>
          <w:rFonts w:ascii="Times New Roman" w:hAnsi="Times New Roman" w:cs="Times New Roman"/>
          <w:b/>
          <w:bCs/>
        </w:rPr>
        <w:t xml:space="preserve"> </w:t>
      </w:r>
      <w:r w:rsidRPr="00D662C2">
        <w:rPr>
          <w:rFonts w:ascii="Times New Roman" w:hAnsi="Times New Roman" w:cs="Times New Roman"/>
        </w:rPr>
        <w:t xml:space="preserve">on the assumptions above, a 500 MW plant's CAPEX (~$550m) against illustrative annual EBITDA (~$106m/yr) implies a simple, undiscounted payback of roughly </w:t>
      </w:r>
      <w:r w:rsidRPr="00D662C2">
        <w:rPr>
          <w:rFonts w:ascii="Times New Roman" w:hAnsi="Times New Roman" w:cs="Times New Roman"/>
          <w:b/>
          <w:bCs/>
        </w:rPr>
        <w:t>5.2 years</w:t>
      </w:r>
      <w:r w:rsidRPr="00D662C2">
        <w:rPr>
          <w:rFonts w:ascii="Times New Roman" w:hAnsi="Times New Roman" w:cs="Times New Roman"/>
        </w:rPr>
        <w:t xml:space="preserve"> before financing costs, taxes, and any transmission/gathering capital are considered presented only as an order-of-magnitude sanity check, not a substitute for a proper discounted-cash-flow appraisal.</w:t>
      </w:r>
    </w:p>
    <w:p w14:paraId="63B2B0A4" w14:textId="6ED0A4D7" w:rsidR="00D662C2" w:rsidRPr="00D662C2" w:rsidRDefault="00D662C2" w:rsidP="00D662C2">
      <w:pPr>
        <w:jc w:val="both"/>
        <w:rPr>
          <w:rFonts w:ascii="Times New Roman" w:hAnsi="Times New Roman" w:cs="Times New Roman"/>
        </w:rPr>
      </w:pPr>
    </w:p>
    <w:p w14:paraId="592F74F2"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14. Gas Price Sensitivity</w:t>
      </w:r>
    </w:p>
    <w:tbl>
      <w:tblPr>
        <w:tblStyle w:val="TableGrid"/>
        <w:tblW w:w="0" w:type="auto"/>
        <w:tblLook w:val="04A0" w:firstRow="1" w:lastRow="0" w:firstColumn="1" w:lastColumn="0" w:noHBand="0" w:noVBand="1"/>
      </w:tblPr>
      <w:tblGrid>
        <w:gridCol w:w="1348"/>
        <w:gridCol w:w="1652"/>
        <w:gridCol w:w="1477"/>
        <w:gridCol w:w="1385"/>
        <w:gridCol w:w="1651"/>
        <w:gridCol w:w="1837"/>
      </w:tblGrid>
      <w:tr w:rsidR="00D662C2" w:rsidRPr="00D662C2" w14:paraId="3260F60A" w14:textId="77777777" w:rsidTr="00FA12F0">
        <w:tc>
          <w:tcPr>
            <w:tcW w:w="0" w:type="auto"/>
            <w:hideMark/>
          </w:tcPr>
          <w:p w14:paraId="0CA63AF0"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Price Scenario</w:t>
            </w:r>
          </w:p>
        </w:tc>
        <w:tc>
          <w:tcPr>
            <w:tcW w:w="0" w:type="auto"/>
            <w:hideMark/>
          </w:tcPr>
          <w:p w14:paraId="602FC68D"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Gas Price (USD/MMBtu)</w:t>
            </w:r>
          </w:p>
        </w:tc>
        <w:tc>
          <w:tcPr>
            <w:tcW w:w="0" w:type="auto"/>
            <w:hideMark/>
          </w:tcPr>
          <w:p w14:paraId="23E1065C"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LCOE (USD/MWh, CCGT benchmark)</w:t>
            </w:r>
          </w:p>
        </w:tc>
        <w:tc>
          <w:tcPr>
            <w:tcW w:w="0" w:type="auto"/>
            <w:hideMark/>
          </w:tcPr>
          <w:p w14:paraId="0ABDC9EC"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Illustrative Electricity Tariff Needed for Cost Recovery</w:t>
            </w:r>
          </w:p>
        </w:tc>
        <w:tc>
          <w:tcPr>
            <w:tcW w:w="0" w:type="auto"/>
            <w:hideMark/>
          </w:tcPr>
          <w:p w14:paraId="2DF815B0"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Effect on Project Economics</w:t>
            </w:r>
          </w:p>
        </w:tc>
        <w:tc>
          <w:tcPr>
            <w:tcW w:w="0" w:type="auto"/>
            <w:hideMark/>
          </w:tcPr>
          <w:p w14:paraId="2164C832"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LNG Opportunity Cost Implication</w:t>
            </w:r>
          </w:p>
        </w:tc>
      </w:tr>
      <w:tr w:rsidR="00D662C2" w:rsidRPr="00D662C2" w14:paraId="71D0595D" w14:textId="77777777" w:rsidTr="00FA12F0">
        <w:tc>
          <w:tcPr>
            <w:tcW w:w="0" w:type="auto"/>
            <w:hideMark/>
          </w:tcPr>
          <w:p w14:paraId="4CCBA93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 (flared-gas opportunity cost)</w:t>
            </w:r>
          </w:p>
        </w:tc>
        <w:tc>
          <w:tcPr>
            <w:tcW w:w="0" w:type="auto"/>
            <w:hideMark/>
          </w:tcPr>
          <w:p w14:paraId="3C28473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$1.00–2.00</w:t>
            </w:r>
          </w:p>
        </w:tc>
        <w:tc>
          <w:tcPr>
            <w:tcW w:w="0" w:type="auto"/>
            <w:hideMark/>
          </w:tcPr>
          <w:p w14:paraId="704058A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~$50–65</w:t>
            </w:r>
          </w:p>
        </w:tc>
        <w:tc>
          <w:tcPr>
            <w:tcW w:w="0" w:type="auto"/>
            <w:hideMark/>
          </w:tcPr>
          <w:p w14:paraId="6F95D26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~$60–75/MWh (with a margin)</w:t>
            </w:r>
          </w:p>
        </w:tc>
        <w:tc>
          <w:tcPr>
            <w:tcW w:w="0" w:type="auto"/>
            <w:hideMark/>
          </w:tcPr>
          <w:p w14:paraId="61B6EF8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Most </w:t>
            </w:r>
            <w:proofErr w:type="spellStart"/>
            <w:r w:rsidRPr="00D662C2">
              <w:rPr>
                <w:rFonts w:ascii="Times New Roman" w:hAnsi="Times New Roman" w:cs="Times New Roman"/>
                <w:sz w:val="22"/>
                <w:szCs w:val="22"/>
              </w:rPr>
              <w:t>favourable</w:t>
            </w:r>
            <w:proofErr w:type="spellEnd"/>
            <w:r w:rsidRPr="00D662C2">
              <w:rPr>
                <w:rFonts w:ascii="Times New Roman" w:hAnsi="Times New Roman" w:cs="Times New Roman"/>
                <w:sz w:val="22"/>
                <w:szCs w:val="22"/>
              </w:rPr>
              <w:t xml:space="preserve"> — strongest case for domestic power priority (Section 10, Scenario 2/3)</w:t>
            </w:r>
          </w:p>
        </w:tc>
        <w:tc>
          <w:tcPr>
            <w:tcW w:w="0" w:type="auto"/>
            <w:hideMark/>
          </w:tcPr>
          <w:p w14:paraId="420FC39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Minimal — this gas would likely not have been LNG-bound in the near term regardless (Section 5)</w:t>
            </w:r>
          </w:p>
        </w:tc>
      </w:tr>
      <w:tr w:rsidR="00D662C2" w:rsidRPr="00D662C2" w14:paraId="1A081664" w14:textId="77777777" w:rsidTr="00FA12F0">
        <w:tc>
          <w:tcPr>
            <w:tcW w:w="0" w:type="auto"/>
            <w:hideMark/>
          </w:tcPr>
          <w:p w14:paraId="6101443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Base case (this note's </w:t>
            </w:r>
            <w:r w:rsidRPr="00D662C2">
              <w:rPr>
                <w:rFonts w:ascii="Times New Roman" w:hAnsi="Times New Roman" w:cs="Times New Roman"/>
                <w:sz w:val="22"/>
                <w:szCs w:val="22"/>
              </w:rPr>
              <w:lastRenderedPageBreak/>
              <w:t>central benchmark)</w:t>
            </w:r>
          </w:p>
        </w:tc>
        <w:tc>
          <w:tcPr>
            <w:tcW w:w="0" w:type="auto"/>
            <w:hideMark/>
          </w:tcPr>
          <w:p w14:paraId="08A3B0F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$1.50</w:t>
            </w:r>
          </w:p>
        </w:tc>
        <w:tc>
          <w:tcPr>
            <w:tcW w:w="0" w:type="auto"/>
            <w:hideMark/>
          </w:tcPr>
          <w:p w14:paraId="0AC83D7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~$55–65</w:t>
            </w:r>
          </w:p>
        </w:tc>
        <w:tc>
          <w:tcPr>
            <w:tcW w:w="0" w:type="auto"/>
            <w:hideMark/>
          </w:tcPr>
          <w:p w14:paraId="3EEB846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~$65–80/MWh</w:t>
            </w:r>
          </w:p>
        </w:tc>
        <w:tc>
          <w:tcPr>
            <w:tcW w:w="0" w:type="auto"/>
            <w:hideMark/>
          </w:tcPr>
          <w:p w14:paraId="6C4352C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Baseline used throughout </w:t>
            </w:r>
            <w:r w:rsidRPr="00D662C2">
              <w:rPr>
                <w:rFonts w:ascii="Times New Roman" w:hAnsi="Times New Roman" w:cs="Times New Roman"/>
                <w:sz w:val="22"/>
                <w:szCs w:val="22"/>
              </w:rPr>
              <w:lastRenderedPageBreak/>
              <w:t>Sections 9, 11 and 13</w:t>
            </w:r>
          </w:p>
        </w:tc>
        <w:tc>
          <w:tcPr>
            <w:tcW w:w="0" w:type="auto"/>
            <w:hideMark/>
          </w:tcPr>
          <w:p w14:paraId="6DCAD98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Low-to-moderate</w:t>
            </w:r>
          </w:p>
        </w:tc>
      </w:tr>
      <w:tr w:rsidR="00D662C2" w:rsidRPr="00D662C2" w14:paraId="12C3EB35" w14:textId="77777777" w:rsidTr="00FA12F0">
        <w:tc>
          <w:tcPr>
            <w:tcW w:w="0" w:type="auto"/>
            <w:hideMark/>
          </w:tcPr>
          <w:p w14:paraId="434FC80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 (LNG-netback parity)</w:t>
            </w:r>
          </w:p>
        </w:tc>
        <w:tc>
          <w:tcPr>
            <w:tcW w:w="0" w:type="auto"/>
            <w:hideMark/>
          </w:tcPr>
          <w:p w14:paraId="66B99C3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$8.00</w:t>
            </w:r>
          </w:p>
        </w:tc>
        <w:tc>
          <w:tcPr>
            <w:tcW w:w="0" w:type="auto"/>
            <w:hideMark/>
          </w:tcPr>
          <w:p w14:paraId="79ABDF5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~$90–105</w:t>
            </w:r>
          </w:p>
        </w:tc>
        <w:tc>
          <w:tcPr>
            <w:tcW w:w="0" w:type="auto"/>
            <w:hideMark/>
          </w:tcPr>
          <w:p w14:paraId="51A4379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~$100–120/MWh</w:t>
            </w:r>
          </w:p>
        </w:tc>
        <w:tc>
          <w:tcPr>
            <w:tcW w:w="0" w:type="auto"/>
            <w:hideMark/>
          </w:tcPr>
          <w:p w14:paraId="23F5892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Materially weakens domestic power's cost advantage over diesel alternatives, though gas-to-power remains cheaper than diesel/HFO (Section 9)</w:t>
            </w:r>
          </w:p>
        </w:tc>
        <w:tc>
          <w:tcPr>
            <w:tcW w:w="0" w:type="auto"/>
            <w:hideMark/>
          </w:tcPr>
          <w:p w14:paraId="1D9C5DB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 — at this price, gas-to-power and LNG compete much more directly for the same economic value, and allocation decisions become genuinely consequential</w:t>
            </w:r>
          </w:p>
        </w:tc>
      </w:tr>
    </w:tbl>
    <w:p w14:paraId="22E9CAD9" w14:textId="77777777" w:rsidR="00FA12F0" w:rsidRDefault="00FA12F0" w:rsidP="00D662C2">
      <w:pPr>
        <w:jc w:val="both"/>
        <w:rPr>
          <w:rFonts w:ascii="Times New Roman" w:hAnsi="Times New Roman" w:cs="Times New Roman"/>
          <w:b/>
          <w:bCs/>
        </w:rPr>
      </w:pPr>
    </w:p>
    <w:p w14:paraId="01230CCD" w14:textId="4876BAD3"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Congo's domestic gas-to-power economics are most </w:t>
      </w:r>
      <w:proofErr w:type="spellStart"/>
      <w:r w:rsidRPr="00D662C2">
        <w:rPr>
          <w:rFonts w:ascii="Times New Roman" w:hAnsi="Times New Roman" w:cs="Times New Roman"/>
        </w:rPr>
        <w:t>favourable</w:t>
      </w:r>
      <w:proofErr w:type="spellEnd"/>
      <w:r w:rsidRPr="00D662C2">
        <w:rPr>
          <w:rFonts w:ascii="Times New Roman" w:hAnsi="Times New Roman" w:cs="Times New Roman"/>
        </w:rPr>
        <w:t xml:space="preserve">, and the allocation decision least contentious, when the gas in question is priced at (or near) its flared-gas opportunity cost rather than at LNG parity. This reinforces the Section 5/8 finding that the highest-value near-term strategy is to direct currently flared/reinjected gas for which the realistic alternative is zero </w:t>
      </w:r>
      <w:proofErr w:type="spellStart"/>
      <w:r w:rsidRPr="00D662C2">
        <w:rPr>
          <w:rFonts w:ascii="Times New Roman" w:hAnsi="Times New Roman" w:cs="Times New Roman"/>
        </w:rPr>
        <w:t>monetisation</w:t>
      </w:r>
      <w:proofErr w:type="spellEnd"/>
      <w:r w:rsidRPr="00D662C2">
        <w:rPr>
          <w:rFonts w:ascii="Times New Roman" w:hAnsi="Times New Roman" w:cs="Times New Roman"/>
        </w:rPr>
        <w:t>, not LNG export toward domestic power, while treating gas that could realistically be aggregated into the LNG stream as a separate allocation decision subject to the full LNG-netback opportunity cost.</w:t>
      </w:r>
    </w:p>
    <w:p w14:paraId="38AEBEF5" w14:textId="0DEA052D" w:rsidR="00D662C2" w:rsidRPr="00D662C2" w:rsidRDefault="00D662C2" w:rsidP="00D662C2">
      <w:pPr>
        <w:jc w:val="both"/>
        <w:rPr>
          <w:rFonts w:ascii="Times New Roman" w:hAnsi="Times New Roman" w:cs="Times New Roman"/>
        </w:rPr>
      </w:pPr>
    </w:p>
    <w:p w14:paraId="22E09679"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15. Domestic Energy Security Impact</w:t>
      </w:r>
    </w:p>
    <w:p w14:paraId="1CF95A41" w14:textId="40D07191"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Congo's electricity system currently combines gas dominance (68.5% of grid injection, 2021) with meaningful hydro reliability risk the World Bank's finding that </w:t>
      </w:r>
      <w:proofErr w:type="spellStart"/>
      <w:r w:rsidRPr="00D662C2">
        <w:rPr>
          <w:rFonts w:ascii="Times New Roman" w:hAnsi="Times New Roman" w:cs="Times New Roman"/>
        </w:rPr>
        <w:t>Djoué</w:t>
      </w:r>
      <w:proofErr w:type="spellEnd"/>
      <w:r w:rsidRPr="00D662C2">
        <w:rPr>
          <w:rFonts w:ascii="Times New Roman" w:hAnsi="Times New Roman" w:cs="Times New Roman"/>
        </w:rPr>
        <w:t xml:space="preserve"> (15 MW installed) has zero available capacity, and that </w:t>
      </w:r>
      <w:proofErr w:type="spellStart"/>
      <w:r w:rsidRPr="00D662C2">
        <w:rPr>
          <w:rFonts w:ascii="Times New Roman" w:hAnsi="Times New Roman" w:cs="Times New Roman"/>
        </w:rPr>
        <w:t>Imboulou</w:t>
      </w:r>
      <w:proofErr w:type="spellEnd"/>
      <w:r w:rsidRPr="00D662C2">
        <w:rPr>
          <w:rFonts w:ascii="Times New Roman" w:hAnsi="Times New Roman" w:cs="Times New Roman"/>
        </w:rPr>
        <w:t xml:space="preserve"> and </w:t>
      </w:r>
      <w:proofErr w:type="spellStart"/>
      <w:r w:rsidRPr="00D662C2">
        <w:rPr>
          <w:rFonts w:ascii="Times New Roman" w:hAnsi="Times New Roman" w:cs="Times New Roman"/>
        </w:rPr>
        <w:t>Moukoukoulou</w:t>
      </w:r>
      <w:proofErr w:type="spellEnd"/>
      <w:r w:rsidRPr="00D662C2">
        <w:rPr>
          <w:rFonts w:ascii="Times New Roman" w:hAnsi="Times New Roman" w:cs="Times New Roman"/>
        </w:rPr>
        <w:t xml:space="preserve"> operate at 71% and 81% availability respectively, indicates the hydro fleet cannot currently be relied upon as firm capacity, notwithstanding its 231 MW nameplate. Combined with 42% T&amp;D losses, this points to a system where gas-fired generation is functioning as Congo's true baseload, not as backup to hydro, contrary to the more typical Sub-Saharan African pattern where hydro is dominant and gas/diesel provide dry-season backup.</w:t>
      </w:r>
    </w:p>
    <w:p w14:paraId="25082F3B" w14:textId="77777777"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Recommended functional role for gas: given the above, gas should continue to function primarily as baseload generation (consistent with CEC's planned combined-cycle conversion), with a secondary flexible/balancing role (via OCGT or gas engines, Section 6) to manage variability in the smaller hydro fleet and to serve as a bridge while T&amp;D rehabilitation and any future </w:t>
      </w:r>
      <w:proofErr w:type="spellStart"/>
      <w:r w:rsidRPr="00D662C2">
        <w:rPr>
          <w:rFonts w:ascii="Times New Roman" w:hAnsi="Times New Roman" w:cs="Times New Roman"/>
        </w:rPr>
        <w:t>Sounda</w:t>
      </w:r>
      <w:proofErr w:type="spellEnd"/>
      <w:r w:rsidRPr="00D662C2">
        <w:rPr>
          <w:rFonts w:ascii="Times New Roman" w:hAnsi="Times New Roman" w:cs="Times New Roman"/>
        </w:rPr>
        <w:t xml:space="preserve"> Gorge hydro development (1,200 MW, conceptual) proceed. Using gas purely as "backup" to hydro </w:t>
      </w:r>
      <w:r w:rsidRPr="00D662C2">
        <w:rPr>
          <w:rFonts w:ascii="Times New Roman" w:hAnsi="Times New Roman" w:cs="Times New Roman"/>
        </w:rPr>
        <w:lastRenderedPageBreak/>
        <w:t>would understate its current systemic importance and is not consistent with the 2021 generation-mix data.</w:t>
      </w:r>
    </w:p>
    <w:p w14:paraId="4608A614" w14:textId="2A03A54C" w:rsidR="00D662C2" w:rsidRPr="00D662C2" w:rsidRDefault="00D662C2" w:rsidP="00D662C2">
      <w:pPr>
        <w:jc w:val="both"/>
        <w:rPr>
          <w:rFonts w:ascii="Times New Roman" w:hAnsi="Times New Roman" w:cs="Times New Roman"/>
        </w:rPr>
      </w:pPr>
      <w:r w:rsidRPr="00D662C2">
        <w:rPr>
          <w:rFonts w:ascii="Times New Roman" w:hAnsi="Times New Roman" w:cs="Times New Roman"/>
        </w:rPr>
        <w:t>Rural electrification: at ~12% rural access, gas-fired grid extension alone is unlikely to be the most cost-effective near-term rural electrification tool (distributed solar/mini-grids are typically more cost-effective for dispersed rural populations a general Sub-Saharan African finding, not Congo-specific data). Gas-to-power's strongest energy-security contribution is therefore likely to be urban/industrial reliability (Pointe-Noire, Brazzaville corridor) and displacement of diesel generation, rather than rural access expansion per se.</w:t>
      </w:r>
    </w:p>
    <w:p w14:paraId="54D81738" w14:textId="17A1A1AB" w:rsidR="00D662C2" w:rsidRPr="00D662C2" w:rsidRDefault="00D662C2" w:rsidP="00D662C2">
      <w:pPr>
        <w:jc w:val="both"/>
        <w:rPr>
          <w:rFonts w:ascii="Times New Roman" w:hAnsi="Times New Roman" w:cs="Times New Roman"/>
        </w:rPr>
      </w:pPr>
    </w:p>
    <w:p w14:paraId="00FFA3E7"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16. Environmental and Emissions Analysis</w:t>
      </w:r>
    </w:p>
    <w:tbl>
      <w:tblPr>
        <w:tblStyle w:val="TableGrid"/>
        <w:tblW w:w="0" w:type="auto"/>
        <w:tblLook w:val="04A0" w:firstRow="1" w:lastRow="0" w:firstColumn="1" w:lastColumn="0" w:noHBand="0" w:noVBand="1"/>
      </w:tblPr>
      <w:tblGrid>
        <w:gridCol w:w="2298"/>
        <w:gridCol w:w="2541"/>
        <w:gridCol w:w="4511"/>
      </w:tblGrid>
      <w:tr w:rsidR="00D662C2" w:rsidRPr="00D662C2" w14:paraId="2292610D" w14:textId="77777777" w:rsidTr="00FA12F0">
        <w:tc>
          <w:tcPr>
            <w:tcW w:w="0" w:type="auto"/>
            <w:hideMark/>
          </w:tcPr>
          <w:p w14:paraId="6A3F7F40"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Generation Source</w:t>
            </w:r>
          </w:p>
        </w:tc>
        <w:tc>
          <w:tcPr>
            <w:tcW w:w="0" w:type="auto"/>
            <w:hideMark/>
          </w:tcPr>
          <w:p w14:paraId="2101AC25"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 xml:space="preserve">CO₂ Emissions per MWh (benchmark, </w:t>
            </w:r>
            <w:proofErr w:type="spellStart"/>
            <w:r w:rsidRPr="00D662C2">
              <w:rPr>
                <w:rFonts w:ascii="Times New Roman" w:hAnsi="Times New Roman" w:cs="Times New Roman"/>
                <w:b/>
                <w:bCs/>
                <w:sz w:val="22"/>
                <w:szCs w:val="22"/>
              </w:rPr>
              <w:t>gCO</w:t>
            </w:r>
            <w:proofErr w:type="spellEnd"/>
            <w:r w:rsidRPr="00D662C2">
              <w:rPr>
                <w:rFonts w:ascii="Times New Roman" w:hAnsi="Times New Roman" w:cs="Times New Roman"/>
                <w:b/>
                <w:bCs/>
                <w:sz w:val="22"/>
                <w:szCs w:val="22"/>
              </w:rPr>
              <w:t>₂/kWh)</w:t>
            </w:r>
          </w:p>
        </w:tc>
        <w:tc>
          <w:tcPr>
            <w:tcW w:w="0" w:type="auto"/>
            <w:hideMark/>
          </w:tcPr>
          <w:p w14:paraId="5835C9FA"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Basis</w:t>
            </w:r>
          </w:p>
        </w:tc>
      </w:tr>
      <w:tr w:rsidR="00D662C2" w:rsidRPr="00D662C2" w14:paraId="0B631CC3" w14:textId="77777777" w:rsidTr="00FA12F0">
        <w:tc>
          <w:tcPr>
            <w:tcW w:w="0" w:type="auto"/>
            <w:hideMark/>
          </w:tcPr>
          <w:p w14:paraId="64A1F26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Natural gas (CCGT)</w:t>
            </w:r>
          </w:p>
        </w:tc>
        <w:tc>
          <w:tcPr>
            <w:tcW w:w="0" w:type="auto"/>
            <w:hideMark/>
          </w:tcPr>
          <w:p w14:paraId="33DD72F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~350–450</w:t>
            </w:r>
          </w:p>
        </w:tc>
        <w:tc>
          <w:tcPr>
            <w:tcW w:w="0" w:type="auto"/>
            <w:hideMark/>
          </w:tcPr>
          <w:p w14:paraId="518F8EB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 for modern CCGT</w:t>
            </w:r>
          </w:p>
        </w:tc>
      </w:tr>
      <w:tr w:rsidR="00D662C2" w:rsidRPr="00D662C2" w14:paraId="5A458CD9" w14:textId="77777777" w:rsidTr="00FA12F0">
        <w:tc>
          <w:tcPr>
            <w:tcW w:w="0" w:type="auto"/>
            <w:hideMark/>
          </w:tcPr>
          <w:p w14:paraId="7453183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Natural gas (OCGT)</w:t>
            </w:r>
          </w:p>
        </w:tc>
        <w:tc>
          <w:tcPr>
            <w:tcW w:w="0" w:type="auto"/>
            <w:hideMark/>
          </w:tcPr>
          <w:p w14:paraId="32D5CD3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~500–650</w:t>
            </w:r>
          </w:p>
        </w:tc>
        <w:tc>
          <w:tcPr>
            <w:tcW w:w="0" w:type="auto"/>
            <w:hideMark/>
          </w:tcPr>
          <w:p w14:paraId="4F2F07A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 reflecting lower efficiency</w:t>
            </w:r>
          </w:p>
        </w:tc>
      </w:tr>
      <w:tr w:rsidR="00D662C2" w:rsidRPr="00D662C2" w14:paraId="2818C109" w14:textId="77777777" w:rsidTr="00FA12F0">
        <w:tc>
          <w:tcPr>
            <w:tcW w:w="0" w:type="auto"/>
            <w:hideMark/>
          </w:tcPr>
          <w:p w14:paraId="3939525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Diesel</w:t>
            </w:r>
          </w:p>
        </w:tc>
        <w:tc>
          <w:tcPr>
            <w:tcW w:w="0" w:type="auto"/>
            <w:hideMark/>
          </w:tcPr>
          <w:p w14:paraId="6719014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~650–800</w:t>
            </w:r>
          </w:p>
        </w:tc>
        <w:tc>
          <w:tcPr>
            <w:tcW w:w="0" w:type="auto"/>
            <w:hideMark/>
          </w:tcPr>
          <w:p w14:paraId="45534F5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w:t>
            </w:r>
          </w:p>
        </w:tc>
      </w:tr>
      <w:tr w:rsidR="00D662C2" w:rsidRPr="00D662C2" w14:paraId="3E168537" w14:textId="77777777" w:rsidTr="00FA12F0">
        <w:tc>
          <w:tcPr>
            <w:tcW w:w="0" w:type="auto"/>
            <w:hideMark/>
          </w:tcPr>
          <w:p w14:paraId="58B241B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HFO</w:t>
            </w:r>
          </w:p>
        </w:tc>
        <w:tc>
          <w:tcPr>
            <w:tcW w:w="0" w:type="auto"/>
            <w:hideMark/>
          </w:tcPr>
          <w:p w14:paraId="49902CA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~700–850</w:t>
            </w:r>
          </w:p>
        </w:tc>
        <w:tc>
          <w:tcPr>
            <w:tcW w:w="0" w:type="auto"/>
            <w:hideMark/>
          </w:tcPr>
          <w:p w14:paraId="3B0EB3D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w:t>
            </w:r>
          </w:p>
        </w:tc>
      </w:tr>
      <w:tr w:rsidR="00D662C2" w:rsidRPr="00D662C2" w14:paraId="6587BDF7" w14:textId="77777777" w:rsidTr="00FA12F0">
        <w:tc>
          <w:tcPr>
            <w:tcW w:w="0" w:type="auto"/>
            <w:hideMark/>
          </w:tcPr>
          <w:p w14:paraId="010172B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Coal (for reference, not currently used in Congo)</w:t>
            </w:r>
          </w:p>
        </w:tc>
        <w:tc>
          <w:tcPr>
            <w:tcW w:w="0" w:type="auto"/>
            <w:hideMark/>
          </w:tcPr>
          <w:p w14:paraId="2F9A80E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~850–1,050</w:t>
            </w:r>
          </w:p>
        </w:tc>
        <w:tc>
          <w:tcPr>
            <w:tcW w:w="0" w:type="auto"/>
            <w:hideMark/>
          </w:tcPr>
          <w:p w14:paraId="554F7D5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 included for comparison only — Congo has no coal-fired generation identified in sources reviewed</w:t>
            </w:r>
          </w:p>
        </w:tc>
      </w:tr>
      <w:tr w:rsidR="00D662C2" w:rsidRPr="00D662C2" w14:paraId="5546B985" w14:textId="77777777" w:rsidTr="00FA12F0">
        <w:tc>
          <w:tcPr>
            <w:tcW w:w="0" w:type="auto"/>
            <w:hideMark/>
          </w:tcPr>
          <w:p w14:paraId="238FA8F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Hydro</w:t>
            </w:r>
          </w:p>
        </w:tc>
        <w:tc>
          <w:tcPr>
            <w:tcW w:w="0" w:type="auto"/>
            <w:hideMark/>
          </w:tcPr>
          <w:p w14:paraId="5951C55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~5–20 (lifecycle, reservoir-dependent)</w:t>
            </w:r>
          </w:p>
        </w:tc>
        <w:tc>
          <w:tcPr>
            <w:tcW w:w="0" w:type="auto"/>
            <w:hideMark/>
          </w:tcPr>
          <w:p w14:paraId="310CDB5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w:t>
            </w:r>
          </w:p>
        </w:tc>
      </w:tr>
      <w:tr w:rsidR="00D662C2" w:rsidRPr="00D662C2" w14:paraId="4F585116" w14:textId="77777777" w:rsidTr="00FA12F0">
        <w:tc>
          <w:tcPr>
            <w:tcW w:w="0" w:type="auto"/>
            <w:hideMark/>
          </w:tcPr>
          <w:p w14:paraId="1548104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Solar PV</w:t>
            </w:r>
          </w:p>
        </w:tc>
        <w:tc>
          <w:tcPr>
            <w:tcW w:w="0" w:type="auto"/>
            <w:hideMark/>
          </w:tcPr>
          <w:p w14:paraId="08A4B83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~30–50 (lifecycle)</w:t>
            </w:r>
          </w:p>
        </w:tc>
        <w:tc>
          <w:tcPr>
            <w:tcW w:w="0" w:type="auto"/>
            <w:hideMark/>
          </w:tcPr>
          <w:p w14:paraId="323C536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industry benchmark</w:t>
            </w:r>
          </w:p>
        </w:tc>
      </w:tr>
    </w:tbl>
    <w:p w14:paraId="5D948E72" w14:textId="77777777" w:rsidR="00FA12F0" w:rsidRDefault="00FA12F0" w:rsidP="00D662C2">
      <w:pPr>
        <w:jc w:val="both"/>
        <w:rPr>
          <w:rFonts w:ascii="Times New Roman" w:hAnsi="Times New Roman" w:cs="Times New Roman"/>
          <w:b/>
          <w:bCs/>
        </w:rPr>
      </w:pPr>
    </w:p>
    <w:p w14:paraId="0A2B9B74" w14:textId="7E968408" w:rsidR="00D662C2" w:rsidRPr="00D662C2" w:rsidRDefault="00D662C2" w:rsidP="00D662C2">
      <w:pPr>
        <w:jc w:val="both"/>
        <w:rPr>
          <w:rFonts w:ascii="Times New Roman" w:hAnsi="Times New Roman" w:cs="Times New Roman"/>
        </w:rPr>
      </w:pPr>
      <w:r w:rsidRPr="00D662C2">
        <w:rPr>
          <w:rFonts w:ascii="Times New Roman" w:hAnsi="Times New Roman" w:cs="Times New Roman"/>
        </w:rPr>
        <w:t xml:space="preserve">Emissions benefit of using otherwise-flared gas: flared gas is typically combusted with lower and less controlled combustion efficiency than a purpose-built gas turbine, and flaring also releases unconverted methane (a far more potent greenhouse gas than CO₂ over a 20-year horizon) in addition to CO₂. Converting flared gas to CCGT-based power generation therefore likely delivers both a direct emissions-intensity improvement per unit of energy used, and a broader reduction in fugitive methane relative to continued flaring consistent with the stated original rationale for building CEC/CED (to reduce </w:t>
      </w:r>
      <w:proofErr w:type="spellStart"/>
      <w:r w:rsidRPr="00D662C2">
        <w:rPr>
          <w:rFonts w:ascii="Times New Roman" w:hAnsi="Times New Roman" w:cs="Times New Roman"/>
        </w:rPr>
        <w:t>M'Boundi</w:t>
      </w:r>
      <w:proofErr w:type="spellEnd"/>
      <w:r w:rsidRPr="00D662C2">
        <w:rPr>
          <w:rFonts w:ascii="Times New Roman" w:hAnsi="Times New Roman" w:cs="Times New Roman"/>
        </w:rPr>
        <w:t>/Marine XII flaring). A precise CO₂-emissions-avoided-per-unit-of-gas-</w:t>
      </w:r>
      <w:proofErr w:type="spellStart"/>
      <w:r w:rsidRPr="00D662C2">
        <w:rPr>
          <w:rFonts w:ascii="Times New Roman" w:hAnsi="Times New Roman" w:cs="Times New Roman"/>
        </w:rPr>
        <w:t>monetised</w:t>
      </w:r>
      <w:proofErr w:type="spellEnd"/>
      <w:r w:rsidRPr="00D662C2">
        <w:rPr>
          <w:rFonts w:ascii="Times New Roman" w:hAnsi="Times New Roman" w:cs="Times New Roman"/>
        </w:rPr>
        <w:t xml:space="preserve"> figure was not calculable from the sources reviewed, since Congo-specific flare-gas composition and combustion-efficiency data were not identified; this is flagged as a data limitation rather than estimated.</w:t>
      </w:r>
    </w:p>
    <w:p w14:paraId="45F7582E" w14:textId="6E3EDA23" w:rsidR="00D662C2" w:rsidRPr="00D662C2" w:rsidRDefault="00D662C2" w:rsidP="00D662C2">
      <w:pPr>
        <w:jc w:val="both"/>
        <w:rPr>
          <w:rFonts w:ascii="Times New Roman" w:hAnsi="Times New Roman" w:cs="Times New Roman"/>
        </w:rPr>
      </w:pPr>
      <w:r w:rsidRPr="00D662C2">
        <w:rPr>
          <w:rFonts w:ascii="Times New Roman" w:hAnsi="Times New Roman" w:cs="Times New Roman"/>
        </w:rPr>
        <w:lastRenderedPageBreak/>
        <w:t xml:space="preserve">Perenco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 as a technical (not economic) emissions benchmark: </w:t>
      </w:r>
      <w:proofErr w:type="spellStart"/>
      <w:r w:rsidRPr="00D662C2">
        <w:rPr>
          <w:rFonts w:ascii="Times New Roman" w:hAnsi="Times New Roman" w:cs="Times New Roman"/>
        </w:rPr>
        <w:t>Tchendo</w:t>
      </w:r>
      <w:proofErr w:type="spellEnd"/>
      <w:r w:rsidRPr="00D662C2">
        <w:rPr>
          <w:rFonts w:ascii="Times New Roman" w:hAnsi="Times New Roman" w:cs="Times New Roman"/>
        </w:rPr>
        <w:t xml:space="preserve"> 2's stated purpose is explicitly to reduce flaring and improve emissions performance at Perenco's own fields (</w:t>
      </w:r>
      <w:proofErr w:type="spellStart"/>
      <w:r w:rsidRPr="00D662C2">
        <w:rPr>
          <w:rFonts w:ascii="Times New Roman" w:hAnsi="Times New Roman" w:cs="Times New Roman"/>
        </w:rPr>
        <w:t>Likouala</w:t>
      </w:r>
      <w:proofErr w:type="spellEnd"/>
      <w:r w:rsidRPr="00D662C2">
        <w:rPr>
          <w:rFonts w:ascii="Times New Roman" w:hAnsi="Times New Roman" w:cs="Times New Roman"/>
        </w:rPr>
        <w:t xml:space="preserve">, Emeraude, PNGF), using up to 10 </w:t>
      </w:r>
      <w:proofErr w:type="spellStart"/>
      <w:r w:rsidRPr="00D662C2">
        <w:rPr>
          <w:rFonts w:ascii="Times New Roman" w:hAnsi="Times New Roman" w:cs="Times New Roman"/>
        </w:rPr>
        <w:t>mmscfd</w:t>
      </w:r>
      <w:proofErr w:type="spellEnd"/>
      <w:r w:rsidRPr="00D662C2">
        <w:rPr>
          <w:rFonts w:ascii="Times New Roman" w:hAnsi="Times New Roman" w:cs="Times New Roman"/>
        </w:rPr>
        <w:t xml:space="preserve"> across three gas turbines to generate 27 MW for operational self-sufficiency. This demonstrates the technical viability of offshore gas-to-power for flare reduction at project level, but as instructed its economics (a self-consumption facility with no grid tariff or third-party sales) are not representative of national-grid CCGT economics and are not extrapolated into the LCOE or project economics presented in Sections 9 and 13.</w:t>
      </w:r>
    </w:p>
    <w:p w14:paraId="3CFEA88A" w14:textId="7C4359C3" w:rsidR="00D662C2" w:rsidRPr="00D662C2" w:rsidRDefault="00D662C2" w:rsidP="00D662C2">
      <w:pPr>
        <w:jc w:val="both"/>
        <w:rPr>
          <w:rFonts w:ascii="Times New Roman" w:hAnsi="Times New Roman" w:cs="Times New Roman"/>
        </w:rPr>
      </w:pPr>
    </w:p>
    <w:p w14:paraId="10948915" w14:textId="77777777" w:rsidR="00D662C2" w:rsidRPr="00D662C2" w:rsidRDefault="00D662C2" w:rsidP="00D662C2">
      <w:pPr>
        <w:jc w:val="both"/>
        <w:rPr>
          <w:rFonts w:ascii="Times New Roman" w:hAnsi="Times New Roman" w:cs="Times New Roman"/>
          <w:b/>
          <w:bCs/>
        </w:rPr>
      </w:pPr>
      <w:r w:rsidRPr="00D662C2">
        <w:rPr>
          <w:rFonts w:ascii="Times New Roman" w:hAnsi="Times New Roman" w:cs="Times New Roman"/>
          <w:b/>
          <w:bCs/>
        </w:rPr>
        <w:t>17. Risk Assessment</w:t>
      </w:r>
    </w:p>
    <w:tbl>
      <w:tblPr>
        <w:tblStyle w:val="TableGrid"/>
        <w:tblW w:w="0" w:type="auto"/>
        <w:tblLook w:val="04A0" w:firstRow="1" w:lastRow="0" w:firstColumn="1" w:lastColumn="0" w:noHBand="0" w:noVBand="1"/>
      </w:tblPr>
      <w:tblGrid>
        <w:gridCol w:w="1690"/>
        <w:gridCol w:w="1896"/>
        <w:gridCol w:w="947"/>
        <w:gridCol w:w="991"/>
        <w:gridCol w:w="2224"/>
        <w:gridCol w:w="1602"/>
      </w:tblGrid>
      <w:tr w:rsidR="00D662C2" w:rsidRPr="00D662C2" w14:paraId="726BAEE7" w14:textId="77777777" w:rsidTr="00FA12F0">
        <w:tc>
          <w:tcPr>
            <w:tcW w:w="0" w:type="auto"/>
            <w:hideMark/>
          </w:tcPr>
          <w:p w14:paraId="2D5BA107"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Risk</w:t>
            </w:r>
          </w:p>
        </w:tc>
        <w:tc>
          <w:tcPr>
            <w:tcW w:w="0" w:type="auto"/>
            <w:hideMark/>
          </w:tcPr>
          <w:p w14:paraId="2F3D5E70"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Probability</w:t>
            </w:r>
          </w:p>
        </w:tc>
        <w:tc>
          <w:tcPr>
            <w:tcW w:w="0" w:type="auto"/>
            <w:hideMark/>
          </w:tcPr>
          <w:p w14:paraId="605CC0CF"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Impact</w:t>
            </w:r>
          </w:p>
        </w:tc>
        <w:tc>
          <w:tcPr>
            <w:tcW w:w="0" w:type="auto"/>
            <w:hideMark/>
          </w:tcPr>
          <w:p w14:paraId="615DA209"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Risk Rating</w:t>
            </w:r>
          </w:p>
        </w:tc>
        <w:tc>
          <w:tcPr>
            <w:tcW w:w="0" w:type="auto"/>
            <w:hideMark/>
          </w:tcPr>
          <w:p w14:paraId="601E0F21"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Potential Effect</w:t>
            </w:r>
          </w:p>
        </w:tc>
        <w:tc>
          <w:tcPr>
            <w:tcW w:w="0" w:type="auto"/>
            <w:hideMark/>
          </w:tcPr>
          <w:p w14:paraId="7C375959" w14:textId="77777777" w:rsidR="00D662C2" w:rsidRPr="00D662C2" w:rsidRDefault="00D662C2" w:rsidP="00D662C2">
            <w:pPr>
              <w:spacing w:after="160" w:line="278" w:lineRule="auto"/>
              <w:jc w:val="both"/>
              <w:rPr>
                <w:rFonts w:ascii="Times New Roman" w:hAnsi="Times New Roman" w:cs="Times New Roman"/>
                <w:b/>
                <w:bCs/>
                <w:sz w:val="22"/>
                <w:szCs w:val="22"/>
              </w:rPr>
            </w:pPr>
            <w:r w:rsidRPr="00D662C2">
              <w:rPr>
                <w:rFonts w:ascii="Times New Roman" w:hAnsi="Times New Roman" w:cs="Times New Roman"/>
                <w:b/>
                <w:bCs/>
                <w:sz w:val="22"/>
                <w:szCs w:val="22"/>
              </w:rPr>
              <w:t>Mitigation</w:t>
            </w:r>
          </w:p>
        </w:tc>
      </w:tr>
      <w:tr w:rsidR="00D662C2" w:rsidRPr="00D662C2" w14:paraId="265C4618" w14:textId="77777777" w:rsidTr="00FA12F0">
        <w:tc>
          <w:tcPr>
            <w:tcW w:w="0" w:type="auto"/>
            <w:hideMark/>
          </w:tcPr>
          <w:p w14:paraId="2821D2A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Gas supply shortage for CEC expansion (the stated 35% supply-increase need)</w:t>
            </w:r>
          </w:p>
        </w:tc>
        <w:tc>
          <w:tcPr>
            <w:tcW w:w="0" w:type="auto"/>
            <w:hideMark/>
          </w:tcPr>
          <w:p w14:paraId="3499FD9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Medium-High</w:t>
            </w:r>
          </w:p>
        </w:tc>
        <w:tc>
          <w:tcPr>
            <w:tcW w:w="0" w:type="auto"/>
            <w:hideMark/>
          </w:tcPr>
          <w:p w14:paraId="12A2964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w:t>
            </w:r>
          </w:p>
        </w:tc>
        <w:tc>
          <w:tcPr>
            <w:tcW w:w="0" w:type="auto"/>
            <w:hideMark/>
          </w:tcPr>
          <w:p w14:paraId="026BBE0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High</w:t>
            </w:r>
          </w:p>
        </w:tc>
        <w:tc>
          <w:tcPr>
            <w:tcW w:w="0" w:type="auto"/>
            <w:hideMark/>
          </w:tcPr>
          <w:p w14:paraId="7A6671D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Constrains CEC output growth even for the modest 5–10% increase currently sought</w:t>
            </w:r>
          </w:p>
        </w:tc>
        <w:tc>
          <w:tcPr>
            <w:tcW w:w="0" w:type="auto"/>
            <w:hideMark/>
          </w:tcPr>
          <w:p w14:paraId="4729B6F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Diversify domestic gas sourcing (Mbungu field, as CEC has already indicated); invest in dedicated domestic gas gathering separate from LNG-dedicated infrastructure</w:t>
            </w:r>
          </w:p>
        </w:tc>
      </w:tr>
      <w:tr w:rsidR="00D662C2" w:rsidRPr="00D662C2" w14:paraId="35E4DAA1" w14:textId="77777777" w:rsidTr="00FA12F0">
        <w:tc>
          <w:tcPr>
            <w:tcW w:w="0" w:type="auto"/>
            <w:hideMark/>
          </w:tcPr>
          <w:p w14:paraId="3CF9DAF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LNG opportunity cost / allocation conflict at shared processing nodes (</w:t>
            </w:r>
            <w:proofErr w:type="spellStart"/>
            <w:r w:rsidRPr="00D662C2">
              <w:rPr>
                <w:rFonts w:ascii="Times New Roman" w:hAnsi="Times New Roman" w:cs="Times New Roman"/>
                <w:sz w:val="22"/>
                <w:szCs w:val="22"/>
              </w:rPr>
              <w:t>Litchendjili</w:t>
            </w:r>
            <w:proofErr w:type="spellEnd"/>
            <w:r w:rsidRPr="00D662C2">
              <w:rPr>
                <w:rFonts w:ascii="Times New Roman" w:hAnsi="Times New Roman" w:cs="Times New Roman"/>
                <w:sz w:val="22"/>
                <w:szCs w:val="22"/>
              </w:rPr>
              <w:t>/OPT)</w:t>
            </w:r>
          </w:p>
        </w:tc>
        <w:tc>
          <w:tcPr>
            <w:tcW w:w="0" w:type="auto"/>
            <w:hideMark/>
          </w:tcPr>
          <w:p w14:paraId="5851095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37DF6A5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Medium-High</w:t>
            </w:r>
          </w:p>
        </w:tc>
        <w:tc>
          <w:tcPr>
            <w:tcW w:w="0" w:type="auto"/>
            <w:hideMark/>
          </w:tcPr>
          <w:p w14:paraId="10FFD73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Medium-High</w:t>
            </w:r>
          </w:p>
        </w:tc>
        <w:tc>
          <w:tcPr>
            <w:tcW w:w="0" w:type="auto"/>
            <w:hideMark/>
          </w:tcPr>
          <w:p w14:paraId="41EF13C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Growth in one stream (LNG or power) could constrain the other at shared infrastructure</w:t>
            </w:r>
          </w:p>
        </w:tc>
        <w:tc>
          <w:tcPr>
            <w:tcW w:w="0" w:type="auto"/>
            <w:hideMark/>
          </w:tcPr>
          <w:p w14:paraId="0BD6436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Separate/dedicate processing capacity where feasible; establish a transparent domestic gas allocation policy (Section 10)</w:t>
            </w:r>
          </w:p>
        </w:tc>
      </w:tr>
      <w:tr w:rsidR="00D662C2" w:rsidRPr="00D662C2" w14:paraId="6ED8E3EA" w14:textId="77777777" w:rsidTr="00FA12F0">
        <w:tc>
          <w:tcPr>
            <w:tcW w:w="0" w:type="auto"/>
            <w:hideMark/>
          </w:tcPr>
          <w:p w14:paraId="27A410E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Gas price volatility (if domestic pricing </w:t>
            </w:r>
            <w:r w:rsidRPr="00D662C2">
              <w:rPr>
                <w:rFonts w:ascii="Times New Roman" w:hAnsi="Times New Roman" w:cs="Times New Roman"/>
                <w:sz w:val="22"/>
                <w:szCs w:val="22"/>
              </w:rPr>
              <w:lastRenderedPageBreak/>
              <w:t>moves toward LNG parity)</w:t>
            </w:r>
          </w:p>
        </w:tc>
        <w:tc>
          <w:tcPr>
            <w:tcW w:w="0" w:type="auto"/>
            <w:hideMark/>
          </w:tcPr>
          <w:p w14:paraId="5C29538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Low-Medium (near-term; domestic pricing </w:t>
            </w:r>
            <w:r w:rsidRPr="00D662C2">
              <w:rPr>
                <w:rFonts w:ascii="Times New Roman" w:hAnsi="Times New Roman" w:cs="Times New Roman"/>
                <w:sz w:val="22"/>
                <w:szCs w:val="22"/>
              </w:rPr>
              <w:lastRenderedPageBreak/>
              <w:t>has historically been de-linked)</w:t>
            </w:r>
          </w:p>
        </w:tc>
        <w:tc>
          <w:tcPr>
            <w:tcW w:w="0" w:type="auto"/>
            <w:hideMark/>
          </w:tcPr>
          <w:p w14:paraId="3875FAD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High</w:t>
            </w:r>
          </w:p>
        </w:tc>
        <w:tc>
          <w:tcPr>
            <w:tcW w:w="0" w:type="auto"/>
            <w:hideMark/>
          </w:tcPr>
          <w:p w14:paraId="21250F0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w:t>
            </w:r>
          </w:p>
        </w:tc>
        <w:tc>
          <w:tcPr>
            <w:tcW w:w="0" w:type="auto"/>
            <w:hideMark/>
          </w:tcPr>
          <w:p w14:paraId="25BE623A"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Would materially weaken gas-to-power's cost advantage (Section 14)</w:t>
            </w:r>
          </w:p>
        </w:tc>
        <w:tc>
          <w:tcPr>
            <w:tcW w:w="0" w:type="auto"/>
            <w:hideMark/>
          </w:tcPr>
          <w:p w14:paraId="13CB070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Maintain a domestic gas pricing framework </w:t>
            </w:r>
            <w:r w:rsidRPr="00D662C2">
              <w:rPr>
                <w:rFonts w:ascii="Times New Roman" w:hAnsi="Times New Roman" w:cs="Times New Roman"/>
                <w:sz w:val="22"/>
                <w:szCs w:val="22"/>
              </w:rPr>
              <w:lastRenderedPageBreak/>
              <w:t>anchored to flared-gas opportunity cost, distinct from export pricing</w:t>
            </w:r>
          </w:p>
        </w:tc>
      </w:tr>
      <w:tr w:rsidR="00D662C2" w:rsidRPr="00D662C2" w14:paraId="6BF4EF70" w14:textId="77777777" w:rsidTr="00FA12F0">
        <w:tc>
          <w:tcPr>
            <w:tcW w:w="0" w:type="auto"/>
            <w:hideMark/>
          </w:tcPr>
          <w:p w14:paraId="11AC827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Power demand uncertainty</w:t>
            </w:r>
          </w:p>
        </w:tc>
        <w:tc>
          <w:tcPr>
            <w:tcW w:w="0" w:type="auto"/>
            <w:hideMark/>
          </w:tcPr>
          <w:p w14:paraId="2214FB6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 (given the absence of an official demand forecast, per Section 3)</w:t>
            </w:r>
          </w:p>
        </w:tc>
        <w:tc>
          <w:tcPr>
            <w:tcW w:w="0" w:type="auto"/>
            <w:hideMark/>
          </w:tcPr>
          <w:p w14:paraId="19FD436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2410C8D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w:t>
            </w:r>
          </w:p>
        </w:tc>
        <w:tc>
          <w:tcPr>
            <w:tcW w:w="0" w:type="auto"/>
            <w:hideMark/>
          </w:tcPr>
          <w:p w14:paraId="32F515C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Risk of over- or under-building capacity relative to actual demand growth</w:t>
            </w:r>
          </w:p>
        </w:tc>
        <w:tc>
          <w:tcPr>
            <w:tcW w:w="0" w:type="auto"/>
            <w:hideMark/>
          </w:tcPr>
          <w:p w14:paraId="7F5145E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Commission an official, published demand forecast and gas balance study (a recurring data gap throughout this note)</w:t>
            </w:r>
          </w:p>
        </w:tc>
      </w:tr>
      <w:tr w:rsidR="00D662C2" w:rsidRPr="00D662C2" w14:paraId="23CC8D6F" w14:textId="77777777" w:rsidTr="00FA12F0">
        <w:tc>
          <w:tcPr>
            <w:tcW w:w="0" w:type="auto"/>
            <w:hideMark/>
          </w:tcPr>
          <w:p w14:paraId="2E92813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Pipeline/gathering failure or delay</w:t>
            </w:r>
          </w:p>
        </w:tc>
        <w:tc>
          <w:tcPr>
            <w:tcW w:w="0" w:type="auto"/>
            <w:hideMark/>
          </w:tcPr>
          <w:p w14:paraId="4573F99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0D3BE5B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Medium-High</w:t>
            </w:r>
          </w:p>
        </w:tc>
        <w:tc>
          <w:tcPr>
            <w:tcW w:w="0" w:type="auto"/>
            <w:hideMark/>
          </w:tcPr>
          <w:p w14:paraId="4DE748C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Medium-High</w:t>
            </w:r>
          </w:p>
        </w:tc>
        <w:tc>
          <w:tcPr>
            <w:tcW w:w="0" w:type="auto"/>
            <w:hideMark/>
          </w:tcPr>
          <w:p w14:paraId="3CDF20A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Could stall CEC/CED expansion or new capacity additions</w:t>
            </w:r>
          </w:p>
        </w:tc>
        <w:tc>
          <w:tcPr>
            <w:tcW w:w="0" w:type="auto"/>
            <w:hideMark/>
          </w:tcPr>
          <w:p w14:paraId="56F583C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Redundant gathering routes where feasible; phased capacity additions matched to confirmed gas availability</w:t>
            </w:r>
          </w:p>
        </w:tc>
      </w:tr>
      <w:tr w:rsidR="00D662C2" w:rsidRPr="00D662C2" w14:paraId="1D0122AC" w14:textId="77777777" w:rsidTr="00FA12F0">
        <w:tc>
          <w:tcPr>
            <w:tcW w:w="0" w:type="auto"/>
            <w:hideMark/>
          </w:tcPr>
          <w:p w14:paraId="795A9AA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Plant reliability (existing hydro fleet as comparator)</w:t>
            </w:r>
          </w:p>
        </w:tc>
        <w:tc>
          <w:tcPr>
            <w:tcW w:w="0" w:type="auto"/>
            <w:hideMark/>
          </w:tcPr>
          <w:p w14:paraId="23EB4BB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Medium-High, based on demonstrated hydro reliability gaps (</w:t>
            </w:r>
            <w:proofErr w:type="spellStart"/>
            <w:r w:rsidRPr="00D662C2">
              <w:rPr>
                <w:rFonts w:ascii="Times New Roman" w:hAnsi="Times New Roman" w:cs="Times New Roman"/>
                <w:sz w:val="22"/>
                <w:szCs w:val="22"/>
              </w:rPr>
              <w:t>Djoué</w:t>
            </w:r>
            <w:proofErr w:type="spellEnd"/>
            <w:r w:rsidRPr="00D662C2">
              <w:rPr>
                <w:rFonts w:ascii="Times New Roman" w:hAnsi="Times New Roman" w:cs="Times New Roman"/>
                <w:sz w:val="22"/>
                <w:szCs w:val="22"/>
              </w:rPr>
              <w:t xml:space="preserve"> at 0% available capacity)</w:t>
            </w:r>
          </w:p>
        </w:tc>
        <w:tc>
          <w:tcPr>
            <w:tcW w:w="0" w:type="auto"/>
            <w:hideMark/>
          </w:tcPr>
          <w:p w14:paraId="14C45F8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4C92ADA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Medium-High</w:t>
            </w:r>
          </w:p>
        </w:tc>
        <w:tc>
          <w:tcPr>
            <w:tcW w:w="0" w:type="auto"/>
            <w:hideMark/>
          </w:tcPr>
          <w:p w14:paraId="321C4B5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Underscores the importance of proper O&amp;M investment in any new gas-fired capacity, to avoid replicating the hydro fleet's reliability issues</w:t>
            </w:r>
          </w:p>
        </w:tc>
        <w:tc>
          <w:tcPr>
            <w:tcW w:w="0" w:type="auto"/>
            <w:hideMark/>
          </w:tcPr>
          <w:p w14:paraId="0284000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Structure O&amp;M contracts and financing to ensure long-term maintenance funding, not just construction capital</w:t>
            </w:r>
          </w:p>
        </w:tc>
      </w:tr>
      <w:tr w:rsidR="00D662C2" w:rsidRPr="00D662C2" w14:paraId="2AE23294" w14:textId="77777777" w:rsidTr="00FA12F0">
        <w:tc>
          <w:tcPr>
            <w:tcW w:w="0" w:type="auto"/>
            <w:hideMark/>
          </w:tcPr>
          <w:p w14:paraId="4F9BE11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Transmission constraints (42% T&amp;D losses)</w:t>
            </w:r>
          </w:p>
        </w:tc>
        <w:tc>
          <w:tcPr>
            <w:tcW w:w="0" w:type="auto"/>
            <w:hideMark/>
          </w:tcPr>
          <w:p w14:paraId="2A16766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High (already </w:t>
            </w:r>
            <w:proofErr w:type="spellStart"/>
            <w:r w:rsidRPr="00D662C2">
              <w:rPr>
                <w:rFonts w:ascii="Times New Roman" w:hAnsi="Times New Roman" w:cs="Times New Roman"/>
                <w:sz w:val="22"/>
                <w:szCs w:val="22"/>
              </w:rPr>
              <w:t>realised</w:t>
            </w:r>
            <w:proofErr w:type="spellEnd"/>
            <w:r w:rsidRPr="00D662C2">
              <w:rPr>
                <w:rFonts w:ascii="Times New Roman" w:hAnsi="Times New Roman" w:cs="Times New Roman"/>
                <w:sz w:val="22"/>
                <w:szCs w:val="22"/>
              </w:rPr>
              <w:t>, not a future risk)</w:t>
            </w:r>
          </w:p>
        </w:tc>
        <w:tc>
          <w:tcPr>
            <w:tcW w:w="0" w:type="auto"/>
            <w:hideMark/>
          </w:tcPr>
          <w:p w14:paraId="3AC9723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w:t>
            </w:r>
          </w:p>
        </w:tc>
        <w:tc>
          <w:tcPr>
            <w:tcW w:w="0" w:type="auto"/>
            <w:hideMark/>
          </w:tcPr>
          <w:p w14:paraId="5D2E5F5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High</w:t>
            </w:r>
          </w:p>
        </w:tc>
        <w:tc>
          <w:tcPr>
            <w:tcW w:w="0" w:type="auto"/>
            <w:hideMark/>
          </w:tcPr>
          <w:p w14:paraId="570BBC5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New generation capacity delivers proportionally less usable electricity until addressed</w:t>
            </w:r>
          </w:p>
        </w:tc>
        <w:tc>
          <w:tcPr>
            <w:tcW w:w="0" w:type="auto"/>
            <w:hideMark/>
          </w:tcPr>
          <w:p w14:paraId="7845DAA7" w14:textId="77777777" w:rsidR="00D662C2" w:rsidRPr="00D662C2" w:rsidRDefault="00D662C2" w:rsidP="00D662C2">
            <w:pPr>
              <w:spacing w:after="160" w:line="278" w:lineRule="auto"/>
              <w:jc w:val="both"/>
              <w:rPr>
                <w:rFonts w:ascii="Times New Roman" w:hAnsi="Times New Roman" w:cs="Times New Roman"/>
                <w:sz w:val="22"/>
                <w:szCs w:val="22"/>
              </w:rPr>
            </w:pPr>
            <w:proofErr w:type="spellStart"/>
            <w:r w:rsidRPr="00D662C2">
              <w:rPr>
                <w:rFonts w:ascii="Times New Roman" w:hAnsi="Times New Roman" w:cs="Times New Roman"/>
                <w:sz w:val="22"/>
                <w:szCs w:val="22"/>
              </w:rPr>
              <w:t>Prioritise</w:t>
            </w:r>
            <w:proofErr w:type="spellEnd"/>
            <w:r w:rsidRPr="00D662C2">
              <w:rPr>
                <w:rFonts w:ascii="Times New Roman" w:hAnsi="Times New Roman" w:cs="Times New Roman"/>
                <w:sz w:val="22"/>
                <w:szCs w:val="22"/>
              </w:rPr>
              <w:t xml:space="preserve"> T&amp;D rehabilitation investment alongside, not after, generation </w:t>
            </w:r>
            <w:r w:rsidRPr="00D662C2">
              <w:rPr>
                <w:rFonts w:ascii="Times New Roman" w:hAnsi="Times New Roman" w:cs="Times New Roman"/>
                <w:sz w:val="22"/>
                <w:szCs w:val="22"/>
              </w:rPr>
              <w:lastRenderedPageBreak/>
              <w:t>capacity additions</w:t>
            </w:r>
          </w:p>
        </w:tc>
      </w:tr>
      <w:tr w:rsidR="00D662C2" w:rsidRPr="00D662C2" w14:paraId="2E7E8B2F" w14:textId="77777777" w:rsidTr="00FA12F0">
        <w:tc>
          <w:tcPr>
            <w:tcW w:w="0" w:type="auto"/>
            <w:hideMark/>
          </w:tcPr>
          <w:p w14:paraId="42BB1F9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Financing risk (CEC/CED expansion, proposed 700 MW/1,000 MW pathway, proposed SEZ plant)</w:t>
            </w:r>
          </w:p>
        </w:tc>
        <w:tc>
          <w:tcPr>
            <w:tcW w:w="0" w:type="auto"/>
            <w:hideMark/>
          </w:tcPr>
          <w:p w14:paraId="1FB8F80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Medium-High (given these remain at Proposed/Conceptual stage)</w:t>
            </w:r>
          </w:p>
        </w:tc>
        <w:tc>
          <w:tcPr>
            <w:tcW w:w="0" w:type="auto"/>
            <w:hideMark/>
          </w:tcPr>
          <w:p w14:paraId="160FA8D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High</w:t>
            </w:r>
          </w:p>
        </w:tc>
        <w:tc>
          <w:tcPr>
            <w:tcW w:w="0" w:type="auto"/>
            <w:hideMark/>
          </w:tcPr>
          <w:p w14:paraId="71CC1AF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High</w:t>
            </w:r>
          </w:p>
        </w:tc>
        <w:tc>
          <w:tcPr>
            <w:tcW w:w="0" w:type="auto"/>
            <w:hideMark/>
          </w:tcPr>
          <w:p w14:paraId="3E3342A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Could stall the very expansion needed to meet Section 3 demand projections</w:t>
            </w:r>
          </w:p>
        </w:tc>
        <w:tc>
          <w:tcPr>
            <w:tcW w:w="0" w:type="auto"/>
            <w:hideMark/>
          </w:tcPr>
          <w:p w14:paraId="4F91FC0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Pursue diversified financing (as with the historical Africa50 involvement in the earlier CEC expansion)</w:t>
            </w:r>
          </w:p>
        </w:tc>
      </w:tr>
      <w:tr w:rsidR="00D662C2" w:rsidRPr="00D662C2" w14:paraId="1FE062FF" w14:textId="77777777" w:rsidTr="00FA12F0">
        <w:tc>
          <w:tcPr>
            <w:tcW w:w="0" w:type="auto"/>
            <w:hideMark/>
          </w:tcPr>
          <w:p w14:paraId="47AE607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Electricity tariff constraints (affordability vs. cost recovery)</w:t>
            </w:r>
          </w:p>
        </w:tc>
        <w:tc>
          <w:tcPr>
            <w:tcW w:w="0" w:type="auto"/>
            <w:hideMark/>
          </w:tcPr>
          <w:p w14:paraId="07B79FA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2A73BAA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34CB95D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w:t>
            </w:r>
          </w:p>
        </w:tc>
        <w:tc>
          <w:tcPr>
            <w:tcW w:w="0" w:type="auto"/>
            <w:hideMark/>
          </w:tcPr>
          <w:p w14:paraId="014053C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A tariff insufficient to recover even the low-gas-price-benchmark LCOE (~$55–65/MWh) would undermine expansion economics</w:t>
            </w:r>
          </w:p>
        </w:tc>
        <w:tc>
          <w:tcPr>
            <w:tcW w:w="0" w:type="auto"/>
            <w:hideMark/>
          </w:tcPr>
          <w:p w14:paraId="1BDA46F2"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Tariff structuring informed by the Section 14 sensitivity analysis; consider cross-</w:t>
            </w:r>
            <w:proofErr w:type="spellStart"/>
            <w:r w:rsidRPr="00D662C2">
              <w:rPr>
                <w:rFonts w:ascii="Times New Roman" w:hAnsi="Times New Roman" w:cs="Times New Roman"/>
                <w:sz w:val="22"/>
                <w:szCs w:val="22"/>
              </w:rPr>
              <w:t>subsidisation</w:t>
            </w:r>
            <w:proofErr w:type="spellEnd"/>
            <w:r w:rsidRPr="00D662C2">
              <w:rPr>
                <w:rFonts w:ascii="Times New Roman" w:hAnsi="Times New Roman" w:cs="Times New Roman"/>
                <w:sz w:val="22"/>
                <w:szCs w:val="22"/>
              </w:rPr>
              <w:t xml:space="preserve"> from LNG fiscal revenue</w:t>
            </w:r>
          </w:p>
        </w:tc>
      </w:tr>
      <w:tr w:rsidR="00D662C2" w:rsidRPr="00D662C2" w14:paraId="618F37D5" w14:textId="77777777" w:rsidTr="00FA12F0">
        <w:tc>
          <w:tcPr>
            <w:tcW w:w="0" w:type="auto"/>
            <w:hideMark/>
          </w:tcPr>
          <w:p w14:paraId="7E428EA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Regulatory risk</w:t>
            </w:r>
          </w:p>
        </w:tc>
        <w:tc>
          <w:tcPr>
            <w:tcW w:w="0" w:type="auto"/>
            <w:hideMark/>
          </w:tcPr>
          <w:p w14:paraId="5A66FC09"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Low-Medium</w:t>
            </w:r>
          </w:p>
        </w:tc>
        <w:tc>
          <w:tcPr>
            <w:tcW w:w="0" w:type="auto"/>
            <w:hideMark/>
          </w:tcPr>
          <w:p w14:paraId="3BDFCE6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13FDCC7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w:t>
            </w:r>
          </w:p>
        </w:tc>
        <w:tc>
          <w:tcPr>
            <w:tcW w:w="0" w:type="auto"/>
            <w:hideMark/>
          </w:tcPr>
          <w:p w14:paraId="0A99A78F"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Congo's gas master plan and gas code were reported as under development (2024); regulatory uncertainty could delay investment decisions</w:t>
            </w:r>
          </w:p>
        </w:tc>
        <w:tc>
          <w:tcPr>
            <w:tcW w:w="0" w:type="auto"/>
            <w:hideMark/>
          </w:tcPr>
          <w:p w14:paraId="43BDC083"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 xml:space="preserve">Expedite gas code </w:t>
            </w:r>
            <w:proofErr w:type="spellStart"/>
            <w:r w:rsidRPr="00D662C2">
              <w:rPr>
                <w:rFonts w:ascii="Times New Roman" w:hAnsi="Times New Roman" w:cs="Times New Roman"/>
                <w:sz w:val="22"/>
                <w:szCs w:val="22"/>
              </w:rPr>
              <w:t>finalisation</w:t>
            </w:r>
            <w:proofErr w:type="spellEnd"/>
            <w:r w:rsidRPr="00D662C2">
              <w:rPr>
                <w:rFonts w:ascii="Times New Roman" w:hAnsi="Times New Roman" w:cs="Times New Roman"/>
                <w:sz w:val="22"/>
                <w:szCs w:val="22"/>
              </w:rPr>
              <w:t>, referenced by the Ministry of Hydrocarbons since 2024</w:t>
            </w:r>
          </w:p>
        </w:tc>
      </w:tr>
      <w:tr w:rsidR="00D662C2" w:rsidRPr="00D662C2" w14:paraId="5016931F" w14:textId="77777777" w:rsidTr="00FA12F0">
        <w:tc>
          <w:tcPr>
            <w:tcW w:w="0" w:type="auto"/>
            <w:hideMark/>
          </w:tcPr>
          <w:p w14:paraId="4E5DC2D7"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Environmental risk</w:t>
            </w:r>
          </w:p>
        </w:tc>
        <w:tc>
          <w:tcPr>
            <w:tcW w:w="0" w:type="auto"/>
            <w:hideMark/>
          </w:tcPr>
          <w:p w14:paraId="7E08917C"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Low-Medium</w:t>
            </w:r>
          </w:p>
        </w:tc>
        <w:tc>
          <w:tcPr>
            <w:tcW w:w="0" w:type="auto"/>
            <w:hideMark/>
          </w:tcPr>
          <w:p w14:paraId="29C24B0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1DC4B3CB"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w:t>
            </w:r>
          </w:p>
        </w:tc>
        <w:tc>
          <w:tcPr>
            <w:tcW w:w="0" w:type="auto"/>
            <w:hideMark/>
          </w:tcPr>
          <w:p w14:paraId="1E323655"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gas-fired generation environmental/permitting risk; lower than the flaring baseline it would likely displace</w:t>
            </w:r>
          </w:p>
        </w:tc>
        <w:tc>
          <w:tcPr>
            <w:tcW w:w="0" w:type="auto"/>
            <w:hideMark/>
          </w:tcPr>
          <w:p w14:paraId="075B2E94"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Standard environmental management planning; leverage the emissions-avoidance case (Section 16) in permitting</w:t>
            </w:r>
          </w:p>
        </w:tc>
      </w:tr>
      <w:tr w:rsidR="00D662C2" w:rsidRPr="00D662C2" w14:paraId="511890B8" w14:textId="77777777" w:rsidTr="00FA12F0">
        <w:tc>
          <w:tcPr>
            <w:tcW w:w="0" w:type="auto"/>
            <w:hideMark/>
          </w:tcPr>
          <w:p w14:paraId="0D16DE50"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Reservoir decline (</w:t>
            </w:r>
            <w:proofErr w:type="spellStart"/>
            <w:r w:rsidRPr="00D662C2">
              <w:rPr>
                <w:rFonts w:ascii="Times New Roman" w:hAnsi="Times New Roman" w:cs="Times New Roman"/>
                <w:sz w:val="22"/>
                <w:szCs w:val="22"/>
              </w:rPr>
              <w:t>M'Boundi</w:t>
            </w:r>
            <w:proofErr w:type="spellEnd"/>
            <w:r w:rsidRPr="00D662C2">
              <w:rPr>
                <w:rFonts w:ascii="Times New Roman" w:hAnsi="Times New Roman" w:cs="Times New Roman"/>
                <w:sz w:val="22"/>
                <w:szCs w:val="22"/>
              </w:rPr>
              <w:t xml:space="preserve">, </w:t>
            </w:r>
            <w:r w:rsidRPr="00D662C2">
              <w:rPr>
                <w:rFonts w:ascii="Times New Roman" w:hAnsi="Times New Roman" w:cs="Times New Roman"/>
                <w:sz w:val="22"/>
                <w:szCs w:val="22"/>
              </w:rPr>
              <w:lastRenderedPageBreak/>
              <w:t>mature onshore field)</w:t>
            </w:r>
          </w:p>
        </w:tc>
        <w:tc>
          <w:tcPr>
            <w:tcW w:w="0" w:type="auto"/>
            <w:hideMark/>
          </w:tcPr>
          <w:p w14:paraId="415B5291"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Medium</w:t>
            </w:r>
          </w:p>
        </w:tc>
        <w:tc>
          <w:tcPr>
            <w:tcW w:w="0" w:type="auto"/>
            <w:hideMark/>
          </w:tcPr>
          <w:p w14:paraId="677B64A8"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Medium</w:t>
            </w:r>
          </w:p>
        </w:tc>
        <w:tc>
          <w:tcPr>
            <w:tcW w:w="0" w:type="auto"/>
            <w:hideMark/>
          </w:tcPr>
          <w:p w14:paraId="03D17506"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b/>
                <w:bCs/>
                <w:sz w:val="22"/>
                <w:szCs w:val="22"/>
              </w:rPr>
              <w:t>Medium</w:t>
            </w:r>
          </w:p>
        </w:tc>
        <w:tc>
          <w:tcPr>
            <w:tcW w:w="0" w:type="auto"/>
            <w:hideMark/>
          </w:tcPr>
          <w:p w14:paraId="1583218D"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t>Could affect the long-standing CEC gas source over time, independent of LNG-</w:t>
            </w:r>
            <w:r w:rsidRPr="00D662C2">
              <w:rPr>
                <w:rFonts w:ascii="Times New Roman" w:hAnsi="Times New Roman" w:cs="Times New Roman"/>
                <w:sz w:val="22"/>
                <w:szCs w:val="22"/>
              </w:rPr>
              <w:lastRenderedPageBreak/>
              <w:t>related supply questions</w:t>
            </w:r>
          </w:p>
        </w:tc>
        <w:tc>
          <w:tcPr>
            <w:tcW w:w="0" w:type="auto"/>
            <w:hideMark/>
          </w:tcPr>
          <w:p w14:paraId="62AAE4CE" w14:textId="77777777" w:rsidR="00D662C2" w:rsidRPr="00D662C2" w:rsidRDefault="00D662C2" w:rsidP="00D662C2">
            <w:pPr>
              <w:spacing w:after="160" w:line="278" w:lineRule="auto"/>
              <w:jc w:val="both"/>
              <w:rPr>
                <w:rFonts w:ascii="Times New Roman" w:hAnsi="Times New Roman" w:cs="Times New Roman"/>
                <w:sz w:val="22"/>
                <w:szCs w:val="22"/>
              </w:rPr>
            </w:pPr>
            <w:r w:rsidRPr="00D662C2">
              <w:rPr>
                <w:rFonts w:ascii="Times New Roman" w:hAnsi="Times New Roman" w:cs="Times New Roman"/>
                <w:sz w:val="22"/>
                <w:szCs w:val="22"/>
              </w:rPr>
              <w:lastRenderedPageBreak/>
              <w:t xml:space="preserve">Diversify CEC supply sources (as already </w:t>
            </w:r>
            <w:r w:rsidRPr="00D662C2">
              <w:rPr>
                <w:rFonts w:ascii="Times New Roman" w:hAnsi="Times New Roman" w:cs="Times New Roman"/>
                <w:sz w:val="22"/>
                <w:szCs w:val="22"/>
              </w:rPr>
              <w:lastRenderedPageBreak/>
              <w:t>indicated via Mbungu field)</w:t>
            </w:r>
          </w:p>
        </w:tc>
      </w:tr>
    </w:tbl>
    <w:p w14:paraId="0C0BBB31" w14:textId="77777777" w:rsidR="00283D7D" w:rsidRPr="00D662C2" w:rsidRDefault="00283D7D" w:rsidP="00D662C2">
      <w:pPr>
        <w:jc w:val="both"/>
        <w:rPr>
          <w:rFonts w:ascii="Times New Roman" w:hAnsi="Times New Roman" w:cs="Times New Roman"/>
        </w:rPr>
      </w:pPr>
    </w:p>
    <w:sectPr w:rsidR="00283D7D" w:rsidRPr="00D66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B71AE"/>
    <w:multiLevelType w:val="multilevel"/>
    <w:tmpl w:val="C842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492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2C2"/>
    <w:rsid w:val="00283D7D"/>
    <w:rsid w:val="00743078"/>
    <w:rsid w:val="008C668F"/>
    <w:rsid w:val="00BB0294"/>
    <w:rsid w:val="00D662C2"/>
    <w:rsid w:val="00EA1C03"/>
    <w:rsid w:val="00FA1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5E54"/>
  <w15:chartTrackingRefBased/>
  <w15:docId w15:val="{F3E824D1-992D-4A0A-9B5E-A6CD2606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2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662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662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62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62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6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2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662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662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62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62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6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2C2"/>
    <w:rPr>
      <w:rFonts w:eastAsiaTheme="majorEastAsia" w:cstheme="majorBidi"/>
      <w:color w:val="272727" w:themeColor="text1" w:themeTint="D8"/>
    </w:rPr>
  </w:style>
  <w:style w:type="paragraph" w:styleId="Title">
    <w:name w:val="Title"/>
    <w:basedOn w:val="Normal"/>
    <w:next w:val="Normal"/>
    <w:link w:val="TitleChar"/>
    <w:uiPriority w:val="10"/>
    <w:qFormat/>
    <w:rsid w:val="00D66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2C2"/>
    <w:pPr>
      <w:spacing w:before="160"/>
      <w:jc w:val="center"/>
    </w:pPr>
    <w:rPr>
      <w:i/>
      <w:iCs/>
      <w:color w:val="404040" w:themeColor="text1" w:themeTint="BF"/>
    </w:rPr>
  </w:style>
  <w:style w:type="character" w:customStyle="1" w:styleId="QuoteChar">
    <w:name w:val="Quote Char"/>
    <w:basedOn w:val="DefaultParagraphFont"/>
    <w:link w:val="Quote"/>
    <w:uiPriority w:val="29"/>
    <w:rsid w:val="00D662C2"/>
    <w:rPr>
      <w:i/>
      <w:iCs/>
      <w:color w:val="404040" w:themeColor="text1" w:themeTint="BF"/>
    </w:rPr>
  </w:style>
  <w:style w:type="paragraph" w:styleId="ListParagraph">
    <w:name w:val="List Paragraph"/>
    <w:basedOn w:val="Normal"/>
    <w:uiPriority w:val="34"/>
    <w:qFormat/>
    <w:rsid w:val="00D662C2"/>
    <w:pPr>
      <w:ind w:left="720"/>
      <w:contextualSpacing/>
    </w:pPr>
  </w:style>
  <w:style w:type="character" w:styleId="IntenseEmphasis">
    <w:name w:val="Intense Emphasis"/>
    <w:basedOn w:val="DefaultParagraphFont"/>
    <w:uiPriority w:val="21"/>
    <w:qFormat/>
    <w:rsid w:val="00D662C2"/>
    <w:rPr>
      <w:i/>
      <w:iCs/>
      <w:color w:val="2F5496" w:themeColor="accent1" w:themeShade="BF"/>
    </w:rPr>
  </w:style>
  <w:style w:type="paragraph" w:styleId="IntenseQuote">
    <w:name w:val="Intense Quote"/>
    <w:basedOn w:val="Normal"/>
    <w:next w:val="Normal"/>
    <w:link w:val="IntenseQuoteChar"/>
    <w:uiPriority w:val="30"/>
    <w:qFormat/>
    <w:rsid w:val="00D662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62C2"/>
    <w:rPr>
      <w:i/>
      <w:iCs/>
      <w:color w:val="2F5496" w:themeColor="accent1" w:themeShade="BF"/>
    </w:rPr>
  </w:style>
  <w:style w:type="character" w:styleId="IntenseReference">
    <w:name w:val="Intense Reference"/>
    <w:basedOn w:val="DefaultParagraphFont"/>
    <w:uiPriority w:val="32"/>
    <w:qFormat/>
    <w:rsid w:val="00D662C2"/>
    <w:rPr>
      <w:b/>
      <w:bCs/>
      <w:smallCaps/>
      <w:color w:val="2F5496" w:themeColor="accent1" w:themeShade="BF"/>
      <w:spacing w:val="5"/>
    </w:rPr>
  </w:style>
  <w:style w:type="paragraph" w:customStyle="1" w:styleId="msonormal0">
    <w:name w:val="msonormal"/>
    <w:basedOn w:val="Normal"/>
    <w:rsid w:val="00D662C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662C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62C2"/>
    <w:rPr>
      <w:b/>
      <w:bCs/>
    </w:rPr>
  </w:style>
  <w:style w:type="character" w:styleId="Emphasis">
    <w:name w:val="Emphasis"/>
    <w:basedOn w:val="DefaultParagraphFont"/>
    <w:uiPriority w:val="20"/>
    <w:qFormat/>
    <w:rsid w:val="00D662C2"/>
    <w:rPr>
      <w:i/>
      <w:iCs/>
    </w:rPr>
  </w:style>
  <w:style w:type="table" w:styleId="TableGrid">
    <w:name w:val="Table Grid"/>
    <w:basedOn w:val="TableNormal"/>
    <w:uiPriority w:val="39"/>
    <w:rsid w:val="00D66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29</Pages>
  <Words>7248</Words>
  <Characters>41320</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2026-08-26T08:48:00Z</dcterms:created>
  <dcterms:modified xsi:type="dcterms:W3CDTF">2026-08-26T09:18:00Z</dcterms:modified>
</cp:coreProperties>
</file>