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6C3F"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Regional Gas Aggregation and Cross-Border Feedstock Development for Equatorial Guinea's LNG Market</w:t>
      </w:r>
    </w:p>
    <w:p w14:paraId="0037993E" w14:textId="2A4FFAB7" w:rsidR="00CB1515" w:rsidRPr="00CB1515" w:rsidRDefault="00CB1515" w:rsidP="002B6FBC">
      <w:pPr>
        <w:spacing w:line="276" w:lineRule="auto"/>
        <w:jc w:val="both"/>
        <w:rPr>
          <w:rFonts w:ascii="Times New Roman" w:hAnsi="Times New Roman" w:cs="Times New Roman"/>
        </w:rPr>
      </w:pPr>
    </w:p>
    <w:p w14:paraId="6FFE82F6"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Executive Summary</w:t>
      </w:r>
    </w:p>
    <w:p w14:paraId="11F3145A" w14:textId="13F7026F"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Equatorial Guinea's only LNG train EG LNG at Punta Europa, Bioko Island (3.7 </w:t>
      </w:r>
      <w:proofErr w:type="spellStart"/>
      <w:r w:rsidRPr="00CB1515">
        <w:rPr>
          <w:rFonts w:ascii="Times New Roman" w:hAnsi="Times New Roman" w:cs="Times New Roman"/>
        </w:rPr>
        <w:t>mtpa</w:t>
      </w:r>
      <w:proofErr w:type="spellEnd"/>
      <w:r w:rsidRPr="00CB1515">
        <w:rPr>
          <w:rFonts w:ascii="Times New Roman" w:hAnsi="Times New Roman" w:cs="Times New Roman"/>
        </w:rPr>
        <w:t xml:space="preserve"> nameplate, operating since 2007</w:t>
      </w:r>
      <w:r w:rsidR="002B6FBC" w:rsidRPr="00CB1515">
        <w:rPr>
          <w:rFonts w:ascii="Times New Roman" w:hAnsi="Times New Roman" w:cs="Times New Roman"/>
        </w:rPr>
        <w:t>) has</w:t>
      </w:r>
      <w:r w:rsidRPr="00CB1515">
        <w:rPr>
          <w:rFonts w:ascii="Times New Roman" w:hAnsi="Times New Roman" w:cs="Times New Roman"/>
        </w:rPr>
        <w:t xml:space="preserve"> run structurally short of feedstock as the 1991-vintage Alba field has declined. The government's response, branded the </w:t>
      </w:r>
      <w:r w:rsidRPr="00CB1515">
        <w:rPr>
          <w:rFonts w:ascii="Times New Roman" w:hAnsi="Times New Roman" w:cs="Times New Roman"/>
          <w:b/>
          <w:bCs/>
        </w:rPr>
        <w:t>Gas Mega Hub (GMH)</w:t>
      </w:r>
      <w:r w:rsidRPr="00CB1515">
        <w:rPr>
          <w:rFonts w:ascii="Times New Roman" w:hAnsi="Times New Roman" w:cs="Times New Roman"/>
        </w:rPr>
        <w:t>, has three interlocking components: (</w:t>
      </w:r>
      <w:proofErr w:type="spellStart"/>
      <w:r w:rsidRPr="00CB1515">
        <w:rPr>
          <w:rFonts w:ascii="Times New Roman" w:hAnsi="Times New Roman" w:cs="Times New Roman"/>
        </w:rPr>
        <w:t>i</w:t>
      </w:r>
      <w:proofErr w:type="spellEnd"/>
      <w:r w:rsidRPr="00CB1515">
        <w:rPr>
          <w:rFonts w:ascii="Times New Roman" w:hAnsi="Times New Roman" w:cs="Times New Roman"/>
        </w:rPr>
        <w:t xml:space="preserve">) sequential domestic tie-backs (Alen since 2021, Aseng from ~2028 following an April 2026 FID, and a proposed Alba Tail Gas project), (ii) a new stand-alone LNG train at the </w:t>
      </w:r>
      <w:proofErr w:type="spellStart"/>
      <w:r w:rsidRPr="00CB1515">
        <w:rPr>
          <w:rFonts w:ascii="Times New Roman" w:hAnsi="Times New Roman" w:cs="Times New Roman"/>
        </w:rPr>
        <w:t>Ebano</w:t>
      </w:r>
      <w:proofErr w:type="spellEnd"/>
      <w:r w:rsidRPr="00CB1515">
        <w:rPr>
          <w:rFonts w:ascii="Times New Roman" w:hAnsi="Times New Roman" w:cs="Times New Roman"/>
        </w:rPr>
        <w:t xml:space="preserve"> field (EG-27, pre-FID, </w:t>
      </w:r>
      <w:proofErr w:type="spellStart"/>
      <w:r w:rsidRPr="00CB1515">
        <w:rPr>
          <w:rFonts w:ascii="Times New Roman" w:hAnsi="Times New Roman" w:cs="Times New Roman"/>
        </w:rPr>
        <w:t>Afreximbank</w:t>
      </w:r>
      <w:proofErr w:type="spellEnd"/>
      <w:r w:rsidRPr="00CB1515">
        <w:rPr>
          <w:rFonts w:ascii="Times New Roman" w:hAnsi="Times New Roman" w:cs="Times New Roman"/>
        </w:rPr>
        <w:t xml:space="preserve">-advised), and (iii) cross-border aggregation of gas from Cameroon (Yoyo-Yolanda, </w:t>
      </w:r>
      <w:proofErr w:type="spellStart"/>
      <w:r w:rsidRPr="00CB1515">
        <w:rPr>
          <w:rFonts w:ascii="Times New Roman" w:hAnsi="Times New Roman" w:cs="Times New Roman"/>
        </w:rPr>
        <w:t>unitised</w:t>
      </w:r>
      <w:proofErr w:type="spellEnd"/>
      <w:r w:rsidRPr="00CB1515">
        <w:rPr>
          <w:rFonts w:ascii="Times New Roman" w:hAnsi="Times New Roman" w:cs="Times New Roman"/>
        </w:rPr>
        <w:t xml:space="preserve"> February 2026) and Nigeria (Gulf of Guinea Pipeline Project, a bilateral framework agreement signed in August 2024 with no published engineering design as of August 2026). Only the Cameroon route has reached a binding legal milestone (</w:t>
      </w:r>
      <w:proofErr w:type="spellStart"/>
      <w:r w:rsidRPr="00CB1515">
        <w:rPr>
          <w:rFonts w:ascii="Times New Roman" w:hAnsi="Times New Roman" w:cs="Times New Roman"/>
        </w:rPr>
        <w:t>unitisation</w:t>
      </w:r>
      <w:proofErr w:type="spellEnd"/>
      <w:r w:rsidRPr="00CB1515">
        <w:rPr>
          <w:rFonts w:ascii="Times New Roman" w:hAnsi="Times New Roman" w:cs="Times New Roman"/>
        </w:rPr>
        <w:t xml:space="preserve">); the Nigeria route remains at government-to-government framework stage; other regional sources (e.g., São Tomé &amp; Príncipe, further Niger Delta tie-backs) are conceptual at best. This note evaluates the technical and commercial feasibility of using these regional resources to sustain Punta Europa's </w:t>
      </w:r>
      <w:proofErr w:type="spellStart"/>
      <w:r w:rsidRPr="00CB1515">
        <w:rPr>
          <w:rFonts w:ascii="Times New Roman" w:hAnsi="Times New Roman" w:cs="Times New Roman"/>
        </w:rPr>
        <w:t>utilisation</w:t>
      </w:r>
      <w:proofErr w:type="spellEnd"/>
      <w:r w:rsidRPr="00CB1515">
        <w:rPr>
          <w:rFonts w:ascii="Times New Roman" w:hAnsi="Times New Roman" w:cs="Times New Roman"/>
        </w:rPr>
        <w:t xml:space="preserve"> and proposes a </w:t>
      </w:r>
      <w:proofErr w:type="spellStart"/>
      <w:r w:rsidRPr="00CB1515">
        <w:rPr>
          <w:rFonts w:ascii="Times New Roman" w:hAnsi="Times New Roman" w:cs="Times New Roman"/>
        </w:rPr>
        <w:t>prioritised</w:t>
      </w:r>
      <w:proofErr w:type="spellEnd"/>
      <w:r w:rsidRPr="00CB1515">
        <w:rPr>
          <w:rFonts w:ascii="Times New Roman" w:hAnsi="Times New Roman" w:cs="Times New Roman"/>
        </w:rPr>
        <w:t xml:space="preserve"> strategic pathway.</w:t>
      </w:r>
    </w:p>
    <w:p w14:paraId="356081A9" w14:textId="7B02DB14" w:rsidR="00CB1515" w:rsidRPr="00CB1515" w:rsidRDefault="00CB1515" w:rsidP="002B6FBC">
      <w:pPr>
        <w:spacing w:line="276" w:lineRule="auto"/>
        <w:jc w:val="both"/>
        <w:rPr>
          <w:rFonts w:ascii="Times New Roman" w:hAnsi="Times New Roman" w:cs="Times New Roman"/>
        </w:rPr>
      </w:pPr>
    </w:p>
    <w:p w14:paraId="525AF660"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 Equatorial Guinea's LNG Feedstock Position</w:t>
      </w:r>
    </w:p>
    <w:p w14:paraId="06AAB3BE"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1.1 Current position</w:t>
      </w:r>
    </w:p>
    <w:p w14:paraId="5DBE44F5"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EG LNG's single train has a nameplate capacity of </w:t>
      </w:r>
      <w:r w:rsidRPr="00CB1515">
        <w:rPr>
          <w:rFonts w:ascii="Times New Roman" w:hAnsi="Times New Roman" w:cs="Times New Roman"/>
          <w:b/>
          <w:bCs/>
        </w:rPr>
        <w:t xml:space="preserve">3.7 </w:t>
      </w:r>
      <w:proofErr w:type="spellStart"/>
      <w:r w:rsidRPr="00CB1515">
        <w:rPr>
          <w:rFonts w:ascii="Times New Roman" w:hAnsi="Times New Roman" w:cs="Times New Roman"/>
          <w:b/>
          <w:bCs/>
        </w:rPr>
        <w:t>mtpa</w:t>
      </w:r>
      <w:proofErr w:type="spellEnd"/>
      <w:r w:rsidRPr="00CB1515">
        <w:rPr>
          <w:rFonts w:ascii="Times New Roman" w:hAnsi="Times New Roman" w:cs="Times New Roman"/>
        </w:rPr>
        <w:t xml:space="preserve"> (~0.53 bcf/d gas-equivalent; original 2007 design specification cited by some sources as 3.4 </w:t>
      </w:r>
      <w:proofErr w:type="spellStart"/>
      <w:r w:rsidRPr="00CB1515">
        <w:rPr>
          <w:rFonts w:ascii="Times New Roman" w:hAnsi="Times New Roman" w:cs="Times New Roman"/>
        </w:rPr>
        <w:t>mtpa</w:t>
      </w:r>
      <w:proofErr w:type="spellEnd"/>
      <w:r w:rsidRPr="00CB1515">
        <w:rPr>
          <w:rFonts w:ascii="Times New Roman" w:hAnsi="Times New Roman" w:cs="Times New Roman"/>
        </w:rPr>
        <w:t xml:space="preserve">), consisting of a single train with capacity of 3.7 million metric tons per year, or 0.53 billion cubic feet per day, completed in May 2007 at a cost of $1.5 billion. It uses the ConocoPhillips Optimized Cascade process and began operation with the first cargo delivered on 24 May 2007. A second 4.4 </w:t>
      </w:r>
      <w:proofErr w:type="spellStart"/>
      <w:r w:rsidRPr="00CB1515">
        <w:rPr>
          <w:rFonts w:ascii="Times New Roman" w:hAnsi="Times New Roman" w:cs="Times New Roman"/>
        </w:rPr>
        <w:t>mtpa</w:t>
      </w:r>
      <w:proofErr w:type="spellEnd"/>
      <w:r w:rsidRPr="00CB1515">
        <w:rPr>
          <w:rFonts w:ascii="Times New Roman" w:hAnsi="Times New Roman" w:cs="Times New Roman"/>
        </w:rPr>
        <w:t xml:space="preserve"> train was planned from 2007 but is presumed cancelled, with no project updates for over four years as of 2021 amid a dispute over whether remaining Alba reserves could support even the first train. Marathon Oil (the historical majority operator) was acquired by </w:t>
      </w:r>
      <w:r w:rsidRPr="00CB1515">
        <w:rPr>
          <w:rFonts w:ascii="Times New Roman" w:hAnsi="Times New Roman" w:cs="Times New Roman"/>
          <w:b/>
          <w:bCs/>
        </w:rPr>
        <w:t>ConocoPhillips in 2024</w:t>
      </w:r>
      <w:r w:rsidRPr="00CB1515">
        <w:rPr>
          <w:rFonts w:ascii="Times New Roman" w:hAnsi="Times New Roman" w:cs="Times New Roman"/>
        </w:rPr>
        <w:t>, which now holds the operating interest in the Punta Europa joint venture.</w:t>
      </w:r>
    </w:p>
    <w:p w14:paraId="67684909"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Feed gas has historically come almost entirely from the </w:t>
      </w:r>
      <w:r w:rsidRPr="00CB1515">
        <w:rPr>
          <w:rFonts w:ascii="Times New Roman" w:hAnsi="Times New Roman" w:cs="Times New Roman"/>
          <w:b/>
          <w:bCs/>
        </w:rPr>
        <w:t>Alba</w:t>
      </w:r>
      <w:r w:rsidRPr="00CB1515">
        <w:rPr>
          <w:rFonts w:ascii="Times New Roman" w:hAnsi="Times New Roman" w:cs="Times New Roman"/>
        </w:rPr>
        <w:t xml:space="preserve"> field. The gas era began with the discovery of the Alba field in 1984, with production coming online in 1991, ahead of oil production; the field still accounts for approximately 45% of the country's daily production and supplies EG LNG. Alba is in structural decline, at a rate of between 8% and 10% year on year. Since Q1 2021, </w:t>
      </w:r>
      <w:r w:rsidRPr="00CB1515">
        <w:rPr>
          <w:rFonts w:ascii="Times New Roman" w:hAnsi="Times New Roman" w:cs="Times New Roman"/>
          <w:b/>
          <w:bCs/>
        </w:rPr>
        <w:t>Alen</w:t>
      </w:r>
      <w:r w:rsidRPr="00CB1515">
        <w:rPr>
          <w:rFonts w:ascii="Times New Roman" w:hAnsi="Times New Roman" w:cs="Times New Roman"/>
        </w:rPr>
        <w:t xml:space="preserve"> field gas has supplemented Alba via a dedicated 70 km, 24-inch pipeline with capacity to deliver approximately 950 million cubic feet of natural gas equivalent a day, initially expected to produce between 200 and 300 </w:t>
      </w:r>
      <w:proofErr w:type="spellStart"/>
      <w:r w:rsidRPr="00CB1515">
        <w:rPr>
          <w:rFonts w:ascii="Times New Roman" w:hAnsi="Times New Roman" w:cs="Times New Roman"/>
        </w:rPr>
        <w:t>mmcf</w:t>
      </w:r>
      <w:proofErr w:type="spellEnd"/>
      <w:r w:rsidRPr="00CB1515">
        <w:rPr>
          <w:rFonts w:ascii="Times New Roman" w:hAnsi="Times New Roman" w:cs="Times New Roman"/>
        </w:rPr>
        <w:t xml:space="preserve">/d, developed under an April 2019 FID at </w:t>
      </w:r>
      <w:r w:rsidRPr="00CB1515">
        <w:rPr>
          <w:rFonts w:ascii="Times New Roman" w:hAnsi="Times New Roman" w:cs="Times New Roman"/>
        </w:rPr>
        <w:lastRenderedPageBreak/>
        <w:t xml:space="preserve">an estimated capital cost of approximately $330 million, with total recoverable resources in Alen estimated at approximately 600 bcf (a subsequent government reference cites the Alen project at </w:t>
      </w:r>
      <w:r w:rsidRPr="00CB1515">
        <w:rPr>
          <w:rFonts w:ascii="Times New Roman" w:hAnsi="Times New Roman" w:cs="Times New Roman"/>
          <w:b/>
          <w:bCs/>
        </w:rPr>
        <w:t>580 bcf</w:t>
      </w:r>
      <w:r w:rsidRPr="00CB1515">
        <w:rPr>
          <w:rFonts w:ascii="Times New Roman" w:hAnsi="Times New Roman" w:cs="Times New Roman"/>
        </w:rPr>
        <w:t xml:space="preserve">). </w:t>
      </w:r>
      <w:r w:rsidRPr="00CB1515">
        <w:rPr>
          <w:rFonts w:ascii="Times New Roman" w:hAnsi="Times New Roman" w:cs="Times New Roman"/>
          <w:b/>
          <w:bCs/>
        </w:rPr>
        <w:t>Aseng</w:t>
      </w:r>
      <w:r w:rsidRPr="00CB1515">
        <w:rPr>
          <w:rFonts w:ascii="Times New Roman" w:hAnsi="Times New Roman" w:cs="Times New Roman"/>
        </w:rPr>
        <w:t xml:space="preserve"> gas (Block I) reached FID on 31 March/1 April 2026, targeting </w:t>
      </w:r>
      <w:proofErr w:type="spellStart"/>
      <w:r w:rsidRPr="00CB1515">
        <w:rPr>
          <w:rFonts w:ascii="Times New Roman" w:hAnsi="Times New Roman" w:cs="Times New Roman"/>
        </w:rPr>
        <w:t>monetisation</w:t>
      </w:r>
      <w:proofErr w:type="spellEnd"/>
      <w:r w:rsidRPr="00CB1515">
        <w:rPr>
          <w:rFonts w:ascii="Times New Roman" w:hAnsi="Times New Roman" w:cs="Times New Roman"/>
        </w:rPr>
        <w:t xml:space="preserve"> of approximately 550 billion cubic feet of natural gas via a subsea tie-back to the existing Alen platform, with offshore installation work by Subsea7 (contract value $150–300 million) starting in 2026; first gas is not yet flowing and is not counted in current feedstock. A further </w:t>
      </w:r>
      <w:r w:rsidRPr="00CB1515">
        <w:rPr>
          <w:rFonts w:ascii="Times New Roman" w:hAnsi="Times New Roman" w:cs="Times New Roman"/>
          <w:b/>
          <w:bCs/>
        </w:rPr>
        <w:t xml:space="preserve">Alba Tail Gas </w:t>
      </w:r>
      <w:proofErr w:type="spellStart"/>
      <w:r w:rsidRPr="00CB1515">
        <w:rPr>
          <w:rFonts w:ascii="Times New Roman" w:hAnsi="Times New Roman" w:cs="Times New Roman"/>
          <w:b/>
          <w:bCs/>
        </w:rPr>
        <w:t>Monetisation</w:t>
      </w:r>
      <w:proofErr w:type="spellEnd"/>
      <w:r w:rsidRPr="00CB1515">
        <w:rPr>
          <w:rFonts w:ascii="Times New Roman" w:hAnsi="Times New Roman" w:cs="Times New Roman"/>
          <w:b/>
          <w:bCs/>
        </w:rPr>
        <w:t xml:space="preserve"> Project (~825 bcf)</w:t>
      </w:r>
      <w:r w:rsidRPr="00CB1515">
        <w:rPr>
          <w:rFonts w:ascii="Times New Roman" w:hAnsi="Times New Roman" w:cs="Times New Roman"/>
        </w:rPr>
        <w:t xml:space="preserve"> is referenced in government/industry commentary as part of the GMH pipeline of projects, alongside the Alen Gas Monetization Project (580 BCF) and Aseng Gas Monetization Project (~1 TCF), but has not been confirmed at FID as of August 2026 — it is classified </w:t>
      </w:r>
      <w:r w:rsidRPr="00CB1515">
        <w:rPr>
          <w:rFonts w:ascii="Times New Roman" w:hAnsi="Times New Roman" w:cs="Times New Roman"/>
          <w:b/>
          <w:bCs/>
        </w:rPr>
        <w:t>Development/Proposed</w:t>
      </w:r>
      <w:r w:rsidRPr="00CB1515">
        <w:rPr>
          <w:rFonts w:ascii="Times New Roman" w:hAnsi="Times New Roman" w:cs="Times New Roman"/>
        </w:rPr>
        <w:t>.</w:t>
      </w:r>
    </w:p>
    <w:p w14:paraId="26C6DCE6"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Historically, EG LNG has also competed with </w:t>
      </w:r>
      <w:r w:rsidRPr="00CB1515">
        <w:rPr>
          <w:rFonts w:ascii="Times New Roman" w:hAnsi="Times New Roman" w:cs="Times New Roman"/>
          <w:b/>
          <w:bCs/>
        </w:rPr>
        <w:t>AMPCO</w:t>
      </w:r>
      <w:r w:rsidRPr="00CB1515">
        <w:rPr>
          <w:rFonts w:ascii="Times New Roman" w:hAnsi="Times New Roman" w:cs="Times New Roman"/>
        </w:rPr>
        <w:t xml:space="preserve"> (methanol, 45% Marathon/ConocoPhillips interest) and the </w:t>
      </w:r>
      <w:r w:rsidRPr="00CB1515">
        <w:rPr>
          <w:rFonts w:ascii="Times New Roman" w:hAnsi="Times New Roman" w:cs="Times New Roman"/>
          <w:b/>
          <w:bCs/>
        </w:rPr>
        <w:t>Alba LPG plant</w:t>
      </w:r>
      <w:r w:rsidRPr="00CB1515">
        <w:rPr>
          <w:rFonts w:ascii="Times New Roman" w:hAnsi="Times New Roman" w:cs="Times New Roman"/>
        </w:rPr>
        <w:t xml:space="preserve"> for Alba gas. In 2024, the operator began redirecting gas from methanol to LNG to </w:t>
      </w:r>
      <w:proofErr w:type="spellStart"/>
      <w:r w:rsidRPr="00CB1515">
        <w:rPr>
          <w:rFonts w:ascii="Times New Roman" w:hAnsi="Times New Roman" w:cs="Times New Roman"/>
        </w:rPr>
        <w:t>optimise</w:t>
      </w:r>
      <w:proofErr w:type="spellEnd"/>
      <w:r w:rsidRPr="00CB1515">
        <w:rPr>
          <w:rFonts w:ascii="Times New Roman" w:hAnsi="Times New Roman" w:cs="Times New Roman"/>
        </w:rPr>
        <w:t xml:space="preserve"> integrated gas operations, given the arbitrage between LNG and methanol pricing, redirecting a portion of Alba Unit natural gas from the AMPCO-operated methanol plant to the EG LNG-operated LNG plant — evidence that feedstock, not liquefaction capacity, is the binding constraint at Punta Europa.</w:t>
      </w:r>
    </w:p>
    <w:p w14:paraId="36153C58"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1.2 Historical and current indicators</w:t>
      </w:r>
    </w:p>
    <w:tbl>
      <w:tblPr>
        <w:tblStyle w:val="TableGrid"/>
        <w:tblW w:w="9497" w:type="dxa"/>
        <w:tblLook w:val="04A0" w:firstRow="1" w:lastRow="0" w:firstColumn="1" w:lastColumn="0" w:noHBand="0" w:noVBand="1"/>
      </w:tblPr>
      <w:tblGrid>
        <w:gridCol w:w="1194"/>
        <w:gridCol w:w="694"/>
        <w:gridCol w:w="958"/>
        <w:gridCol w:w="864"/>
        <w:gridCol w:w="864"/>
        <w:gridCol w:w="864"/>
        <w:gridCol w:w="1072"/>
        <w:gridCol w:w="864"/>
        <w:gridCol w:w="2123"/>
      </w:tblGrid>
      <w:tr w:rsidR="00CB1515" w:rsidRPr="00CB1515" w14:paraId="3A15CA61" w14:textId="77777777" w:rsidTr="00CB1515">
        <w:tc>
          <w:tcPr>
            <w:tcW w:w="0" w:type="auto"/>
            <w:hideMark/>
          </w:tcPr>
          <w:p w14:paraId="67B8DF2C"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Indicator</w:t>
            </w:r>
          </w:p>
        </w:tc>
        <w:tc>
          <w:tcPr>
            <w:tcW w:w="796" w:type="dxa"/>
            <w:hideMark/>
          </w:tcPr>
          <w:p w14:paraId="3A5687B5"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2020</w:t>
            </w:r>
          </w:p>
        </w:tc>
        <w:tc>
          <w:tcPr>
            <w:tcW w:w="947" w:type="dxa"/>
            <w:hideMark/>
          </w:tcPr>
          <w:p w14:paraId="24A0F3BC"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2021</w:t>
            </w:r>
          </w:p>
        </w:tc>
        <w:tc>
          <w:tcPr>
            <w:tcW w:w="0" w:type="auto"/>
            <w:hideMark/>
          </w:tcPr>
          <w:p w14:paraId="4DB349F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2022</w:t>
            </w:r>
          </w:p>
        </w:tc>
        <w:tc>
          <w:tcPr>
            <w:tcW w:w="0" w:type="auto"/>
            <w:hideMark/>
          </w:tcPr>
          <w:p w14:paraId="722A4ED1"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2023</w:t>
            </w:r>
          </w:p>
        </w:tc>
        <w:tc>
          <w:tcPr>
            <w:tcW w:w="0" w:type="auto"/>
            <w:hideMark/>
          </w:tcPr>
          <w:p w14:paraId="5C1E94F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2024</w:t>
            </w:r>
          </w:p>
        </w:tc>
        <w:tc>
          <w:tcPr>
            <w:tcW w:w="0" w:type="auto"/>
            <w:hideMark/>
          </w:tcPr>
          <w:p w14:paraId="1C44ECD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2025</w:t>
            </w:r>
          </w:p>
        </w:tc>
        <w:tc>
          <w:tcPr>
            <w:tcW w:w="0" w:type="auto"/>
            <w:hideMark/>
          </w:tcPr>
          <w:p w14:paraId="1B3EE7A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2026</w:t>
            </w:r>
          </w:p>
        </w:tc>
        <w:tc>
          <w:tcPr>
            <w:tcW w:w="0" w:type="auto"/>
            <w:hideMark/>
          </w:tcPr>
          <w:p w14:paraId="5749823A"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Source</w:t>
            </w:r>
          </w:p>
        </w:tc>
      </w:tr>
      <w:tr w:rsidR="00CB1515" w:rsidRPr="00CB1515" w14:paraId="11AAB4DB" w14:textId="77777777" w:rsidTr="00CB1515">
        <w:tc>
          <w:tcPr>
            <w:tcW w:w="0" w:type="auto"/>
            <w:hideMark/>
          </w:tcPr>
          <w:p w14:paraId="7101C6D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EG LNG nameplate capacity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w:t>
            </w:r>
          </w:p>
        </w:tc>
        <w:tc>
          <w:tcPr>
            <w:tcW w:w="796" w:type="dxa"/>
            <w:hideMark/>
          </w:tcPr>
          <w:p w14:paraId="6C375ED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947" w:type="dxa"/>
            <w:hideMark/>
          </w:tcPr>
          <w:p w14:paraId="233DFB1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0" w:type="auto"/>
            <w:hideMark/>
          </w:tcPr>
          <w:p w14:paraId="1BD6F9A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0" w:type="auto"/>
            <w:hideMark/>
          </w:tcPr>
          <w:p w14:paraId="2135248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0" w:type="auto"/>
            <w:hideMark/>
          </w:tcPr>
          <w:p w14:paraId="0EC7689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0" w:type="auto"/>
            <w:hideMark/>
          </w:tcPr>
          <w:p w14:paraId="130389D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0" w:type="auto"/>
            <w:hideMark/>
          </w:tcPr>
          <w:p w14:paraId="09CC176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3.7</w:t>
            </w:r>
          </w:p>
        </w:tc>
        <w:tc>
          <w:tcPr>
            <w:tcW w:w="0" w:type="auto"/>
            <w:hideMark/>
          </w:tcPr>
          <w:p w14:paraId="75A9E45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Global Energy Monitor</w:t>
            </w:r>
          </w:p>
        </w:tc>
      </w:tr>
      <w:tr w:rsidR="00CB1515" w:rsidRPr="00CB1515" w14:paraId="20A77646" w14:textId="77777777" w:rsidTr="00CB1515">
        <w:tc>
          <w:tcPr>
            <w:tcW w:w="0" w:type="auto"/>
            <w:hideMark/>
          </w:tcPr>
          <w:p w14:paraId="5CE8ECC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Marketed gas production (</w:t>
            </w:r>
            <w:proofErr w:type="spellStart"/>
            <w:r w:rsidRPr="00CB1515">
              <w:rPr>
                <w:rFonts w:ascii="Times New Roman" w:hAnsi="Times New Roman" w:cs="Times New Roman"/>
                <w:sz w:val="22"/>
                <w:szCs w:val="22"/>
              </w:rPr>
              <w:t>bcm</w:t>
            </w:r>
            <w:proofErr w:type="spellEnd"/>
            <w:r w:rsidRPr="00CB1515">
              <w:rPr>
                <w:rFonts w:ascii="Times New Roman" w:hAnsi="Times New Roman" w:cs="Times New Roman"/>
                <w:sz w:val="22"/>
                <w:szCs w:val="22"/>
              </w:rPr>
              <w:t>/yr)</w:t>
            </w:r>
          </w:p>
        </w:tc>
        <w:tc>
          <w:tcPr>
            <w:tcW w:w="796" w:type="dxa"/>
            <w:hideMark/>
          </w:tcPr>
          <w:p w14:paraId="6ED0897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~6.2 (e)</w:t>
            </w:r>
          </w:p>
        </w:tc>
        <w:tc>
          <w:tcPr>
            <w:tcW w:w="947" w:type="dxa"/>
            <w:hideMark/>
          </w:tcPr>
          <w:p w14:paraId="5136D87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~7.2 (e)</w:t>
            </w:r>
          </w:p>
        </w:tc>
        <w:tc>
          <w:tcPr>
            <w:tcW w:w="0" w:type="auto"/>
            <w:hideMark/>
          </w:tcPr>
          <w:p w14:paraId="401B7AF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8.3</w:t>
            </w:r>
          </w:p>
        </w:tc>
        <w:tc>
          <w:tcPr>
            <w:tcW w:w="0" w:type="auto"/>
            <w:hideMark/>
          </w:tcPr>
          <w:p w14:paraId="794A1E5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7.3</w:t>
            </w:r>
          </w:p>
        </w:tc>
        <w:tc>
          <w:tcPr>
            <w:tcW w:w="0" w:type="auto"/>
            <w:hideMark/>
          </w:tcPr>
          <w:p w14:paraId="2B7BC98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7.7</w:t>
            </w:r>
          </w:p>
        </w:tc>
        <w:tc>
          <w:tcPr>
            <w:tcW w:w="0" w:type="auto"/>
            <w:hideMark/>
          </w:tcPr>
          <w:p w14:paraId="46EFF22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 not yet published</w:t>
            </w:r>
          </w:p>
        </w:tc>
        <w:tc>
          <w:tcPr>
            <w:tcW w:w="0" w:type="auto"/>
            <w:hideMark/>
          </w:tcPr>
          <w:p w14:paraId="7E288F8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751779C5"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Enerdata</w:t>
            </w:r>
            <w:proofErr w:type="spellEnd"/>
            <w:r w:rsidRPr="00CB1515">
              <w:rPr>
                <w:rFonts w:ascii="Times New Roman" w:hAnsi="Times New Roman" w:cs="Times New Roman"/>
                <w:sz w:val="22"/>
                <w:szCs w:val="22"/>
              </w:rPr>
              <w:t xml:space="preserve"> (2020–21 figures derived from stated "+16%/yr 2020–22" growth rate; 2022–24 as reported)</w:t>
            </w:r>
          </w:p>
        </w:tc>
      </w:tr>
      <w:tr w:rsidR="00CB1515" w:rsidRPr="00CB1515" w14:paraId="66A894BE" w14:textId="77777777" w:rsidTr="00CB1515">
        <w:tc>
          <w:tcPr>
            <w:tcW w:w="0" w:type="auto"/>
            <w:hideMark/>
          </w:tcPr>
          <w:p w14:paraId="5371311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Share of marketed gas exported as LNG (%)</w:t>
            </w:r>
          </w:p>
        </w:tc>
        <w:tc>
          <w:tcPr>
            <w:tcW w:w="796" w:type="dxa"/>
            <w:hideMark/>
          </w:tcPr>
          <w:p w14:paraId="387470F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947" w:type="dxa"/>
            <w:hideMark/>
          </w:tcPr>
          <w:p w14:paraId="661F272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542EA29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1C20725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23D04F2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54</w:t>
            </w:r>
          </w:p>
        </w:tc>
        <w:tc>
          <w:tcPr>
            <w:tcW w:w="0" w:type="auto"/>
            <w:hideMark/>
          </w:tcPr>
          <w:p w14:paraId="0978435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65BC035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78DA3823"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Enerdata</w:t>
            </w:r>
            <w:proofErr w:type="spellEnd"/>
            <w:r w:rsidRPr="00CB1515">
              <w:rPr>
                <w:rFonts w:ascii="Times New Roman" w:hAnsi="Times New Roman" w:cs="Times New Roman"/>
                <w:sz w:val="22"/>
                <w:szCs w:val="22"/>
              </w:rPr>
              <w:t xml:space="preserve"> (2024 figure; 2010 baseline was 75%, implying a structural shift of gas toward domestic LPG/methanol/power and reinjection)</w:t>
            </w:r>
          </w:p>
        </w:tc>
      </w:tr>
      <w:tr w:rsidR="00CB1515" w:rsidRPr="00CB1515" w14:paraId="03AB0F8D" w14:textId="77777777" w:rsidTr="00CB1515">
        <w:tc>
          <w:tcPr>
            <w:tcW w:w="0" w:type="auto"/>
            <w:hideMark/>
          </w:tcPr>
          <w:p w14:paraId="6C5F2AF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LNG exports — confirmed </w:t>
            </w:r>
            <w:r w:rsidRPr="00CB1515">
              <w:rPr>
                <w:rFonts w:ascii="Times New Roman" w:hAnsi="Times New Roman" w:cs="Times New Roman"/>
                <w:sz w:val="22"/>
                <w:szCs w:val="22"/>
              </w:rPr>
              <w:lastRenderedPageBreak/>
              <w:t>shipment data (Mt)</w:t>
            </w:r>
          </w:p>
        </w:tc>
        <w:tc>
          <w:tcPr>
            <w:tcW w:w="796" w:type="dxa"/>
            <w:hideMark/>
          </w:tcPr>
          <w:p w14:paraId="19FF4B4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n/a</w:t>
            </w:r>
          </w:p>
        </w:tc>
        <w:tc>
          <w:tcPr>
            <w:tcW w:w="947" w:type="dxa"/>
            <w:hideMark/>
          </w:tcPr>
          <w:p w14:paraId="71F8843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3.2</w:t>
            </w:r>
            <w:r w:rsidRPr="00CB1515">
              <w:rPr>
                <w:rFonts w:ascii="Times New Roman" w:hAnsi="Times New Roman" w:cs="Times New Roman"/>
                <w:sz w:val="22"/>
                <w:szCs w:val="22"/>
              </w:rPr>
              <w:t xml:space="preserve"> (44 cargoes)</w:t>
            </w:r>
          </w:p>
        </w:tc>
        <w:tc>
          <w:tcPr>
            <w:tcW w:w="0" w:type="auto"/>
            <w:hideMark/>
          </w:tcPr>
          <w:p w14:paraId="65F60BF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2B372EF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7F10D6A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44087FB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15196E3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0BA63E2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African Energy Chamber (2021 </w:t>
            </w:r>
            <w:r w:rsidRPr="00CB1515">
              <w:rPr>
                <w:rFonts w:ascii="Times New Roman" w:hAnsi="Times New Roman" w:cs="Times New Roman"/>
                <w:sz w:val="22"/>
                <w:szCs w:val="22"/>
              </w:rPr>
              <w:lastRenderedPageBreak/>
              <w:t>GIIGNL-sourced cargo count)</w:t>
            </w:r>
          </w:p>
        </w:tc>
      </w:tr>
      <w:tr w:rsidR="00CB1515" w:rsidRPr="00CB1515" w14:paraId="2B4DAD40" w14:textId="77777777" w:rsidTr="00CB1515">
        <w:tc>
          <w:tcPr>
            <w:tcW w:w="0" w:type="auto"/>
            <w:hideMark/>
          </w:tcPr>
          <w:p w14:paraId="54803C3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Implied LNG capacity </w:t>
            </w:r>
            <w:proofErr w:type="spellStart"/>
            <w:r w:rsidRPr="00CB1515">
              <w:rPr>
                <w:rFonts w:ascii="Times New Roman" w:hAnsi="Times New Roman" w:cs="Times New Roman"/>
                <w:sz w:val="22"/>
                <w:szCs w:val="22"/>
              </w:rPr>
              <w:t>utilisation</w:t>
            </w:r>
            <w:proofErr w:type="spellEnd"/>
            <w:r w:rsidRPr="00CB1515">
              <w:rPr>
                <w:rFonts w:ascii="Times New Roman" w:hAnsi="Times New Roman" w:cs="Times New Roman"/>
                <w:sz w:val="22"/>
                <w:szCs w:val="22"/>
              </w:rPr>
              <w:t xml:space="preserve"> (%, vs. 3.7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w:t>
            </w:r>
          </w:p>
        </w:tc>
        <w:tc>
          <w:tcPr>
            <w:tcW w:w="796" w:type="dxa"/>
            <w:hideMark/>
          </w:tcPr>
          <w:p w14:paraId="5693A37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947" w:type="dxa"/>
            <w:hideMark/>
          </w:tcPr>
          <w:p w14:paraId="78F3B62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~86 (e, from 3.2 Mt)</w:t>
            </w:r>
          </w:p>
        </w:tc>
        <w:tc>
          <w:tcPr>
            <w:tcW w:w="0" w:type="auto"/>
            <w:hideMark/>
          </w:tcPr>
          <w:p w14:paraId="389F8B1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5BA7257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3654ACE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697A0AF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0A04431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608D644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Derived</w:t>
            </w:r>
          </w:p>
        </w:tc>
      </w:tr>
      <w:tr w:rsidR="00CB1515" w:rsidRPr="00CB1515" w14:paraId="29FED7D3" w14:textId="77777777" w:rsidTr="00CB1515">
        <w:tc>
          <w:tcPr>
            <w:tcW w:w="0" w:type="auto"/>
            <w:hideMark/>
          </w:tcPr>
          <w:p w14:paraId="5DFC2A7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Crude oil + condensate production (Mt)</w:t>
            </w:r>
          </w:p>
        </w:tc>
        <w:tc>
          <w:tcPr>
            <w:tcW w:w="796" w:type="dxa"/>
            <w:hideMark/>
          </w:tcPr>
          <w:p w14:paraId="2DF61C9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947" w:type="dxa"/>
            <w:hideMark/>
          </w:tcPr>
          <w:p w14:paraId="55B4261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7B25707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665906C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006525D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4.5</w:t>
            </w:r>
          </w:p>
        </w:tc>
        <w:tc>
          <w:tcPr>
            <w:tcW w:w="0" w:type="auto"/>
            <w:hideMark/>
          </w:tcPr>
          <w:p w14:paraId="436A132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576EB6A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4D6154CB"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Enerdata</w:t>
            </w:r>
            <w:proofErr w:type="spellEnd"/>
          </w:p>
        </w:tc>
      </w:tr>
      <w:tr w:rsidR="00CB1515" w:rsidRPr="00CB1515" w14:paraId="72AC4A65" w14:textId="77777777" w:rsidTr="00CB1515">
        <w:tc>
          <w:tcPr>
            <w:tcW w:w="0" w:type="auto"/>
            <w:hideMark/>
          </w:tcPr>
          <w:p w14:paraId="30AA789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Crude oil production (</w:t>
            </w:r>
            <w:proofErr w:type="spellStart"/>
            <w:r w:rsidRPr="00CB1515">
              <w:rPr>
                <w:rFonts w:ascii="Times New Roman" w:hAnsi="Times New Roman" w:cs="Times New Roman"/>
                <w:sz w:val="22"/>
                <w:szCs w:val="22"/>
              </w:rPr>
              <w:t>kbpd</w:t>
            </w:r>
            <w:proofErr w:type="spellEnd"/>
            <w:r w:rsidRPr="00CB1515">
              <w:rPr>
                <w:rFonts w:ascii="Times New Roman" w:hAnsi="Times New Roman" w:cs="Times New Roman"/>
                <w:sz w:val="22"/>
                <w:szCs w:val="22"/>
              </w:rPr>
              <w:t>)</w:t>
            </w:r>
          </w:p>
        </w:tc>
        <w:tc>
          <w:tcPr>
            <w:tcW w:w="796" w:type="dxa"/>
            <w:hideMark/>
          </w:tcPr>
          <w:p w14:paraId="16E128E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947" w:type="dxa"/>
            <w:hideMark/>
          </w:tcPr>
          <w:p w14:paraId="56E9E20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6592144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119</w:t>
            </w:r>
          </w:p>
        </w:tc>
        <w:tc>
          <w:tcPr>
            <w:tcW w:w="0" w:type="auto"/>
            <w:hideMark/>
          </w:tcPr>
          <w:p w14:paraId="3020651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55</w:t>
            </w:r>
          </w:p>
        </w:tc>
        <w:tc>
          <w:tcPr>
            <w:tcW w:w="0" w:type="auto"/>
            <w:hideMark/>
          </w:tcPr>
          <w:p w14:paraId="65D3353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72AE581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55–62</w:t>
            </w:r>
          </w:p>
        </w:tc>
        <w:tc>
          <w:tcPr>
            <w:tcW w:w="0" w:type="auto"/>
            <w:hideMark/>
          </w:tcPr>
          <w:p w14:paraId="2576A95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544B9552"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GISReportsOnline</w:t>
            </w:r>
            <w:proofErr w:type="spellEnd"/>
            <w:r w:rsidRPr="00CB1515">
              <w:rPr>
                <w:rFonts w:ascii="Times New Roman" w:hAnsi="Times New Roman" w:cs="Times New Roman"/>
                <w:sz w:val="22"/>
                <w:szCs w:val="22"/>
              </w:rPr>
              <w:t xml:space="preserve"> (2022, OPEC); Ecofin (2023, 2025)</w:t>
            </w:r>
          </w:p>
        </w:tc>
      </w:tr>
      <w:tr w:rsidR="00CB1515" w:rsidRPr="00CB1515" w14:paraId="23D6EF25" w14:textId="77777777" w:rsidTr="00CB1515">
        <w:tc>
          <w:tcPr>
            <w:tcW w:w="0" w:type="auto"/>
            <w:hideMark/>
          </w:tcPr>
          <w:p w14:paraId="56AEFC3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 field decline rate</w:t>
            </w:r>
          </w:p>
        </w:tc>
        <w:tc>
          <w:tcPr>
            <w:tcW w:w="796" w:type="dxa"/>
            <w:hideMark/>
          </w:tcPr>
          <w:p w14:paraId="120E25F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t>
            </w:r>
          </w:p>
        </w:tc>
        <w:tc>
          <w:tcPr>
            <w:tcW w:w="947" w:type="dxa"/>
            <w:hideMark/>
          </w:tcPr>
          <w:p w14:paraId="43D25A3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t>
            </w:r>
          </w:p>
        </w:tc>
        <w:tc>
          <w:tcPr>
            <w:tcW w:w="0" w:type="auto"/>
            <w:hideMark/>
          </w:tcPr>
          <w:p w14:paraId="77DC4E7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8–10%/yr</w:t>
            </w:r>
          </w:p>
        </w:tc>
        <w:tc>
          <w:tcPr>
            <w:tcW w:w="0" w:type="auto"/>
            <w:hideMark/>
          </w:tcPr>
          <w:p w14:paraId="59BA2A0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8–10%/yr</w:t>
            </w:r>
          </w:p>
        </w:tc>
        <w:tc>
          <w:tcPr>
            <w:tcW w:w="0" w:type="auto"/>
            <w:hideMark/>
          </w:tcPr>
          <w:p w14:paraId="55EC2F3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8–10%/yr</w:t>
            </w:r>
          </w:p>
        </w:tc>
        <w:tc>
          <w:tcPr>
            <w:tcW w:w="0" w:type="auto"/>
            <w:hideMark/>
          </w:tcPr>
          <w:p w14:paraId="60DCC39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8–10%/yr</w:t>
            </w:r>
          </w:p>
        </w:tc>
        <w:tc>
          <w:tcPr>
            <w:tcW w:w="0" w:type="auto"/>
            <w:hideMark/>
          </w:tcPr>
          <w:p w14:paraId="1048A44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8–10%/yr</w:t>
            </w:r>
          </w:p>
        </w:tc>
        <w:tc>
          <w:tcPr>
            <w:tcW w:w="0" w:type="auto"/>
            <w:hideMark/>
          </w:tcPr>
          <w:p w14:paraId="4DD29CD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S&amp;P Global Commodity Insights</w:t>
            </w:r>
          </w:p>
        </w:tc>
      </w:tr>
    </w:tbl>
    <w:p w14:paraId="33D8E73D" w14:textId="77777777" w:rsidR="00CB1515" w:rsidRDefault="00CB1515" w:rsidP="002B6FBC">
      <w:pPr>
        <w:spacing w:line="276" w:lineRule="auto"/>
        <w:jc w:val="both"/>
        <w:rPr>
          <w:rFonts w:ascii="Times New Roman" w:hAnsi="Times New Roman" w:cs="Times New Roman"/>
          <w:b/>
          <w:bCs/>
        </w:rPr>
      </w:pPr>
    </w:p>
    <w:p w14:paraId="4BDCB7A7"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1.3 2026–2040 feedstock outlook</w:t>
      </w:r>
    </w:p>
    <w:p w14:paraId="6D7E51B0"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Feed gas requirement for full </w:t>
      </w:r>
      <w:proofErr w:type="spellStart"/>
      <w:r w:rsidRPr="00CB1515">
        <w:rPr>
          <w:rFonts w:ascii="Times New Roman" w:hAnsi="Times New Roman" w:cs="Times New Roman"/>
        </w:rPr>
        <w:t>utilisation</w:t>
      </w:r>
      <w:proofErr w:type="spellEnd"/>
      <w:r w:rsidRPr="00CB1515">
        <w:rPr>
          <w:rFonts w:ascii="Times New Roman" w:hAnsi="Times New Roman" w:cs="Times New Roman"/>
        </w:rPr>
        <w:t xml:space="preserve"> of the existing 3.7 </w:t>
      </w:r>
      <w:proofErr w:type="spellStart"/>
      <w:r w:rsidRPr="00CB1515">
        <w:rPr>
          <w:rFonts w:ascii="Times New Roman" w:hAnsi="Times New Roman" w:cs="Times New Roman"/>
        </w:rPr>
        <w:t>mtpa</w:t>
      </w:r>
      <w:proofErr w:type="spellEnd"/>
      <w:r w:rsidRPr="00CB1515">
        <w:rPr>
          <w:rFonts w:ascii="Times New Roman" w:hAnsi="Times New Roman" w:cs="Times New Roman"/>
        </w:rPr>
        <w:t xml:space="preserve"> train is estimated, using the standard industry conversion of </w:t>
      </w:r>
      <w:r w:rsidRPr="00CB1515">
        <w:rPr>
          <w:rFonts w:ascii="Times New Roman" w:hAnsi="Times New Roman" w:cs="Times New Roman"/>
          <w:b/>
          <w:bCs/>
        </w:rPr>
        <w:t xml:space="preserve">~48–55 bcf of feed gas per </w:t>
      </w:r>
      <w:proofErr w:type="spellStart"/>
      <w:r w:rsidRPr="00CB1515">
        <w:rPr>
          <w:rFonts w:ascii="Times New Roman" w:hAnsi="Times New Roman" w:cs="Times New Roman"/>
          <w:b/>
          <w:bCs/>
        </w:rPr>
        <w:t>mtpa</w:t>
      </w:r>
      <w:proofErr w:type="spellEnd"/>
      <w:r w:rsidRPr="00CB1515">
        <w:rPr>
          <w:rFonts w:ascii="Times New Roman" w:hAnsi="Times New Roman" w:cs="Times New Roman"/>
          <w:b/>
          <w:bCs/>
        </w:rPr>
        <w:t xml:space="preserve"> of LNG output</w:t>
      </w:r>
      <w:r w:rsidRPr="00CB1515">
        <w:rPr>
          <w:rFonts w:ascii="Times New Roman" w:hAnsi="Times New Roman" w:cs="Times New Roman"/>
        </w:rPr>
        <w:t xml:space="preserve"> (reflecting ~10–15% plant fuel/shrinkage losses; this is a benchmark, not an EG LNG-specific engineering figure), at approximately </w:t>
      </w:r>
      <w:r w:rsidRPr="00CB1515">
        <w:rPr>
          <w:rFonts w:ascii="Times New Roman" w:hAnsi="Times New Roman" w:cs="Times New Roman"/>
          <w:b/>
          <w:bCs/>
        </w:rPr>
        <w:t xml:space="preserve">195–220 bcf/yr (535–600 </w:t>
      </w:r>
      <w:proofErr w:type="spellStart"/>
      <w:r w:rsidRPr="00CB1515">
        <w:rPr>
          <w:rFonts w:ascii="Times New Roman" w:hAnsi="Times New Roman" w:cs="Times New Roman"/>
          <w:b/>
          <w:bCs/>
        </w:rPr>
        <w:t>mmscfd</w:t>
      </w:r>
      <w:proofErr w:type="spellEnd"/>
      <w:r w:rsidRPr="00CB1515">
        <w:rPr>
          <w:rFonts w:ascii="Times New Roman" w:hAnsi="Times New Roman" w:cs="Times New Roman"/>
          <w:b/>
          <w:bCs/>
        </w:rPr>
        <w:t>)</w:t>
      </w:r>
      <w:r w:rsidRPr="00CB1515">
        <w:rPr>
          <w:rFonts w:ascii="Times New Roman" w:hAnsi="Times New Roman" w:cs="Times New Roman"/>
        </w:rPr>
        <w:t>.</w:t>
      </w:r>
    </w:p>
    <w:tbl>
      <w:tblPr>
        <w:tblStyle w:val="TableGrid"/>
        <w:tblW w:w="0" w:type="auto"/>
        <w:tblLook w:val="04A0" w:firstRow="1" w:lastRow="0" w:firstColumn="1" w:lastColumn="0" w:noHBand="0" w:noVBand="1"/>
      </w:tblPr>
      <w:tblGrid>
        <w:gridCol w:w="856"/>
        <w:gridCol w:w="2290"/>
        <w:gridCol w:w="2480"/>
        <w:gridCol w:w="1754"/>
        <w:gridCol w:w="1970"/>
      </w:tblGrid>
      <w:tr w:rsidR="00CB1515" w:rsidRPr="00CB1515" w14:paraId="119CEEDC" w14:textId="77777777" w:rsidTr="00CB1515">
        <w:tc>
          <w:tcPr>
            <w:tcW w:w="0" w:type="auto"/>
            <w:hideMark/>
          </w:tcPr>
          <w:p w14:paraId="2210CCD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Period</w:t>
            </w:r>
          </w:p>
        </w:tc>
        <w:tc>
          <w:tcPr>
            <w:tcW w:w="0" w:type="auto"/>
            <w:hideMark/>
          </w:tcPr>
          <w:p w14:paraId="798F3057"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Domestic gas availability (indicative, bcf/yr)</w:t>
            </w:r>
          </w:p>
        </w:tc>
        <w:tc>
          <w:tcPr>
            <w:tcW w:w="0" w:type="auto"/>
            <w:hideMark/>
          </w:tcPr>
          <w:p w14:paraId="053E6A74"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Basis</w:t>
            </w:r>
          </w:p>
        </w:tc>
        <w:tc>
          <w:tcPr>
            <w:tcW w:w="0" w:type="auto"/>
            <w:hideMark/>
          </w:tcPr>
          <w:p w14:paraId="4686868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 xml:space="preserve">LNG feedstock requirement at full </w:t>
            </w:r>
            <w:proofErr w:type="spellStart"/>
            <w:r w:rsidRPr="00CB1515">
              <w:rPr>
                <w:rFonts w:ascii="Times New Roman" w:hAnsi="Times New Roman" w:cs="Times New Roman"/>
                <w:b/>
                <w:bCs/>
                <w:sz w:val="22"/>
                <w:szCs w:val="22"/>
              </w:rPr>
              <w:t>utilisation</w:t>
            </w:r>
            <w:proofErr w:type="spellEnd"/>
            <w:r w:rsidRPr="00CB1515">
              <w:rPr>
                <w:rFonts w:ascii="Times New Roman" w:hAnsi="Times New Roman" w:cs="Times New Roman"/>
                <w:b/>
                <w:bCs/>
                <w:sz w:val="22"/>
                <w:szCs w:val="22"/>
              </w:rPr>
              <w:t xml:space="preserve"> (bcf/yr)</w:t>
            </w:r>
          </w:p>
        </w:tc>
        <w:tc>
          <w:tcPr>
            <w:tcW w:w="0" w:type="auto"/>
            <w:hideMark/>
          </w:tcPr>
          <w:p w14:paraId="31E3F78F"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Indicative feedstock balance</w:t>
            </w:r>
          </w:p>
        </w:tc>
      </w:tr>
      <w:tr w:rsidR="00CB1515" w:rsidRPr="00CB1515" w14:paraId="7DCEC4E2" w14:textId="77777777" w:rsidTr="00CB1515">
        <w:tc>
          <w:tcPr>
            <w:tcW w:w="0" w:type="auto"/>
            <w:hideMark/>
          </w:tcPr>
          <w:p w14:paraId="4C84337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2026–2027</w:t>
            </w:r>
          </w:p>
        </w:tc>
        <w:tc>
          <w:tcPr>
            <w:tcW w:w="0" w:type="auto"/>
            <w:hideMark/>
          </w:tcPr>
          <w:p w14:paraId="06B6D89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~270 (Alba decline + Alen plateau)</w:t>
            </w:r>
          </w:p>
        </w:tc>
        <w:tc>
          <w:tcPr>
            <w:tcW w:w="0" w:type="auto"/>
            <w:hideMark/>
          </w:tcPr>
          <w:p w14:paraId="2F9EC39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Alba declining 8–10%/yr from an already-reduced base; Alen at plateau (~300 </w:t>
            </w:r>
            <w:proofErr w:type="spellStart"/>
            <w:r w:rsidRPr="00CB1515">
              <w:rPr>
                <w:rFonts w:ascii="Times New Roman" w:hAnsi="Times New Roman" w:cs="Times New Roman"/>
                <w:sz w:val="22"/>
                <w:szCs w:val="22"/>
              </w:rPr>
              <w:t>mmcf</w:t>
            </w:r>
            <w:proofErr w:type="spellEnd"/>
            <w:r w:rsidRPr="00CB1515">
              <w:rPr>
                <w:rFonts w:ascii="Times New Roman" w:hAnsi="Times New Roman" w:cs="Times New Roman"/>
                <w:sz w:val="22"/>
                <w:szCs w:val="22"/>
              </w:rPr>
              <w:t>/d ≈ 110 bcf/yr contribution)</w:t>
            </w:r>
          </w:p>
        </w:tc>
        <w:tc>
          <w:tcPr>
            <w:tcW w:w="0" w:type="auto"/>
            <w:hideMark/>
          </w:tcPr>
          <w:p w14:paraId="78C3137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~195–220</w:t>
            </w:r>
          </w:p>
        </w:tc>
        <w:tc>
          <w:tcPr>
            <w:tcW w:w="0" w:type="auto"/>
            <w:hideMark/>
          </w:tcPr>
          <w:p w14:paraId="6ECE5CE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Approximate balance to modest surplus, contingent on Alba decline rate</w:t>
            </w:r>
          </w:p>
        </w:tc>
      </w:tr>
      <w:tr w:rsidR="00CB1515" w:rsidRPr="00CB1515" w14:paraId="4CBF4955" w14:textId="77777777" w:rsidTr="00CB1515">
        <w:tc>
          <w:tcPr>
            <w:tcW w:w="0" w:type="auto"/>
            <w:hideMark/>
          </w:tcPr>
          <w:p w14:paraId="0064108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2028–2030</w:t>
            </w:r>
          </w:p>
        </w:tc>
        <w:tc>
          <w:tcPr>
            <w:tcW w:w="0" w:type="auto"/>
            <w:hideMark/>
          </w:tcPr>
          <w:p w14:paraId="19DA0F3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~320–370 (adds Aseng ramp-up, ~550 bcf resource over field life)</w:t>
            </w:r>
          </w:p>
        </w:tc>
        <w:tc>
          <w:tcPr>
            <w:tcW w:w="0" w:type="auto"/>
            <w:hideMark/>
          </w:tcPr>
          <w:p w14:paraId="5D85749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Aseng first gas expected post-2026 FID, likely ramp to plateau by ~2028–29 (benchmark 3–</w:t>
            </w:r>
            <w:r w:rsidRPr="00CB1515">
              <w:rPr>
                <w:rFonts w:ascii="Times New Roman" w:hAnsi="Times New Roman" w:cs="Times New Roman"/>
                <w:sz w:val="22"/>
                <w:szCs w:val="22"/>
              </w:rPr>
              <w:lastRenderedPageBreak/>
              <w:t>5 yr project timeline; not company-disclosed)</w:t>
            </w:r>
          </w:p>
        </w:tc>
        <w:tc>
          <w:tcPr>
            <w:tcW w:w="0" w:type="auto"/>
            <w:hideMark/>
          </w:tcPr>
          <w:p w14:paraId="63D77A8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~195–220</w:t>
            </w:r>
          </w:p>
        </w:tc>
        <w:tc>
          <w:tcPr>
            <w:tcW w:w="0" w:type="auto"/>
            <w:hideMark/>
          </w:tcPr>
          <w:p w14:paraId="5C83F0F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Surplus, assuming Alba decline is offset by Aseng</w:t>
            </w:r>
          </w:p>
        </w:tc>
      </w:tr>
      <w:tr w:rsidR="00CB1515" w:rsidRPr="00CB1515" w14:paraId="6D2B26FA" w14:textId="77777777" w:rsidTr="00CB1515">
        <w:tc>
          <w:tcPr>
            <w:tcW w:w="0" w:type="auto"/>
            <w:hideMark/>
          </w:tcPr>
          <w:p w14:paraId="616D1E6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2031–2035</w:t>
            </w:r>
          </w:p>
        </w:tc>
        <w:tc>
          <w:tcPr>
            <w:tcW w:w="0" w:type="auto"/>
            <w:hideMark/>
          </w:tcPr>
          <w:p w14:paraId="3234AED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~180–260 domestic-only (absent new projects); </w:t>
            </w:r>
            <w:r w:rsidRPr="00CB1515">
              <w:rPr>
                <w:rFonts w:ascii="Times New Roman" w:hAnsi="Times New Roman" w:cs="Times New Roman"/>
                <w:b/>
                <w:bCs/>
                <w:sz w:val="22"/>
                <w:szCs w:val="22"/>
              </w:rPr>
              <w:t>+regional volumes if Cameroon/Nigeria routes proceed</w:t>
            </w:r>
          </w:p>
        </w:tc>
        <w:tc>
          <w:tcPr>
            <w:tcW w:w="0" w:type="auto"/>
            <w:hideMark/>
          </w:tcPr>
          <w:p w14:paraId="2A250C6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Alba/Alen/Aseng resources progressively depleting; Alba tail gas and EG-27/</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remain pre-FID</w:t>
            </w:r>
          </w:p>
        </w:tc>
        <w:tc>
          <w:tcPr>
            <w:tcW w:w="0" w:type="auto"/>
            <w:hideMark/>
          </w:tcPr>
          <w:p w14:paraId="6A59CD7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~195–220 (EG LNG only); </w:t>
            </w:r>
            <w:r w:rsidRPr="00CB1515">
              <w:rPr>
                <w:rFonts w:ascii="Times New Roman" w:hAnsi="Times New Roman" w:cs="Times New Roman"/>
                <w:b/>
                <w:bCs/>
                <w:sz w:val="22"/>
                <w:szCs w:val="22"/>
              </w:rPr>
              <w:t xml:space="preserve">+~175 bcf/yr if EG-27 (360 </w:t>
            </w:r>
            <w:proofErr w:type="spellStart"/>
            <w:r w:rsidRPr="00CB1515">
              <w:rPr>
                <w:rFonts w:ascii="Times New Roman" w:hAnsi="Times New Roman" w:cs="Times New Roman"/>
                <w:b/>
                <w:bCs/>
                <w:sz w:val="22"/>
                <w:szCs w:val="22"/>
              </w:rPr>
              <w:t>mmscf</w:t>
            </w:r>
            <w:proofErr w:type="spellEnd"/>
            <w:r w:rsidRPr="00CB1515">
              <w:rPr>
                <w:rFonts w:ascii="Times New Roman" w:hAnsi="Times New Roman" w:cs="Times New Roman"/>
                <w:b/>
                <w:bCs/>
                <w:sz w:val="22"/>
                <w:szCs w:val="22"/>
              </w:rPr>
              <w:t>/d) proceeds as a second, separate LNG train</w:t>
            </w:r>
          </w:p>
        </w:tc>
        <w:tc>
          <w:tcPr>
            <w:tcW w:w="0" w:type="auto"/>
            <w:hideMark/>
          </w:tcPr>
          <w:p w14:paraId="122D413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Deficit risk for EG LNG train without new domestic FID or regional supply</w:t>
            </w:r>
            <w:r w:rsidRPr="00CB1515">
              <w:rPr>
                <w:rFonts w:ascii="Times New Roman" w:hAnsi="Times New Roman" w:cs="Times New Roman"/>
                <w:sz w:val="22"/>
                <w:szCs w:val="22"/>
              </w:rPr>
              <w:t>; EG-27 would require its own dedicated feedstock and does not relieve the existing train</w:t>
            </w:r>
          </w:p>
        </w:tc>
      </w:tr>
      <w:tr w:rsidR="00CB1515" w:rsidRPr="00CB1515" w14:paraId="074C43E4" w14:textId="77777777" w:rsidTr="00CB1515">
        <w:tc>
          <w:tcPr>
            <w:tcW w:w="0" w:type="auto"/>
            <w:hideMark/>
          </w:tcPr>
          <w:p w14:paraId="2B8342C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2036–2040</w:t>
            </w:r>
          </w:p>
        </w:tc>
        <w:tc>
          <w:tcPr>
            <w:tcW w:w="0" w:type="auto"/>
            <w:hideMark/>
          </w:tcPr>
          <w:p w14:paraId="65A58CC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Structurally dependent on regional aggregation or EG-27/</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(3.8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xml:space="preserve"> reserve)</w:t>
            </w:r>
          </w:p>
        </w:tc>
        <w:tc>
          <w:tcPr>
            <w:tcW w:w="0" w:type="auto"/>
            <w:hideMark/>
          </w:tcPr>
          <w:p w14:paraId="1B17A3B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Absent Yoyo-Yolanda/Nigeria gas reaching Punta Europa, domestic legacy fields (Alba/Alen/Aseng) are expected to be substantially depleted on 2020s decline trajectories</w:t>
            </w:r>
          </w:p>
        </w:tc>
        <w:tc>
          <w:tcPr>
            <w:tcW w:w="0" w:type="auto"/>
            <w:hideMark/>
          </w:tcPr>
          <w:p w14:paraId="74F1488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~195–220 (existing train); additional 175 bcf/yr if EG-27 proceeds</w:t>
            </w:r>
          </w:p>
        </w:tc>
        <w:tc>
          <w:tcPr>
            <w:tcW w:w="0" w:type="auto"/>
            <w:hideMark/>
          </w:tcPr>
          <w:p w14:paraId="677825B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 deficit risk</w:t>
            </w:r>
            <w:r w:rsidRPr="00CB1515">
              <w:rPr>
                <w:rFonts w:ascii="Times New Roman" w:hAnsi="Times New Roman" w:cs="Times New Roman"/>
                <w:sz w:val="22"/>
                <w:szCs w:val="22"/>
              </w:rPr>
              <w:t xml:space="preserve"> without successful regional aggregation or </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development</w:t>
            </w:r>
          </w:p>
        </w:tc>
      </w:tr>
    </w:tbl>
    <w:p w14:paraId="62FD50B6" w14:textId="77777777" w:rsidR="00CB1515" w:rsidRDefault="00CB1515" w:rsidP="002B6FBC">
      <w:pPr>
        <w:spacing w:line="276" w:lineRule="auto"/>
        <w:jc w:val="both"/>
        <w:rPr>
          <w:rFonts w:ascii="Times New Roman" w:hAnsi="Times New Roman" w:cs="Times New Roman"/>
          <w:b/>
          <w:bCs/>
        </w:rPr>
      </w:pPr>
    </w:p>
    <w:p w14:paraId="13D523D9" w14:textId="4A3F0CB1"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The </w:t>
      </w:r>
      <w:r w:rsidRPr="00CB1515">
        <w:rPr>
          <w:rFonts w:ascii="Times New Roman" w:hAnsi="Times New Roman" w:cs="Times New Roman"/>
        </w:rPr>
        <w:t>near-term (2026–2030) feedstock position is manageable given Aseng's FID, but the 2031+ period shows a structural gap that only regional gas (Cameroon, Nigeria) or the pre-FID EG-27/</w:t>
      </w:r>
      <w:proofErr w:type="spellStart"/>
      <w:r w:rsidRPr="00CB1515">
        <w:rPr>
          <w:rFonts w:ascii="Times New Roman" w:hAnsi="Times New Roman" w:cs="Times New Roman"/>
        </w:rPr>
        <w:t>Ebano</w:t>
      </w:r>
      <w:proofErr w:type="spellEnd"/>
      <w:r w:rsidRPr="00CB1515">
        <w:rPr>
          <w:rFonts w:ascii="Times New Roman" w:hAnsi="Times New Roman" w:cs="Times New Roman"/>
        </w:rPr>
        <w:t xml:space="preserve"> project can close. This is directionally consistent with, but more conservative than, official GMH messaging, which treats regional aggregation as a </w:t>
      </w:r>
      <w:proofErr w:type="spellStart"/>
      <w:r w:rsidRPr="00CB1515">
        <w:rPr>
          <w:rFonts w:ascii="Times New Roman" w:hAnsi="Times New Roman" w:cs="Times New Roman"/>
        </w:rPr>
        <w:t>a</w:t>
      </w:r>
      <w:proofErr w:type="spellEnd"/>
      <w:r w:rsidRPr="00CB1515">
        <w:rPr>
          <w:rFonts w:ascii="Times New Roman" w:hAnsi="Times New Roman" w:cs="Times New Roman"/>
        </w:rPr>
        <w:t xml:space="preserve"> core pillar rather than an optional upside.</w:t>
      </w:r>
    </w:p>
    <w:p w14:paraId="72CD0123" w14:textId="2B0E2E76" w:rsidR="00CB1515" w:rsidRPr="00CB1515" w:rsidRDefault="00CB1515" w:rsidP="002B6FBC">
      <w:pPr>
        <w:spacing w:line="276" w:lineRule="auto"/>
        <w:jc w:val="both"/>
        <w:rPr>
          <w:rFonts w:ascii="Times New Roman" w:hAnsi="Times New Roman" w:cs="Times New Roman"/>
        </w:rPr>
      </w:pPr>
    </w:p>
    <w:p w14:paraId="3DB19C98"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2. Punta Europa as a Regional Gas Hub</w:t>
      </w:r>
    </w:p>
    <w:p w14:paraId="61D136E1"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2.1 Technical suitability</w:t>
      </w:r>
    </w:p>
    <w:p w14:paraId="32333067"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Punta Europa already functions as a multi-product gas processing and export complex, combining LNG, LPG and methanol production fed from a shared offshore gathering system. Its principal technical strengths as an aggregation hub are: (</w:t>
      </w:r>
      <w:proofErr w:type="spellStart"/>
      <w:r w:rsidRPr="00CB1515">
        <w:rPr>
          <w:rFonts w:ascii="Times New Roman" w:hAnsi="Times New Roman" w:cs="Times New Roman"/>
        </w:rPr>
        <w:t>i</w:t>
      </w:r>
      <w:proofErr w:type="spellEnd"/>
      <w:r w:rsidRPr="00CB1515">
        <w:rPr>
          <w:rFonts w:ascii="Times New Roman" w:hAnsi="Times New Roman" w:cs="Times New Roman"/>
        </w:rPr>
        <w:t xml:space="preserve">) an existing 70 km, 24-inch trunk pipeline from the Alen offshore hub platform rated at 950 </w:t>
      </w:r>
      <w:proofErr w:type="spellStart"/>
      <w:r w:rsidRPr="00CB1515">
        <w:rPr>
          <w:rFonts w:ascii="Times New Roman" w:hAnsi="Times New Roman" w:cs="Times New Roman"/>
        </w:rPr>
        <w:t>mmcf</w:t>
      </w:r>
      <w:proofErr w:type="spellEnd"/>
      <w:r w:rsidRPr="00CB1515">
        <w:rPr>
          <w:rFonts w:ascii="Times New Roman" w:hAnsi="Times New Roman" w:cs="Times New Roman"/>
        </w:rPr>
        <w:t xml:space="preserve">/d — materially above current Alen-only throughput of 200–300 </w:t>
      </w:r>
      <w:proofErr w:type="spellStart"/>
      <w:r w:rsidRPr="00CB1515">
        <w:rPr>
          <w:rFonts w:ascii="Times New Roman" w:hAnsi="Times New Roman" w:cs="Times New Roman"/>
        </w:rPr>
        <w:t>mmcf</w:t>
      </w:r>
      <w:proofErr w:type="spellEnd"/>
      <w:r w:rsidRPr="00CB1515">
        <w:rPr>
          <w:rFonts w:ascii="Times New Roman" w:hAnsi="Times New Roman" w:cs="Times New Roman"/>
        </w:rPr>
        <w:t xml:space="preserve">/d, implying </w:t>
      </w:r>
      <w:r w:rsidRPr="00CB1515">
        <w:rPr>
          <w:rFonts w:ascii="Times New Roman" w:hAnsi="Times New Roman" w:cs="Times New Roman"/>
          <w:b/>
          <w:bCs/>
        </w:rPr>
        <w:t xml:space="preserve">~650–750 </w:t>
      </w:r>
      <w:proofErr w:type="spellStart"/>
      <w:r w:rsidRPr="00CB1515">
        <w:rPr>
          <w:rFonts w:ascii="Times New Roman" w:hAnsi="Times New Roman" w:cs="Times New Roman"/>
          <w:b/>
          <w:bCs/>
        </w:rPr>
        <w:t>mmcf</w:t>
      </w:r>
      <w:proofErr w:type="spellEnd"/>
      <w:r w:rsidRPr="00CB1515">
        <w:rPr>
          <w:rFonts w:ascii="Times New Roman" w:hAnsi="Times New Roman" w:cs="Times New Roman"/>
          <w:b/>
          <w:bCs/>
        </w:rPr>
        <w:t>/d of nominal spare pipeline capacity</w:t>
      </w:r>
      <w:r w:rsidRPr="00CB1515">
        <w:rPr>
          <w:rFonts w:ascii="Times New Roman" w:hAnsi="Times New Roman" w:cs="Times New Roman"/>
        </w:rPr>
        <w:t xml:space="preserve"> on that specific line; (ii) an operating LNG train with substantial spare feed-gas capacity (evidenced by the 2024 methanol-to-LNG gas reallocation); and (iii) established metering, condensate handling, and marine export infrastructure. Its principal constraints are: a single LNG train (no redundancy), an unresolved (likely cancelled) Train 2 expansion, and an aging Alba plant footprint designed around a single legacy field rather than multi-source blending.</w:t>
      </w:r>
    </w:p>
    <w:p w14:paraId="70D4B103"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lastRenderedPageBreak/>
        <w:t>2.2 Infrastructure summary</w:t>
      </w:r>
    </w:p>
    <w:tbl>
      <w:tblPr>
        <w:tblStyle w:val="TableGrid"/>
        <w:tblW w:w="0" w:type="auto"/>
        <w:tblLook w:val="04A0" w:firstRow="1" w:lastRow="0" w:firstColumn="1" w:lastColumn="0" w:noHBand="0" w:noVBand="1"/>
      </w:tblPr>
      <w:tblGrid>
        <w:gridCol w:w="1181"/>
        <w:gridCol w:w="1402"/>
        <w:gridCol w:w="1239"/>
        <w:gridCol w:w="1018"/>
        <w:gridCol w:w="2586"/>
        <w:gridCol w:w="1924"/>
      </w:tblGrid>
      <w:tr w:rsidR="00CB1515" w:rsidRPr="00CB1515" w14:paraId="32D27048" w14:textId="77777777" w:rsidTr="00D05741">
        <w:tc>
          <w:tcPr>
            <w:tcW w:w="0" w:type="auto"/>
            <w:hideMark/>
          </w:tcPr>
          <w:p w14:paraId="2A97B8E0"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Facility</w:t>
            </w:r>
          </w:p>
        </w:tc>
        <w:tc>
          <w:tcPr>
            <w:tcW w:w="0" w:type="auto"/>
            <w:hideMark/>
          </w:tcPr>
          <w:p w14:paraId="199C3BB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Capacity</w:t>
            </w:r>
          </w:p>
        </w:tc>
        <w:tc>
          <w:tcPr>
            <w:tcW w:w="0" w:type="auto"/>
            <w:hideMark/>
          </w:tcPr>
          <w:p w14:paraId="19ABF39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 xml:space="preserve">Current </w:t>
            </w:r>
            <w:proofErr w:type="spellStart"/>
            <w:r w:rsidRPr="00CB1515">
              <w:rPr>
                <w:rFonts w:ascii="Times New Roman" w:hAnsi="Times New Roman" w:cs="Times New Roman"/>
                <w:b/>
                <w:bCs/>
                <w:sz w:val="22"/>
                <w:szCs w:val="22"/>
              </w:rPr>
              <w:t>Utilisation</w:t>
            </w:r>
            <w:proofErr w:type="spellEnd"/>
          </w:p>
        </w:tc>
        <w:tc>
          <w:tcPr>
            <w:tcW w:w="0" w:type="auto"/>
            <w:hideMark/>
          </w:tcPr>
          <w:p w14:paraId="74AC90F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Spare Capacity</w:t>
            </w:r>
          </w:p>
        </w:tc>
        <w:tc>
          <w:tcPr>
            <w:tcW w:w="0" w:type="auto"/>
            <w:hideMark/>
          </w:tcPr>
          <w:p w14:paraId="1B432F6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Gas Source</w:t>
            </w:r>
          </w:p>
        </w:tc>
        <w:tc>
          <w:tcPr>
            <w:tcW w:w="0" w:type="auto"/>
            <w:hideMark/>
          </w:tcPr>
          <w:p w14:paraId="7B7E2EB3"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Status</w:t>
            </w:r>
          </w:p>
        </w:tc>
      </w:tr>
      <w:tr w:rsidR="00CB1515" w:rsidRPr="00CB1515" w14:paraId="60D43529" w14:textId="77777777" w:rsidTr="00D05741">
        <w:tc>
          <w:tcPr>
            <w:tcW w:w="0" w:type="auto"/>
            <w:hideMark/>
          </w:tcPr>
          <w:p w14:paraId="4E2A395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EG LNG Train 1</w:t>
            </w:r>
          </w:p>
        </w:tc>
        <w:tc>
          <w:tcPr>
            <w:tcW w:w="0" w:type="auto"/>
            <w:hideMark/>
          </w:tcPr>
          <w:p w14:paraId="44E5DD5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3.7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 xml:space="preserve"> (~535 </w:t>
            </w:r>
            <w:proofErr w:type="spellStart"/>
            <w:r w:rsidRPr="00CB1515">
              <w:rPr>
                <w:rFonts w:ascii="Times New Roman" w:hAnsi="Times New Roman" w:cs="Times New Roman"/>
                <w:sz w:val="22"/>
                <w:szCs w:val="22"/>
              </w:rPr>
              <w:t>mmscfd</w:t>
            </w:r>
            <w:proofErr w:type="spellEnd"/>
            <w:r w:rsidRPr="00CB1515">
              <w:rPr>
                <w:rFonts w:ascii="Times New Roman" w:hAnsi="Times New Roman" w:cs="Times New Roman"/>
                <w:sz w:val="22"/>
                <w:szCs w:val="22"/>
              </w:rPr>
              <w:t xml:space="preserve"> feed-gas equivalent)</w:t>
            </w:r>
          </w:p>
        </w:tc>
        <w:tc>
          <w:tcPr>
            <w:tcW w:w="0" w:type="auto"/>
            <w:hideMark/>
          </w:tcPr>
          <w:p w14:paraId="4169820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~80–86% (derived estimate; no official current-year figure published)</w:t>
            </w:r>
          </w:p>
        </w:tc>
        <w:tc>
          <w:tcPr>
            <w:tcW w:w="0" w:type="auto"/>
            <w:hideMark/>
          </w:tcPr>
          <w:p w14:paraId="07AD8F6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~14–20% of feed-gas capacity (~75–110 </w:t>
            </w:r>
            <w:proofErr w:type="spellStart"/>
            <w:r w:rsidRPr="00CB1515">
              <w:rPr>
                <w:rFonts w:ascii="Times New Roman" w:hAnsi="Times New Roman" w:cs="Times New Roman"/>
                <w:sz w:val="22"/>
                <w:szCs w:val="22"/>
              </w:rPr>
              <w:t>mmscfd</w:t>
            </w:r>
            <w:proofErr w:type="spellEnd"/>
            <w:r w:rsidRPr="00CB1515">
              <w:rPr>
                <w:rFonts w:ascii="Times New Roman" w:hAnsi="Times New Roman" w:cs="Times New Roman"/>
                <w:sz w:val="22"/>
                <w:szCs w:val="22"/>
              </w:rPr>
              <w:t>), pre-Aseng</w:t>
            </w:r>
          </w:p>
        </w:tc>
        <w:tc>
          <w:tcPr>
            <w:tcW w:w="0" w:type="auto"/>
            <w:hideMark/>
          </w:tcPr>
          <w:p w14:paraId="2862FB8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 Alen</w:t>
            </w:r>
          </w:p>
        </w:tc>
        <w:tc>
          <w:tcPr>
            <w:tcW w:w="0" w:type="auto"/>
            <w:hideMark/>
          </w:tcPr>
          <w:p w14:paraId="7857F16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Operational</w:t>
            </w:r>
          </w:p>
        </w:tc>
      </w:tr>
      <w:tr w:rsidR="00CB1515" w:rsidRPr="00CB1515" w14:paraId="184E4978" w14:textId="77777777" w:rsidTr="00D05741">
        <w:tc>
          <w:tcPr>
            <w:tcW w:w="0" w:type="auto"/>
            <w:hideMark/>
          </w:tcPr>
          <w:p w14:paraId="480849C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EG LNG Train 2 (historical proposal)</w:t>
            </w:r>
          </w:p>
        </w:tc>
        <w:tc>
          <w:tcPr>
            <w:tcW w:w="0" w:type="auto"/>
            <w:hideMark/>
          </w:tcPr>
          <w:p w14:paraId="01030FA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4.4 </w:t>
            </w:r>
            <w:proofErr w:type="spellStart"/>
            <w:r w:rsidRPr="00CB1515">
              <w:rPr>
                <w:rFonts w:ascii="Times New Roman" w:hAnsi="Times New Roman" w:cs="Times New Roman"/>
                <w:sz w:val="22"/>
                <w:szCs w:val="22"/>
              </w:rPr>
              <w:t>mtpa</w:t>
            </w:r>
            <w:proofErr w:type="spellEnd"/>
          </w:p>
        </w:tc>
        <w:tc>
          <w:tcPr>
            <w:tcW w:w="0" w:type="auto"/>
            <w:hideMark/>
          </w:tcPr>
          <w:p w14:paraId="6D7BD0D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w:t>
            </w:r>
          </w:p>
        </w:tc>
        <w:tc>
          <w:tcPr>
            <w:tcW w:w="0" w:type="auto"/>
            <w:hideMark/>
          </w:tcPr>
          <w:p w14:paraId="4207557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2E65C22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Would have required Nigeria/Cameroon/domestic gas per original plan</w:t>
            </w:r>
          </w:p>
        </w:tc>
        <w:tc>
          <w:tcPr>
            <w:tcW w:w="0" w:type="auto"/>
            <w:hideMark/>
          </w:tcPr>
          <w:p w14:paraId="10D6B79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Cancelled/presumed shelved (no updates since ~2017)</w:t>
            </w:r>
          </w:p>
        </w:tc>
      </w:tr>
      <w:tr w:rsidR="00CB1515" w:rsidRPr="00CB1515" w14:paraId="7EE2DCED" w14:textId="77777777" w:rsidTr="00D05741">
        <w:tc>
          <w:tcPr>
            <w:tcW w:w="0" w:type="auto"/>
            <w:hideMark/>
          </w:tcPr>
          <w:p w14:paraId="0E652EC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 LPG Plant</w:t>
            </w:r>
          </w:p>
        </w:tc>
        <w:tc>
          <w:tcPr>
            <w:tcW w:w="0" w:type="auto"/>
            <w:hideMark/>
          </w:tcPr>
          <w:p w14:paraId="5ABF516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independently disclosed in sources reviewed</w:t>
            </w:r>
          </w:p>
        </w:tc>
        <w:tc>
          <w:tcPr>
            <w:tcW w:w="0" w:type="auto"/>
            <w:hideMark/>
          </w:tcPr>
          <w:p w14:paraId="78A25AC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Reduced (gas increasingly redirected to LNG)</w:t>
            </w:r>
          </w:p>
        </w:tc>
        <w:tc>
          <w:tcPr>
            <w:tcW w:w="0" w:type="auto"/>
            <w:hideMark/>
          </w:tcPr>
          <w:p w14:paraId="0781118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w:t>
            </w:r>
          </w:p>
        </w:tc>
        <w:tc>
          <w:tcPr>
            <w:tcW w:w="0" w:type="auto"/>
            <w:hideMark/>
          </w:tcPr>
          <w:p w14:paraId="7D8B544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 Alen</w:t>
            </w:r>
          </w:p>
        </w:tc>
        <w:tc>
          <w:tcPr>
            <w:tcW w:w="0" w:type="auto"/>
            <w:hideMark/>
          </w:tcPr>
          <w:p w14:paraId="652CB32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Operational</w:t>
            </w:r>
          </w:p>
        </w:tc>
      </w:tr>
      <w:tr w:rsidR="00CB1515" w:rsidRPr="00CB1515" w14:paraId="19C73518" w14:textId="77777777" w:rsidTr="00D05741">
        <w:tc>
          <w:tcPr>
            <w:tcW w:w="0" w:type="auto"/>
            <w:hideMark/>
          </w:tcPr>
          <w:p w14:paraId="60425B8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AMPCO Methanol Plant</w:t>
            </w:r>
          </w:p>
        </w:tc>
        <w:tc>
          <w:tcPr>
            <w:tcW w:w="0" w:type="auto"/>
            <w:hideMark/>
          </w:tcPr>
          <w:p w14:paraId="6CBECF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independently disclosed</w:t>
            </w:r>
          </w:p>
        </w:tc>
        <w:tc>
          <w:tcPr>
            <w:tcW w:w="0" w:type="auto"/>
            <w:hideMark/>
          </w:tcPr>
          <w:p w14:paraId="6F2FBE5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Reduced from 2024 (gas reallocated to LNG)</w:t>
            </w:r>
          </w:p>
        </w:tc>
        <w:tc>
          <w:tcPr>
            <w:tcW w:w="0" w:type="auto"/>
            <w:hideMark/>
          </w:tcPr>
          <w:p w14:paraId="15A6A0D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w:t>
            </w:r>
          </w:p>
        </w:tc>
        <w:tc>
          <w:tcPr>
            <w:tcW w:w="0" w:type="auto"/>
            <w:hideMark/>
          </w:tcPr>
          <w:p w14:paraId="34764F9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w:t>
            </w:r>
          </w:p>
        </w:tc>
        <w:tc>
          <w:tcPr>
            <w:tcW w:w="0" w:type="auto"/>
            <w:hideMark/>
          </w:tcPr>
          <w:p w14:paraId="39D7759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Operational, de-</w:t>
            </w:r>
            <w:proofErr w:type="spellStart"/>
            <w:r w:rsidRPr="00CB1515">
              <w:rPr>
                <w:rFonts w:ascii="Times New Roman" w:hAnsi="Times New Roman" w:cs="Times New Roman"/>
                <w:sz w:val="22"/>
                <w:szCs w:val="22"/>
              </w:rPr>
              <w:t>prioritised</w:t>
            </w:r>
            <w:proofErr w:type="spellEnd"/>
            <w:r w:rsidRPr="00CB1515">
              <w:rPr>
                <w:rFonts w:ascii="Times New Roman" w:hAnsi="Times New Roman" w:cs="Times New Roman"/>
                <w:sz w:val="22"/>
                <w:szCs w:val="22"/>
              </w:rPr>
              <w:t xml:space="preserve"> vs. LNG</w:t>
            </w:r>
          </w:p>
        </w:tc>
      </w:tr>
      <w:tr w:rsidR="00CB1515" w:rsidRPr="00CB1515" w14:paraId="411C95FF" w14:textId="77777777" w:rsidTr="00D05741">
        <w:tc>
          <w:tcPr>
            <w:tcW w:w="0" w:type="auto"/>
            <w:hideMark/>
          </w:tcPr>
          <w:p w14:paraId="0A4C8A4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Alen–Punta Europa trunk pipeline</w:t>
            </w:r>
          </w:p>
        </w:tc>
        <w:tc>
          <w:tcPr>
            <w:tcW w:w="0" w:type="auto"/>
            <w:hideMark/>
          </w:tcPr>
          <w:p w14:paraId="35616DE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950 </w:t>
            </w:r>
            <w:proofErr w:type="spellStart"/>
            <w:r w:rsidRPr="00CB1515">
              <w:rPr>
                <w:rFonts w:ascii="Times New Roman" w:hAnsi="Times New Roman" w:cs="Times New Roman"/>
                <w:sz w:val="22"/>
                <w:szCs w:val="22"/>
              </w:rPr>
              <w:t>mmcf</w:t>
            </w:r>
            <w:proofErr w:type="spellEnd"/>
            <w:r w:rsidRPr="00CB1515">
              <w:rPr>
                <w:rFonts w:ascii="Times New Roman" w:hAnsi="Times New Roman" w:cs="Times New Roman"/>
                <w:sz w:val="22"/>
                <w:szCs w:val="22"/>
              </w:rPr>
              <w:t>/d, 70 km, 24-inch</w:t>
            </w:r>
          </w:p>
        </w:tc>
        <w:tc>
          <w:tcPr>
            <w:tcW w:w="0" w:type="auto"/>
            <w:hideMark/>
          </w:tcPr>
          <w:p w14:paraId="75C1316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~200–300 </w:t>
            </w:r>
            <w:proofErr w:type="spellStart"/>
            <w:r w:rsidRPr="00CB1515">
              <w:rPr>
                <w:rFonts w:ascii="Times New Roman" w:hAnsi="Times New Roman" w:cs="Times New Roman"/>
                <w:sz w:val="22"/>
                <w:szCs w:val="22"/>
              </w:rPr>
              <w:t>mmcf</w:t>
            </w:r>
            <w:proofErr w:type="spellEnd"/>
            <w:r w:rsidRPr="00CB1515">
              <w:rPr>
                <w:rFonts w:ascii="Times New Roman" w:hAnsi="Times New Roman" w:cs="Times New Roman"/>
                <w:sz w:val="22"/>
                <w:szCs w:val="22"/>
              </w:rPr>
              <w:t>/d (Alen-only, pre-Aseng)</w:t>
            </w:r>
          </w:p>
        </w:tc>
        <w:tc>
          <w:tcPr>
            <w:tcW w:w="0" w:type="auto"/>
            <w:hideMark/>
          </w:tcPr>
          <w:p w14:paraId="0F90D5A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~650–750 </w:t>
            </w:r>
            <w:proofErr w:type="spellStart"/>
            <w:r w:rsidRPr="00CB1515">
              <w:rPr>
                <w:rFonts w:ascii="Times New Roman" w:hAnsi="Times New Roman" w:cs="Times New Roman"/>
                <w:sz w:val="22"/>
                <w:szCs w:val="22"/>
              </w:rPr>
              <w:t>mmcf</w:t>
            </w:r>
            <w:proofErr w:type="spellEnd"/>
            <w:r w:rsidRPr="00CB1515">
              <w:rPr>
                <w:rFonts w:ascii="Times New Roman" w:hAnsi="Times New Roman" w:cs="Times New Roman"/>
                <w:sz w:val="22"/>
                <w:szCs w:val="22"/>
              </w:rPr>
              <w:t>/d nominal</w:t>
            </w:r>
          </w:p>
        </w:tc>
        <w:tc>
          <w:tcPr>
            <w:tcW w:w="0" w:type="auto"/>
            <w:hideMark/>
          </w:tcPr>
          <w:p w14:paraId="4261E33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Alen (existing); Aseng (via Alen tie-back, from ~2026 onward)</w:t>
            </w:r>
          </w:p>
        </w:tc>
        <w:tc>
          <w:tcPr>
            <w:tcW w:w="0" w:type="auto"/>
            <w:hideMark/>
          </w:tcPr>
          <w:p w14:paraId="405612D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Operational; Aseng tie-back under construction</w:t>
            </w:r>
          </w:p>
        </w:tc>
      </w:tr>
      <w:tr w:rsidR="00CB1515" w:rsidRPr="00CB1515" w14:paraId="7D546A50" w14:textId="77777777" w:rsidTr="00D05741">
        <w:tc>
          <w:tcPr>
            <w:tcW w:w="0" w:type="auto"/>
            <w:hideMark/>
          </w:tcPr>
          <w:p w14:paraId="00B328B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Alen offshore platform ("Offshore Gas Hub")</w:t>
            </w:r>
          </w:p>
        </w:tc>
        <w:tc>
          <w:tcPr>
            <w:tcW w:w="0" w:type="auto"/>
            <w:hideMark/>
          </w:tcPr>
          <w:p w14:paraId="742D961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(platform)</w:t>
            </w:r>
          </w:p>
        </w:tc>
        <w:tc>
          <w:tcPr>
            <w:tcW w:w="0" w:type="auto"/>
            <w:hideMark/>
          </w:tcPr>
          <w:p w14:paraId="13E5127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w:t>
            </w:r>
          </w:p>
        </w:tc>
        <w:tc>
          <w:tcPr>
            <w:tcW w:w="0" w:type="auto"/>
            <w:hideMark/>
          </w:tcPr>
          <w:p w14:paraId="5601E6C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Designed for future tie-backs</w:t>
            </w:r>
          </w:p>
        </w:tc>
        <w:tc>
          <w:tcPr>
            <w:tcW w:w="0" w:type="auto"/>
            <w:hideMark/>
          </w:tcPr>
          <w:p w14:paraId="2200073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Alen; receiving Aseng tie-back</w:t>
            </w:r>
          </w:p>
        </w:tc>
        <w:tc>
          <w:tcPr>
            <w:tcW w:w="0" w:type="auto"/>
            <w:hideMark/>
          </w:tcPr>
          <w:p w14:paraId="76217A0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Operational, being expanded</w:t>
            </w:r>
          </w:p>
        </w:tc>
      </w:tr>
      <w:tr w:rsidR="00CB1515" w:rsidRPr="00CB1515" w14:paraId="23556C2C" w14:textId="77777777" w:rsidTr="00D05741">
        <w:tc>
          <w:tcPr>
            <w:tcW w:w="0" w:type="auto"/>
            <w:hideMark/>
          </w:tcPr>
          <w:p w14:paraId="2A7F696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EG-27/</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prospective LNG train</w:t>
            </w:r>
          </w:p>
        </w:tc>
        <w:tc>
          <w:tcPr>
            <w:tcW w:w="0" w:type="auto"/>
            <w:hideMark/>
          </w:tcPr>
          <w:p w14:paraId="74FACB3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2.4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 xml:space="preserve"> (360 </w:t>
            </w:r>
            <w:proofErr w:type="spellStart"/>
            <w:r w:rsidRPr="00CB1515">
              <w:rPr>
                <w:rFonts w:ascii="Times New Roman" w:hAnsi="Times New Roman" w:cs="Times New Roman"/>
                <w:sz w:val="22"/>
                <w:szCs w:val="22"/>
              </w:rPr>
              <w:t>mmscfd</w:t>
            </w:r>
            <w:proofErr w:type="spellEnd"/>
            <w:r w:rsidRPr="00CB1515">
              <w:rPr>
                <w:rFonts w:ascii="Times New Roman" w:hAnsi="Times New Roman" w:cs="Times New Roman"/>
                <w:sz w:val="22"/>
                <w:szCs w:val="22"/>
              </w:rPr>
              <w:t xml:space="preserve"> feed gas)</w:t>
            </w:r>
          </w:p>
        </w:tc>
        <w:tc>
          <w:tcPr>
            <w:tcW w:w="0" w:type="auto"/>
            <w:hideMark/>
          </w:tcPr>
          <w:p w14:paraId="5452C51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 (pre-FID)</w:t>
            </w:r>
          </w:p>
        </w:tc>
        <w:tc>
          <w:tcPr>
            <w:tcW w:w="0" w:type="auto"/>
            <w:hideMark/>
          </w:tcPr>
          <w:p w14:paraId="065EC6C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 new, separate facility</w:t>
            </w:r>
          </w:p>
        </w:tc>
        <w:tc>
          <w:tcPr>
            <w:tcW w:w="0" w:type="auto"/>
            <w:hideMark/>
          </w:tcPr>
          <w:p w14:paraId="7CFBF968"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field (3.8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w:t>
            </w:r>
          </w:p>
        </w:tc>
        <w:tc>
          <w:tcPr>
            <w:tcW w:w="0" w:type="auto"/>
            <w:hideMark/>
          </w:tcPr>
          <w:p w14:paraId="699C116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Proposed/pre-FID ($4.5bn, </w:t>
            </w:r>
            <w:proofErr w:type="spellStart"/>
            <w:r w:rsidRPr="00CB1515">
              <w:rPr>
                <w:rFonts w:ascii="Times New Roman" w:hAnsi="Times New Roman" w:cs="Times New Roman"/>
                <w:sz w:val="22"/>
                <w:szCs w:val="22"/>
              </w:rPr>
              <w:t>Afreximbank</w:t>
            </w:r>
            <w:proofErr w:type="spellEnd"/>
            <w:r w:rsidRPr="00CB1515">
              <w:rPr>
                <w:rFonts w:ascii="Times New Roman" w:hAnsi="Times New Roman" w:cs="Times New Roman"/>
                <w:sz w:val="22"/>
                <w:szCs w:val="22"/>
              </w:rPr>
              <w:t>-advised)</w:t>
            </w:r>
          </w:p>
        </w:tc>
      </w:tr>
    </w:tbl>
    <w:p w14:paraId="5199ED5F" w14:textId="77777777" w:rsidR="00D05741" w:rsidRDefault="00D05741" w:rsidP="002B6FBC">
      <w:pPr>
        <w:spacing w:line="276" w:lineRule="auto"/>
        <w:jc w:val="both"/>
        <w:rPr>
          <w:rFonts w:ascii="Times New Roman" w:hAnsi="Times New Roman" w:cs="Times New Roman"/>
          <w:b/>
          <w:bCs/>
        </w:rPr>
      </w:pPr>
    </w:p>
    <w:p w14:paraId="1F23AB34" w14:textId="037C4619"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2.3 Spare capacity available before major expansion</w:t>
      </w:r>
    </w:p>
    <w:p w14:paraId="366BADDA"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Based on the pipeline and feed-gas figures above, existing infrastructure (the Alen trunk line and EG LNG's feed-gas headroom) could plausibly accommodate on the order of 75–110 </w:t>
      </w:r>
      <w:proofErr w:type="spellStart"/>
      <w:r w:rsidRPr="00CB1515">
        <w:rPr>
          <w:rFonts w:ascii="Times New Roman" w:hAnsi="Times New Roman" w:cs="Times New Roman"/>
        </w:rPr>
        <w:t>mmscfd</w:t>
      </w:r>
      <w:proofErr w:type="spellEnd"/>
      <w:r w:rsidRPr="00CB1515">
        <w:rPr>
          <w:rFonts w:ascii="Times New Roman" w:hAnsi="Times New Roman" w:cs="Times New Roman"/>
        </w:rPr>
        <w:t xml:space="preserve"> of additional gas without major new capital works, i.e., broadly enough to absorb early-phase Nigerian or Cameroonian volumes delivered close to the Alen tie-in point. Materially larger regional volumes (e.g., a multi-hundred-</w:t>
      </w:r>
      <w:proofErr w:type="spellStart"/>
      <w:r w:rsidRPr="00CB1515">
        <w:rPr>
          <w:rFonts w:ascii="Times New Roman" w:hAnsi="Times New Roman" w:cs="Times New Roman"/>
        </w:rPr>
        <w:t>mmscfd</w:t>
      </w:r>
      <w:proofErr w:type="spellEnd"/>
      <w:r w:rsidRPr="00CB1515">
        <w:rPr>
          <w:rFonts w:ascii="Times New Roman" w:hAnsi="Times New Roman" w:cs="Times New Roman"/>
        </w:rPr>
        <w:t xml:space="preserve"> Yoyo-Yolanda or Nigeria stream) would require: a new subsea trunkline from the source field(s) to Punta Europa or to the Alen platform; expanded gas treatment/dehydration/compression at Punta Europa; and, if EG-27/</w:t>
      </w:r>
      <w:proofErr w:type="spellStart"/>
      <w:r w:rsidRPr="00CB1515">
        <w:rPr>
          <w:rFonts w:ascii="Times New Roman" w:hAnsi="Times New Roman" w:cs="Times New Roman"/>
        </w:rPr>
        <w:t>Ebano</w:t>
      </w:r>
      <w:proofErr w:type="spellEnd"/>
      <w:r w:rsidRPr="00CB1515">
        <w:rPr>
          <w:rFonts w:ascii="Times New Roman" w:hAnsi="Times New Roman" w:cs="Times New Roman"/>
        </w:rPr>
        <w:t xml:space="preserve"> is pursued as a parallel LNG train rather than blended into EG LNG, an entirely separate liquefaction, storage and jetty investment. This is a technical inference from the capacity figures above, not an operator-disclosed debottlenecking study.</w:t>
      </w:r>
    </w:p>
    <w:p w14:paraId="5BF9545E" w14:textId="19342982" w:rsidR="00CB1515" w:rsidRPr="00CB1515" w:rsidRDefault="00CB1515" w:rsidP="002B6FBC">
      <w:pPr>
        <w:spacing w:line="276" w:lineRule="auto"/>
        <w:jc w:val="both"/>
        <w:rPr>
          <w:rFonts w:ascii="Times New Roman" w:hAnsi="Times New Roman" w:cs="Times New Roman"/>
        </w:rPr>
      </w:pPr>
    </w:p>
    <w:p w14:paraId="072681A1"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3. Potential Regional Gas Feedstock Sources</w:t>
      </w:r>
    </w:p>
    <w:tbl>
      <w:tblPr>
        <w:tblStyle w:val="TableGrid"/>
        <w:tblW w:w="0" w:type="auto"/>
        <w:tblLook w:val="04A0" w:firstRow="1" w:lastRow="0" w:firstColumn="1" w:lastColumn="0" w:noHBand="0" w:noVBand="1"/>
      </w:tblPr>
      <w:tblGrid>
        <w:gridCol w:w="1410"/>
        <w:gridCol w:w="941"/>
        <w:gridCol w:w="1128"/>
        <w:gridCol w:w="1290"/>
        <w:gridCol w:w="1023"/>
        <w:gridCol w:w="1447"/>
        <w:gridCol w:w="1068"/>
        <w:gridCol w:w="1043"/>
      </w:tblGrid>
      <w:tr w:rsidR="00D05741" w:rsidRPr="00CB1515" w14:paraId="48BD2DC3" w14:textId="77777777" w:rsidTr="00D05741">
        <w:tc>
          <w:tcPr>
            <w:tcW w:w="0" w:type="auto"/>
            <w:hideMark/>
          </w:tcPr>
          <w:p w14:paraId="6B47AB0B"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Gas Source</w:t>
            </w:r>
          </w:p>
        </w:tc>
        <w:tc>
          <w:tcPr>
            <w:tcW w:w="0" w:type="auto"/>
            <w:hideMark/>
          </w:tcPr>
          <w:p w14:paraId="3779AF9F"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Country</w:t>
            </w:r>
          </w:p>
        </w:tc>
        <w:tc>
          <w:tcPr>
            <w:tcW w:w="0" w:type="auto"/>
            <w:hideMark/>
          </w:tcPr>
          <w:p w14:paraId="52532C85"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Operator</w:t>
            </w:r>
          </w:p>
        </w:tc>
        <w:tc>
          <w:tcPr>
            <w:tcW w:w="0" w:type="auto"/>
            <w:hideMark/>
          </w:tcPr>
          <w:p w14:paraId="5BDFC84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Resource/Reserves</w:t>
            </w:r>
          </w:p>
        </w:tc>
        <w:tc>
          <w:tcPr>
            <w:tcW w:w="0" w:type="auto"/>
            <w:hideMark/>
          </w:tcPr>
          <w:p w14:paraId="33131D17"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Potential Gas Supply to EG</w:t>
            </w:r>
          </w:p>
        </w:tc>
        <w:tc>
          <w:tcPr>
            <w:tcW w:w="0" w:type="auto"/>
            <w:hideMark/>
          </w:tcPr>
          <w:p w14:paraId="7F4FD843"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Development Status</w:t>
            </w:r>
          </w:p>
        </w:tc>
        <w:tc>
          <w:tcPr>
            <w:tcW w:w="0" w:type="auto"/>
            <w:hideMark/>
          </w:tcPr>
          <w:p w14:paraId="35288B8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Distance to Punta Europa (approx.)</w:t>
            </w:r>
          </w:p>
        </w:tc>
        <w:tc>
          <w:tcPr>
            <w:tcW w:w="0" w:type="auto"/>
            <w:hideMark/>
          </w:tcPr>
          <w:p w14:paraId="6F7DD0B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Existing Infrastructure</w:t>
            </w:r>
          </w:p>
        </w:tc>
      </w:tr>
      <w:tr w:rsidR="00D05741" w:rsidRPr="00CB1515" w14:paraId="0AD968E6" w14:textId="77777777" w:rsidTr="00D05741">
        <w:tc>
          <w:tcPr>
            <w:tcW w:w="0" w:type="auto"/>
            <w:hideMark/>
          </w:tcPr>
          <w:p w14:paraId="1C9162B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w:t>
            </w:r>
          </w:p>
        </w:tc>
        <w:tc>
          <w:tcPr>
            <w:tcW w:w="0" w:type="auto"/>
            <w:hideMark/>
          </w:tcPr>
          <w:p w14:paraId="1083D36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Cameroon / Equatorial Guinea (straddle)</w:t>
            </w:r>
          </w:p>
        </w:tc>
        <w:tc>
          <w:tcPr>
            <w:tcW w:w="0" w:type="auto"/>
            <w:hideMark/>
          </w:tcPr>
          <w:p w14:paraId="2C51EB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Chevron / Noble Energy (Chevron)</w:t>
            </w:r>
          </w:p>
        </w:tc>
        <w:tc>
          <w:tcPr>
            <w:tcW w:w="0" w:type="auto"/>
            <w:hideMark/>
          </w:tcPr>
          <w:p w14:paraId="5DC8ADA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2.5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xml:space="preserve"> total; split 84% Yoyo (Cameroon) / 16% Yolanda (EG), with the development plan </w:t>
            </w:r>
            <w:proofErr w:type="spellStart"/>
            <w:r w:rsidRPr="00CB1515">
              <w:rPr>
                <w:rFonts w:ascii="Times New Roman" w:hAnsi="Times New Roman" w:cs="Times New Roman"/>
                <w:sz w:val="22"/>
                <w:szCs w:val="22"/>
              </w:rPr>
              <w:t>centred</w:t>
            </w:r>
            <w:proofErr w:type="spellEnd"/>
            <w:r w:rsidRPr="00CB1515">
              <w:rPr>
                <w:rFonts w:ascii="Times New Roman" w:hAnsi="Times New Roman" w:cs="Times New Roman"/>
                <w:sz w:val="22"/>
                <w:szCs w:val="22"/>
              </w:rPr>
              <w:t xml:space="preserve"> on the Yoyo block, which hosts the project's </w:t>
            </w:r>
            <w:r w:rsidRPr="00CB1515">
              <w:rPr>
                <w:rFonts w:ascii="Times New Roman" w:hAnsi="Times New Roman" w:cs="Times New Roman"/>
                <w:sz w:val="22"/>
                <w:szCs w:val="22"/>
              </w:rPr>
              <w:lastRenderedPageBreak/>
              <w:t>main infrastructure, including a processing platform and three development wells</w:t>
            </w:r>
          </w:p>
        </w:tc>
        <w:tc>
          <w:tcPr>
            <w:tcW w:w="0" w:type="auto"/>
            <w:hideMark/>
          </w:tcPr>
          <w:p w14:paraId="76BB457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Commercially undetermined; EG's 16% share (~0.4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plus any tolled Cameroonian volumes</w:t>
            </w:r>
          </w:p>
        </w:tc>
        <w:tc>
          <w:tcPr>
            <w:tcW w:w="0" w:type="auto"/>
            <w:hideMark/>
          </w:tcPr>
          <w:p w14:paraId="0965105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 xml:space="preserve">FID not yet reached; </w:t>
            </w:r>
            <w:proofErr w:type="spellStart"/>
            <w:r w:rsidRPr="00CB1515">
              <w:rPr>
                <w:rFonts w:ascii="Times New Roman" w:hAnsi="Times New Roman" w:cs="Times New Roman"/>
                <w:b/>
                <w:bCs/>
                <w:sz w:val="22"/>
                <w:szCs w:val="22"/>
              </w:rPr>
              <w:t>unitisation</w:t>
            </w:r>
            <w:proofErr w:type="spellEnd"/>
            <w:r w:rsidRPr="00CB1515">
              <w:rPr>
                <w:rFonts w:ascii="Times New Roman" w:hAnsi="Times New Roman" w:cs="Times New Roman"/>
                <w:b/>
                <w:bCs/>
                <w:sz w:val="22"/>
                <w:szCs w:val="22"/>
              </w:rPr>
              <w:t xml:space="preserve"> agreement signed 3 February 2026</w:t>
            </w:r>
            <w:r w:rsidRPr="00CB1515">
              <w:rPr>
                <w:rFonts w:ascii="Times New Roman" w:hAnsi="Times New Roman" w:cs="Times New Roman"/>
                <w:sz w:val="22"/>
                <w:szCs w:val="22"/>
              </w:rPr>
              <w:t xml:space="preserve"> — a legal/fiscal milestone, not a sanctioned development</w:t>
            </w:r>
          </w:p>
        </w:tc>
        <w:tc>
          <w:tcPr>
            <w:tcW w:w="0" w:type="auto"/>
            <w:hideMark/>
          </w:tcPr>
          <w:p w14:paraId="052FD9D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Field straddles the maritime boundary; onshore processing referenced at </w:t>
            </w:r>
            <w:proofErr w:type="spellStart"/>
            <w:r w:rsidRPr="00CB1515">
              <w:rPr>
                <w:rFonts w:ascii="Times New Roman" w:hAnsi="Times New Roman" w:cs="Times New Roman"/>
                <w:sz w:val="22"/>
                <w:szCs w:val="22"/>
              </w:rPr>
              <w:t>Bipaga</w:t>
            </w:r>
            <w:proofErr w:type="spellEnd"/>
            <w:r w:rsidRPr="00CB1515">
              <w:rPr>
                <w:rFonts w:ascii="Times New Roman" w:hAnsi="Times New Roman" w:cs="Times New Roman"/>
                <w:sz w:val="22"/>
                <w:szCs w:val="22"/>
              </w:rPr>
              <w:t xml:space="preserve">, southern Cameroon, with further </w:t>
            </w:r>
            <w:r w:rsidRPr="00CB1515">
              <w:rPr>
                <w:rFonts w:ascii="Times New Roman" w:hAnsi="Times New Roman" w:cs="Times New Roman"/>
                <w:sz w:val="22"/>
                <w:szCs w:val="22"/>
              </w:rPr>
              <w:lastRenderedPageBreak/>
              <w:t>routing to EG under discussion</w:t>
            </w:r>
          </w:p>
        </w:tc>
        <w:tc>
          <w:tcPr>
            <w:tcW w:w="0" w:type="auto"/>
            <w:hideMark/>
          </w:tcPr>
          <w:p w14:paraId="17C565A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Two pipelines planned: one to a </w:t>
            </w:r>
            <w:proofErr w:type="spellStart"/>
            <w:r w:rsidRPr="00CB1515">
              <w:rPr>
                <w:rFonts w:ascii="Times New Roman" w:hAnsi="Times New Roman" w:cs="Times New Roman"/>
                <w:sz w:val="22"/>
                <w:szCs w:val="22"/>
              </w:rPr>
              <w:t>Bipaga</w:t>
            </w:r>
            <w:proofErr w:type="spellEnd"/>
            <w:r w:rsidRPr="00CB1515">
              <w:rPr>
                <w:rFonts w:ascii="Times New Roman" w:hAnsi="Times New Roman" w:cs="Times New Roman"/>
                <w:sz w:val="22"/>
                <w:szCs w:val="22"/>
              </w:rPr>
              <w:t xml:space="preserve"> processing </w:t>
            </w:r>
            <w:proofErr w:type="spellStart"/>
            <w:r w:rsidRPr="00CB1515">
              <w:rPr>
                <w:rFonts w:ascii="Times New Roman" w:hAnsi="Times New Roman" w:cs="Times New Roman"/>
                <w:sz w:val="22"/>
                <w:szCs w:val="22"/>
              </w:rPr>
              <w:t>centre</w:t>
            </w:r>
            <w:proofErr w:type="spellEnd"/>
            <w:r w:rsidRPr="00CB1515">
              <w:rPr>
                <w:rFonts w:ascii="Times New Roman" w:hAnsi="Times New Roman" w:cs="Times New Roman"/>
                <w:sz w:val="22"/>
                <w:szCs w:val="22"/>
              </w:rPr>
              <w:t xml:space="preserve"> in Cameroon; onward routing to Punta Europa not yet </w:t>
            </w:r>
            <w:r w:rsidRPr="00CB1515">
              <w:rPr>
                <w:rFonts w:ascii="Times New Roman" w:hAnsi="Times New Roman" w:cs="Times New Roman"/>
                <w:sz w:val="22"/>
                <w:szCs w:val="22"/>
              </w:rPr>
              <w:lastRenderedPageBreak/>
              <w:t>publicly specified in engineering terms</w:t>
            </w:r>
          </w:p>
        </w:tc>
      </w:tr>
      <w:tr w:rsidR="00D05741" w:rsidRPr="00CB1515" w14:paraId="117AA77C" w14:textId="77777777" w:rsidTr="00D05741">
        <w:tc>
          <w:tcPr>
            <w:tcW w:w="0" w:type="auto"/>
            <w:hideMark/>
          </w:tcPr>
          <w:p w14:paraId="5199FFF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Nigeria — Niger Delta / Gulf of Guinea tie-backs (incl. Oron 2, other proximate fields)</w:t>
            </w:r>
          </w:p>
        </w:tc>
        <w:tc>
          <w:tcPr>
            <w:tcW w:w="0" w:type="auto"/>
            <w:hideMark/>
          </w:tcPr>
          <w:p w14:paraId="1BFE953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Nigeria</w:t>
            </w:r>
          </w:p>
        </w:tc>
        <w:tc>
          <w:tcPr>
            <w:tcW w:w="0" w:type="auto"/>
            <w:hideMark/>
          </w:tcPr>
          <w:p w14:paraId="10AED53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Multiple IOCs/indigenous operators (field-specific operators not consolidated in public sources)</w:t>
            </w:r>
          </w:p>
        </w:tc>
        <w:tc>
          <w:tcPr>
            <w:tcW w:w="0" w:type="auto"/>
            <w:hideMark/>
          </w:tcPr>
          <w:p w14:paraId="1E376DD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Combined reserves in fields "at tie-back distance" from Alba estimated at </w:t>
            </w:r>
            <w:r w:rsidRPr="00CB1515">
              <w:rPr>
                <w:rFonts w:ascii="Times New Roman" w:hAnsi="Times New Roman" w:cs="Times New Roman"/>
                <w:b/>
                <w:bCs/>
                <w:sz w:val="22"/>
                <w:szCs w:val="22"/>
              </w:rPr>
              <w:t xml:space="preserve">≥3 </w:t>
            </w:r>
            <w:proofErr w:type="spellStart"/>
            <w:r w:rsidRPr="00CB1515">
              <w:rPr>
                <w:rFonts w:ascii="Times New Roman" w:hAnsi="Times New Roman" w:cs="Times New Roman"/>
                <w:b/>
                <w:bCs/>
                <w:sz w:val="22"/>
                <w:szCs w:val="22"/>
              </w:rPr>
              <w:t>Tscf</w:t>
            </w:r>
            <w:proofErr w:type="spellEnd"/>
          </w:p>
        </w:tc>
        <w:tc>
          <w:tcPr>
            <w:tcW w:w="0" w:type="auto"/>
            <w:hideMark/>
          </w:tcPr>
          <w:p w14:paraId="4F7D7B1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 contingent on Gulf of Guinea Pipeline Project</w:t>
            </w:r>
          </w:p>
        </w:tc>
        <w:tc>
          <w:tcPr>
            <w:tcW w:w="0" w:type="auto"/>
            <w:hideMark/>
          </w:tcPr>
          <w:p w14:paraId="1BE70A3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Proposed/Conceptual</w:t>
            </w:r>
            <w:r w:rsidRPr="00CB1515">
              <w:rPr>
                <w:rFonts w:ascii="Times New Roman" w:hAnsi="Times New Roman" w:cs="Times New Roman"/>
                <w:sz w:val="22"/>
                <w:szCs w:val="22"/>
              </w:rPr>
              <w:t xml:space="preserve"> — bilateral framework agreement signed August 2024 covering legislative and regulatory measures, pipeline establishment and operation, transit of natural gas, and ownership, reaffirmed as "advancing" in August 2025, but no FID, route survey, capacity, or diameter has been published</w:t>
            </w:r>
          </w:p>
        </w:tc>
        <w:tc>
          <w:tcPr>
            <w:tcW w:w="0" w:type="auto"/>
            <w:hideMark/>
          </w:tcPr>
          <w:p w14:paraId="09801EC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 — no public feasibility/route data identified</w:t>
            </w:r>
          </w:p>
        </w:tc>
        <w:tc>
          <w:tcPr>
            <w:tcW w:w="0" w:type="auto"/>
            <w:hideMark/>
          </w:tcPr>
          <w:p w14:paraId="132870C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None dedicated; would connect into the Alba/EG offshore gathering system per stated project intent</w:t>
            </w:r>
          </w:p>
        </w:tc>
      </w:tr>
      <w:tr w:rsidR="00D05741" w:rsidRPr="00CB1515" w14:paraId="285C060C" w14:textId="77777777" w:rsidTr="00D05741">
        <w:tc>
          <w:tcPr>
            <w:tcW w:w="0" w:type="auto"/>
            <w:hideMark/>
          </w:tcPr>
          <w:p w14:paraId="2977EDD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Nigeria — broader Gulf of Guinea gas (209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xml:space="preserve"> </w:t>
            </w:r>
            <w:r w:rsidRPr="00CB1515">
              <w:rPr>
                <w:rFonts w:ascii="Times New Roman" w:hAnsi="Times New Roman" w:cs="Times New Roman"/>
                <w:sz w:val="22"/>
                <w:szCs w:val="22"/>
              </w:rPr>
              <w:lastRenderedPageBreak/>
              <w:t>proven national reserves)</w:t>
            </w:r>
          </w:p>
        </w:tc>
        <w:tc>
          <w:tcPr>
            <w:tcW w:w="0" w:type="auto"/>
            <w:hideMark/>
          </w:tcPr>
          <w:p w14:paraId="78EBB72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Nigeria</w:t>
            </w:r>
          </w:p>
        </w:tc>
        <w:tc>
          <w:tcPr>
            <w:tcW w:w="0" w:type="auto"/>
            <w:hideMark/>
          </w:tcPr>
          <w:p w14:paraId="05DF3F6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NNPC / IOCs</w:t>
            </w:r>
          </w:p>
        </w:tc>
        <w:tc>
          <w:tcPr>
            <w:tcW w:w="0" w:type="auto"/>
            <w:hideMark/>
          </w:tcPr>
          <w:p w14:paraId="608FDDE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209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xml:space="preserve"> (national </w:t>
            </w:r>
            <w:r w:rsidRPr="00CB1515">
              <w:rPr>
                <w:rFonts w:ascii="Times New Roman" w:hAnsi="Times New Roman" w:cs="Times New Roman"/>
                <w:sz w:val="22"/>
                <w:szCs w:val="22"/>
              </w:rPr>
              <w:lastRenderedPageBreak/>
              <w:t>proven reserves)</w:t>
            </w:r>
          </w:p>
        </w:tc>
        <w:tc>
          <w:tcPr>
            <w:tcW w:w="0" w:type="auto"/>
            <w:hideMark/>
          </w:tcPr>
          <w:p w14:paraId="0A3FF8E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Not field-specific; </w:t>
            </w:r>
            <w:r w:rsidRPr="00CB1515">
              <w:rPr>
                <w:rFonts w:ascii="Times New Roman" w:hAnsi="Times New Roman" w:cs="Times New Roman"/>
                <w:sz w:val="22"/>
                <w:szCs w:val="22"/>
              </w:rPr>
              <w:lastRenderedPageBreak/>
              <w:t>context only</w:t>
            </w:r>
          </w:p>
        </w:tc>
        <w:tc>
          <w:tcPr>
            <w:tcW w:w="0" w:type="auto"/>
            <w:hideMark/>
          </w:tcPr>
          <w:p w14:paraId="533D5D0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Conceptual (national resource base, not </w:t>
            </w:r>
            <w:r w:rsidRPr="00CB1515">
              <w:rPr>
                <w:rFonts w:ascii="Times New Roman" w:hAnsi="Times New Roman" w:cs="Times New Roman"/>
                <w:sz w:val="22"/>
                <w:szCs w:val="22"/>
              </w:rPr>
              <w:lastRenderedPageBreak/>
              <w:t>committed to EG)</w:t>
            </w:r>
          </w:p>
        </w:tc>
        <w:tc>
          <w:tcPr>
            <w:tcW w:w="0" w:type="auto"/>
            <w:hideMark/>
          </w:tcPr>
          <w:p w14:paraId="7427F4C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N/A</w:t>
            </w:r>
          </w:p>
        </w:tc>
        <w:tc>
          <w:tcPr>
            <w:tcW w:w="0" w:type="auto"/>
            <w:hideMark/>
          </w:tcPr>
          <w:p w14:paraId="3BE702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WAGP and other national infrastru</w:t>
            </w:r>
            <w:r w:rsidRPr="00CB1515">
              <w:rPr>
                <w:rFonts w:ascii="Times New Roman" w:hAnsi="Times New Roman" w:cs="Times New Roman"/>
                <w:sz w:val="22"/>
                <w:szCs w:val="22"/>
              </w:rPr>
              <w:lastRenderedPageBreak/>
              <w:t>cture not connected to EG</w:t>
            </w:r>
          </w:p>
        </w:tc>
      </w:tr>
      <w:tr w:rsidR="00D05741" w:rsidRPr="00CB1515" w14:paraId="4D11280A" w14:textId="77777777" w:rsidTr="00D05741">
        <w:tc>
          <w:tcPr>
            <w:tcW w:w="0" w:type="auto"/>
            <w:hideMark/>
          </w:tcPr>
          <w:p w14:paraId="6D60B8F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EG-27 / </w:t>
            </w:r>
            <w:proofErr w:type="spellStart"/>
            <w:r w:rsidRPr="00CB1515">
              <w:rPr>
                <w:rFonts w:ascii="Times New Roman" w:hAnsi="Times New Roman" w:cs="Times New Roman"/>
                <w:sz w:val="22"/>
                <w:szCs w:val="22"/>
              </w:rPr>
              <w:t>Ebano</w:t>
            </w:r>
            <w:proofErr w:type="spellEnd"/>
          </w:p>
        </w:tc>
        <w:tc>
          <w:tcPr>
            <w:tcW w:w="0" w:type="auto"/>
            <w:hideMark/>
          </w:tcPr>
          <w:p w14:paraId="32A6092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Equatorial Guinea (domestic, included for completeness as it competes for the same investment and could later blend with regional streams)</w:t>
            </w:r>
          </w:p>
        </w:tc>
        <w:tc>
          <w:tcPr>
            <w:tcW w:w="0" w:type="auto"/>
            <w:hideMark/>
          </w:tcPr>
          <w:p w14:paraId="26B9A9AF"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Sonagas</w:t>
            </w:r>
            <w:proofErr w:type="spellEnd"/>
            <w:r w:rsidRPr="00CB1515">
              <w:rPr>
                <w:rFonts w:ascii="Times New Roman" w:hAnsi="Times New Roman" w:cs="Times New Roman"/>
                <w:sz w:val="22"/>
                <w:szCs w:val="22"/>
              </w:rPr>
              <w:t xml:space="preserve"> (lead), </w:t>
            </w:r>
            <w:proofErr w:type="spellStart"/>
            <w:r w:rsidRPr="00CB1515">
              <w:rPr>
                <w:rFonts w:ascii="Times New Roman" w:hAnsi="Times New Roman" w:cs="Times New Roman"/>
                <w:sz w:val="22"/>
                <w:szCs w:val="22"/>
              </w:rPr>
              <w:t>Afreximbank</w:t>
            </w:r>
            <w:proofErr w:type="spellEnd"/>
            <w:r w:rsidRPr="00CB1515">
              <w:rPr>
                <w:rFonts w:ascii="Times New Roman" w:hAnsi="Times New Roman" w:cs="Times New Roman"/>
                <w:sz w:val="22"/>
                <w:szCs w:val="22"/>
              </w:rPr>
              <w:t xml:space="preserve"> (financial advisor)</w:t>
            </w:r>
          </w:p>
        </w:tc>
        <w:tc>
          <w:tcPr>
            <w:tcW w:w="0" w:type="auto"/>
            <w:hideMark/>
          </w:tcPr>
          <w:p w14:paraId="3BAF5ED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3.8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xml:space="preserve"> proven</w:t>
            </w:r>
          </w:p>
        </w:tc>
        <w:tc>
          <w:tcPr>
            <w:tcW w:w="0" w:type="auto"/>
            <w:hideMark/>
          </w:tcPr>
          <w:p w14:paraId="51D7184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Domestic — 360 </w:t>
            </w:r>
            <w:proofErr w:type="spellStart"/>
            <w:r w:rsidRPr="00CB1515">
              <w:rPr>
                <w:rFonts w:ascii="Times New Roman" w:hAnsi="Times New Roman" w:cs="Times New Roman"/>
                <w:sz w:val="22"/>
                <w:szCs w:val="22"/>
              </w:rPr>
              <w:t>mmscfd</w:t>
            </w:r>
            <w:proofErr w:type="spellEnd"/>
            <w:r w:rsidRPr="00CB1515">
              <w:rPr>
                <w:rFonts w:ascii="Times New Roman" w:hAnsi="Times New Roman" w:cs="Times New Roman"/>
                <w:sz w:val="22"/>
                <w:szCs w:val="22"/>
              </w:rPr>
              <w:t xml:space="preserve"> feed gas envisaged for a </w:t>
            </w:r>
            <w:r w:rsidRPr="00CB1515">
              <w:rPr>
                <w:rFonts w:ascii="Times New Roman" w:hAnsi="Times New Roman" w:cs="Times New Roman"/>
                <w:b/>
                <w:bCs/>
                <w:sz w:val="22"/>
                <w:szCs w:val="22"/>
              </w:rPr>
              <w:t>dedicated</w:t>
            </w:r>
            <w:r w:rsidRPr="00CB1515">
              <w:rPr>
                <w:rFonts w:ascii="Times New Roman" w:hAnsi="Times New Roman" w:cs="Times New Roman"/>
                <w:sz w:val="22"/>
                <w:szCs w:val="22"/>
              </w:rPr>
              <w:t xml:space="preserve"> 2.4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 xml:space="preserve"> train</w:t>
            </w:r>
          </w:p>
        </w:tc>
        <w:tc>
          <w:tcPr>
            <w:tcW w:w="0" w:type="auto"/>
            <w:hideMark/>
          </w:tcPr>
          <w:p w14:paraId="43CB4D6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Proposed / pre-FID ($4.5bn; advisory mandate awarded July 2025)</w:t>
            </w:r>
          </w:p>
        </w:tc>
        <w:tc>
          <w:tcPr>
            <w:tcW w:w="0" w:type="auto"/>
            <w:hideMark/>
          </w:tcPr>
          <w:p w14:paraId="6964908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(domestic)</w:t>
            </w:r>
          </w:p>
        </w:tc>
        <w:tc>
          <w:tcPr>
            <w:tcW w:w="0" w:type="auto"/>
            <w:hideMark/>
          </w:tcPr>
          <w:p w14:paraId="5209626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New-build; not yet integrated with EG LNG</w:t>
            </w:r>
          </w:p>
        </w:tc>
      </w:tr>
      <w:tr w:rsidR="00D05741" w:rsidRPr="00CB1515" w14:paraId="421B0217" w14:textId="77777777" w:rsidTr="00D05741">
        <w:tc>
          <w:tcPr>
            <w:tcW w:w="0" w:type="auto"/>
            <w:hideMark/>
          </w:tcPr>
          <w:p w14:paraId="2639F5E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Fortuna/Viscata/Tonel (Block R, historical FLNG concept)</w:t>
            </w:r>
          </w:p>
        </w:tc>
        <w:tc>
          <w:tcPr>
            <w:tcW w:w="0" w:type="auto"/>
            <w:hideMark/>
          </w:tcPr>
          <w:p w14:paraId="189C6D5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Equatorial Guinea (domestic)</w:t>
            </w:r>
          </w:p>
        </w:tc>
        <w:tc>
          <w:tcPr>
            <w:tcW w:w="0" w:type="auto"/>
            <w:hideMark/>
          </w:tcPr>
          <w:p w14:paraId="441AD60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Formerly Ophir Energy/Golar LNG; status of current operator </w:t>
            </w:r>
            <w:proofErr w:type="gramStart"/>
            <w:r w:rsidRPr="00CB1515">
              <w:rPr>
                <w:rFonts w:ascii="Times New Roman" w:hAnsi="Times New Roman" w:cs="Times New Roman"/>
                <w:sz w:val="22"/>
                <w:szCs w:val="22"/>
              </w:rPr>
              <w:t>unclear</w:t>
            </w:r>
            <w:proofErr w:type="gramEnd"/>
          </w:p>
        </w:tc>
        <w:tc>
          <w:tcPr>
            <w:tcW w:w="0" w:type="auto"/>
            <w:hideMark/>
          </w:tcPr>
          <w:p w14:paraId="5491B25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2.3 </w:t>
            </w:r>
            <w:proofErr w:type="spellStart"/>
            <w:r w:rsidRPr="00CB1515">
              <w:rPr>
                <w:rFonts w:ascii="Times New Roman" w:hAnsi="Times New Roman" w:cs="Times New Roman"/>
                <w:sz w:val="22"/>
                <w:szCs w:val="22"/>
              </w:rPr>
              <w:t>Tcf</w:t>
            </w:r>
            <w:proofErr w:type="spellEnd"/>
          </w:p>
        </w:tc>
        <w:tc>
          <w:tcPr>
            <w:tcW w:w="0" w:type="auto"/>
            <w:hideMark/>
          </w:tcPr>
          <w:p w14:paraId="7472BD3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Domestic — historically envisaged as standalone 2.2 </w:t>
            </w:r>
            <w:proofErr w:type="spellStart"/>
            <w:r w:rsidRPr="00CB1515">
              <w:rPr>
                <w:rFonts w:ascii="Times New Roman" w:hAnsi="Times New Roman" w:cs="Times New Roman"/>
                <w:sz w:val="22"/>
                <w:szCs w:val="22"/>
              </w:rPr>
              <w:t>mmtpa</w:t>
            </w:r>
            <w:proofErr w:type="spellEnd"/>
            <w:r w:rsidRPr="00CB1515">
              <w:rPr>
                <w:rFonts w:ascii="Times New Roman" w:hAnsi="Times New Roman" w:cs="Times New Roman"/>
                <w:sz w:val="22"/>
                <w:szCs w:val="22"/>
              </w:rPr>
              <w:t xml:space="preserve"> FLNG, not Punta Europa feedstock</w:t>
            </w:r>
          </w:p>
        </w:tc>
        <w:tc>
          <w:tcPr>
            <w:tcW w:w="0" w:type="auto"/>
            <w:hideMark/>
          </w:tcPr>
          <w:p w14:paraId="70D1E77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Conceptual/dormant</w:t>
            </w:r>
            <w:r w:rsidRPr="00CB1515">
              <w:rPr>
                <w:rFonts w:ascii="Times New Roman" w:hAnsi="Times New Roman" w:cs="Times New Roman"/>
                <w:sz w:val="22"/>
                <w:szCs w:val="22"/>
              </w:rPr>
              <w:t xml:space="preserve"> — Wood Mackenzie notes only that "a potential new operating group is looking for feasible options to revive" the project</w:t>
            </w:r>
          </w:p>
        </w:tc>
        <w:tc>
          <w:tcPr>
            <w:tcW w:w="0" w:type="auto"/>
            <w:hideMark/>
          </w:tcPr>
          <w:p w14:paraId="3FAA474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(would be standalone FLNG)</w:t>
            </w:r>
          </w:p>
        </w:tc>
        <w:tc>
          <w:tcPr>
            <w:tcW w:w="0" w:type="auto"/>
            <w:hideMark/>
          </w:tcPr>
          <w:p w14:paraId="027E4B4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None currently active</w:t>
            </w:r>
          </w:p>
        </w:tc>
      </w:tr>
    </w:tbl>
    <w:p w14:paraId="56BB7416" w14:textId="77777777" w:rsidR="00D05741" w:rsidRDefault="00D05741" w:rsidP="002B6FBC">
      <w:pPr>
        <w:spacing w:line="276" w:lineRule="auto"/>
        <w:jc w:val="both"/>
        <w:rPr>
          <w:rFonts w:ascii="Times New Roman" w:hAnsi="Times New Roman" w:cs="Times New Roman"/>
          <w:b/>
          <w:bCs/>
        </w:rPr>
      </w:pPr>
    </w:p>
    <w:p w14:paraId="212C0CA5" w14:textId="11CCA7AD"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lastRenderedPageBreak/>
        <w:t xml:space="preserve">Distinguishing resource from supply: Of the above, only Alen and Alba (domestic, already producing) and Aseng (domestic, FID reached) represent gas under firm commercial development. Yoyo-Yolanda has reached a </w:t>
      </w:r>
      <w:proofErr w:type="spellStart"/>
      <w:r w:rsidRPr="00CB1515">
        <w:rPr>
          <w:rFonts w:ascii="Times New Roman" w:hAnsi="Times New Roman" w:cs="Times New Roman"/>
        </w:rPr>
        <w:t>unitisation</w:t>
      </w:r>
      <w:proofErr w:type="spellEnd"/>
      <w:r w:rsidRPr="00CB1515">
        <w:rPr>
          <w:rFonts w:ascii="Times New Roman" w:hAnsi="Times New Roman" w:cs="Times New Roman"/>
        </w:rPr>
        <w:t>/legal milestone but not FID. The Nigeria route has only a bilateral framework treaty, with no published field nomination, pipeline route, capacity or cost data</w:t>
      </w:r>
      <w:r w:rsidR="00D05741">
        <w:rPr>
          <w:rFonts w:ascii="Times New Roman" w:hAnsi="Times New Roman" w:cs="Times New Roman"/>
        </w:rPr>
        <w:t xml:space="preserve"> </w:t>
      </w:r>
      <w:r w:rsidRPr="00CB1515">
        <w:rPr>
          <w:rFonts w:ascii="Times New Roman" w:hAnsi="Times New Roman" w:cs="Times New Roman"/>
        </w:rPr>
        <w:t>it should be treated as directionally credible but technically undefined. EG-27/</w:t>
      </w:r>
      <w:proofErr w:type="spellStart"/>
      <w:r w:rsidRPr="00CB1515">
        <w:rPr>
          <w:rFonts w:ascii="Times New Roman" w:hAnsi="Times New Roman" w:cs="Times New Roman"/>
        </w:rPr>
        <w:t>Ebano</w:t>
      </w:r>
      <w:proofErr w:type="spellEnd"/>
      <w:r w:rsidRPr="00CB1515">
        <w:rPr>
          <w:rFonts w:ascii="Times New Roman" w:hAnsi="Times New Roman" w:cs="Times New Roman"/>
        </w:rPr>
        <w:t xml:space="preserve"> and Fortuna are domestic resources, included because they compete with cross-border gas for the same capital, workforce and regulatory bandwidth, and because a "multi-country hub" strategy (Section 7, Scenario 3) would likely need to sequence them together.</w:t>
      </w:r>
    </w:p>
    <w:p w14:paraId="31EDC9B8" w14:textId="73495104" w:rsidR="00CB1515" w:rsidRPr="00CB1515" w:rsidRDefault="00CB1515" w:rsidP="002B6FBC">
      <w:pPr>
        <w:spacing w:line="276" w:lineRule="auto"/>
        <w:jc w:val="both"/>
        <w:rPr>
          <w:rFonts w:ascii="Times New Roman" w:hAnsi="Times New Roman" w:cs="Times New Roman"/>
        </w:rPr>
      </w:pPr>
    </w:p>
    <w:p w14:paraId="0A605F07"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4. Regional Feedstock Attractiveness</w:t>
      </w:r>
    </w:p>
    <w:p w14:paraId="2E2A5873"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4.1 Scoring framework</w:t>
      </w:r>
    </w:p>
    <w:p w14:paraId="29900381"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Each source is scored 1 (weak) to 5 (strong) across six criteria, weighted toward proximity and infrastructure readiness given Punta Europa's role as a fixed-location hub. </w:t>
      </w:r>
      <w:r w:rsidRPr="00CB1515">
        <w:rPr>
          <w:rFonts w:ascii="Times New Roman" w:hAnsi="Times New Roman" w:cs="Times New Roman"/>
          <w:b/>
          <w:bCs/>
        </w:rPr>
        <w:t>This is an original analytical framework built for this note, not a third-party industry index; scores are qualitative judgements grounded in the facts in Sections 1–3, not derived from a disclosed operator methodology.</w:t>
      </w:r>
    </w:p>
    <w:tbl>
      <w:tblPr>
        <w:tblStyle w:val="TableGrid"/>
        <w:tblW w:w="0" w:type="auto"/>
        <w:tblLook w:val="04A0" w:firstRow="1" w:lastRow="0" w:firstColumn="1" w:lastColumn="0" w:noHBand="0" w:noVBand="1"/>
      </w:tblPr>
      <w:tblGrid>
        <w:gridCol w:w="1202"/>
        <w:gridCol w:w="1296"/>
        <w:gridCol w:w="1194"/>
        <w:gridCol w:w="905"/>
        <w:gridCol w:w="1415"/>
        <w:gridCol w:w="1021"/>
        <w:gridCol w:w="1372"/>
        <w:gridCol w:w="945"/>
      </w:tblGrid>
      <w:tr w:rsidR="00CB1515" w:rsidRPr="00CB1515" w14:paraId="12EBF6A6" w14:textId="77777777" w:rsidTr="00D05741">
        <w:tc>
          <w:tcPr>
            <w:tcW w:w="0" w:type="auto"/>
            <w:hideMark/>
          </w:tcPr>
          <w:p w14:paraId="14E3298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Gas Source</w:t>
            </w:r>
          </w:p>
        </w:tc>
        <w:tc>
          <w:tcPr>
            <w:tcW w:w="0" w:type="auto"/>
            <w:hideMark/>
          </w:tcPr>
          <w:p w14:paraId="69BD0CB0"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Resource (size/confidence)</w:t>
            </w:r>
          </w:p>
        </w:tc>
        <w:tc>
          <w:tcPr>
            <w:tcW w:w="0" w:type="auto"/>
            <w:hideMark/>
          </w:tcPr>
          <w:p w14:paraId="149CA451"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Infrastructure (readiness)</w:t>
            </w:r>
          </w:p>
        </w:tc>
        <w:tc>
          <w:tcPr>
            <w:tcW w:w="0" w:type="auto"/>
            <w:hideMark/>
          </w:tcPr>
          <w:p w14:paraId="58586BE0"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Proximity</w:t>
            </w:r>
          </w:p>
        </w:tc>
        <w:tc>
          <w:tcPr>
            <w:tcW w:w="0" w:type="auto"/>
            <w:hideMark/>
          </w:tcPr>
          <w:p w14:paraId="532F4FE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Development Maturity</w:t>
            </w:r>
          </w:p>
        </w:tc>
        <w:tc>
          <w:tcPr>
            <w:tcW w:w="0" w:type="auto"/>
            <w:hideMark/>
          </w:tcPr>
          <w:p w14:paraId="591967D3"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Commercial Readiness</w:t>
            </w:r>
          </w:p>
        </w:tc>
        <w:tc>
          <w:tcPr>
            <w:tcW w:w="0" w:type="auto"/>
            <w:hideMark/>
          </w:tcPr>
          <w:p w14:paraId="3EB0DCC0"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Risk (inverse — lower risk scores higher)</w:t>
            </w:r>
          </w:p>
        </w:tc>
        <w:tc>
          <w:tcPr>
            <w:tcW w:w="0" w:type="auto"/>
            <w:hideMark/>
          </w:tcPr>
          <w:p w14:paraId="2211761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Overall Score (avg./6, weighted)</w:t>
            </w:r>
          </w:p>
        </w:tc>
      </w:tr>
      <w:tr w:rsidR="00CB1515" w:rsidRPr="00CB1515" w14:paraId="50AF9031" w14:textId="77777777" w:rsidTr="00D05741">
        <w:tc>
          <w:tcPr>
            <w:tcW w:w="0" w:type="auto"/>
            <w:hideMark/>
          </w:tcPr>
          <w:p w14:paraId="0161EAD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(Cameroon/EG)</w:t>
            </w:r>
          </w:p>
        </w:tc>
        <w:tc>
          <w:tcPr>
            <w:tcW w:w="0" w:type="auto"/>
            <w:hideMark/>
          </w:tcPr>
          <w:p w14:paraId="247A035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4 (2.5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appraised)</w:t>
            </w:r>
          </w:p>
        </w:tc>
        <w:tc>
          <w:tcPr>
            <w:tcW w:w="0" w:type="auto"/>
            <w:hideMark/>
          </w:tcPr>
          <w:p w14:paraId="77DF931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 (platform + wells planned, no sanctioned pipeline to EG)</w:t>
            </w:r>
          </w:p>
        </w:tc>
        <w:tc>
          <w:tcPr>
            <w:tcW w:w="0" w:type="auto"/>
            <w:hideMark/>
          </w:tcPr>
          <w:p w14:paraId="571A1D2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5 (straddles the maritime border; shortest of the cross-border options)</w:t>
            </w:r>
          </w:p>
        </w:tc>
        <w:tc>
          <w:tcPr>
            <w:tcW w:w="0" w:type="auto"/>
            <w:hideMark/>
          </w:tcPr>
          <w:p w14:paraId="1FDD29E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 (</w:t>
            </w:r>
            <w:proofErr w:type="spellStart"/>
            <w:r w:rsidRPr="00CB1515">
              <w:rPr>
                <w:rFonts w:ascii="Times New Roman" w:hAnsi="Times New Roman" w:cs="Times New Roman"/>
                <w:sz w:val="22"/>
                <w:szCs w:val="22"/>
              </w:rPr>
              <w:t>unitised</w:t>
            </w:r>
            <w:proofErr w:type="spellEnd"/>
            <w:r w:rsidRPr="00CB1515">
              <w:rPr>
                <w:rFonts w:ascii="Times New Roman" w:hAnsi="Times New Roman" w:cs="Times New Roman"/>
                <w:sz w:val="22"/>
                <w:szCs w:val="22"/>
              </w:rPr>
              <w:t>, pre-FID)</w:t>
            </w:r>
          </w:p>
        </w:tc>
        <w:tc>
          <w:tcPr>
            <w:tcW w:w="0" w:type="auto"/>
            <w:hideMark/>
          </w:tcPr>
          <w:p w14:paraId="029E2AE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 (Chevron-operated, both governments aligned)</w:t>
            </w:r>
          </w:p>
        </w:tc>
        <w:tc>
          <w:tcPr>
            <w:tcW w:w="0" w:type="auto"/>
            <w:hideMark/>
          </w:tcPr>
          <w:p w14:paraId="08E00C6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 (moderate — two-state coordination, Cameroon-side politics)</w:t>
            </w:r>
          </w:p>
        </w:tc>
        <w:tc>
          <w:tcPr>
            <w:tcW w:w="0" w:type="auto"/>
            <w:hideMark/>
          </w:tcPr>
          <w:p w14:paraId="1647846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3.5 — Most attractive regional option</w:t>
            </w:r>
          </w:p>
        </w:tc>
      </w:tr>
      <w:tr w:rsidR="00CB1515" w:rsidRPr="00CB1515" w14:paraId="340E4D11" w14:textId="77777777" w:rsidTr="00D05741">
        <w:tc>
          <w:tcPr>
            <w:tcW w:w="0" w:type="auto"/>
            <w:hideMark/>
          </w:tcPr>
          <w:p w14:paraId="7A3B938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Nigeria (Gulf of Guinea Pipeline / Oron 2 and </w:t>
            </w:r>
            <w:r w:rsidRPr="00CB1515">
              <w:rPr>
                <w:rFonts w:ascii="Times New Roman" w:hAnsi="Times New Roman" w:cs="Times New Roman"/>
                <w:sz w:val="22"/>
                <w:szCs w:val="22"/>
              </w:rPr>
              <w:lastRenderedPageBreak/>
              <w:t>adjacent fields)</w:t>
            </w:r>
          </w:p>
        </w:tc>
        <w:tc>
          <w:tcPr>
            <w:tcW w:w="0" w:type="auto"/>
            <w:hideMark/>
          </w:tcPr>
          <w:p w14:paraId="5A96D35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4 (≥3 </w:t>
            </w:r>
            <w:proofErr w:type="spellStart"/>
            <w:r w:rsidRPr="00CB1515">
              <w:rPr>
                <w:rFonts w:ascii="Times New Roman" w:hAnsi="Times New Roman" w:cs="Times New Roman"/>
                <w:sz w:val="22"/>
                <w:szCs w:val="22"/>
              </w:rPr>
              <w:t>Tscf</w:t>
            </w:r>
            <w:proofErr w:type="spellEnd"/>
            <w:r w:rsidRPr="00CB1515">
              <w:rPr>
                <w:rFonts w:ascii="Times New Roman" w:hAnsi="Times New Roman" w:cs="Times New Roman"/>
                <w:sz w:val="22"/>
                <w:szCs w:val="22"/>
              </w:rPr>
              <w:t xml:space="preserve"> at tie-back distance, plus vast </w:t>
            </w:r>
            <w:r w:rsidRPr="00CB1515">
              <w:rPr>
                <w:rFonts w:ascii="Times New Roman" w:hAnsi="Times New Roman" w:cs="Times New Roman"/>
                <w:sz w:val="22"/>
                <w:szCs w:val="22"/>
              </w:rPr>
              <w:lastRenderedPageBreak/>
              <w:t>national base)</w:t>
            </w:r>
          </w:p>
        </w:tc>
        <w:tc>
          <w:tcPr>
            <w:tcW w:w="0" w:type="auto"/>
            <w:hideMark/>
          </w:tcPr>
          <w:p w14:paraId="6737A1C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1 (no disclosed pipeline design, </w:t>
            </w:r>
            <w:r w:rsidRPr="00CB1515">
              <w:rPr>
                <w:rFonts w:ascii="Times New Roman" w:hAnsi="Times New Roman" w:cs="Times New Roman"/>
                <w:sz w:val="22"/>
                <w:szCs w:val="22"/>
              </w:rPr>
              <w:lastRenderedPageBreak/>
              <w:t>route, or capacity)</w:t>
            </w:r>
          </w:p>
        </w:tc>
        <w:tc>
          <w:tcPr>
            <w:tcW w:w="0" w:type="auto"/>
            <w:hideMark/>
          </w:tcPr>
          <w:p w14:paraId="5C4626F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3 (moderate — Niger Delta to Bioko/</w:t>
            </w:r>
            <w:r w:rsidRPr="00CB1515">
              <w:rPr>
                <w:rFonts w:ascii="Times New Roman" w:hAnsi="Times New Roman" w:cs="Times New Roman"/>
                <w:sz w:val="22"/>
                <w:szCs w:val="22"/>
              </w:rPr>
              <w:lastRenderedPageBreak/>
              <w:t>Rio Muni is a longer offshore run than Cameroon)</w:t>
            </w:r>
          </w:p>
        </w:tc>
        <w:tc>
          <w:tcPr>
            <w:tcW w:w="0" w:type="auto"/>
            <w:hideMark/>
          </w:tcPr>
          <w:p w14:paraId="0A5172C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1 (framework treaty only; no FID or FEED disclosed)</w:t>
            </w:r>
          </w:p>
        </w:tc>
        <w:tc>
          <w:tcPr>
            <w:tcW w:w="0" w:type="auto"/>
            <w:hideMark/>
          </w:tcPr>
          <w:p w14:paraId="71ACF3B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2 (strong political will, weak commercial </w:t>
            </w:r>
            <w:r w:rsidRPr="00CB1515">
              <w:rPr>
                <w:rFonts w:ascii="Times New Roman" w:hAnsi="Times New Roman" w:cs="Times New Roman"/>
                <w:sz w:val="22"/>
                <w:szCs w:val="22"/>
              </w:rPr>
              <w:lastRenderedPageBreak/>
              <w:t>specificity)</w:t>
            </w:r>
          </w:p>
        </w:tc>
        <w:tc>
          <w:tcPr>
            <w:tcW w:w="0" w:type="auto"/>
            <w:hideMark/>
          </w:tcPr>
          <w:p w14:paraId="130F836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2 (Niger Delta security/regulatory risk, </w:t>
            </w:r>
            <w:r w:rsidRPr="00CB1515">
              <w:rPr>
                <w:rFonts w:ascii="Times New Roman" w:hAnsi="Times New Roman" w:cs="Times New Roman"/>
                <w:sz w:val="22"/>
                <w:szCs w:val="22"/>
              </w:rPr>
              <w:lastRenderedPageBreak/>
              <w:t>no defined fiscal terms)</w:t>
            </w:r>
          </w:p>
        </w:tc>
        <w:tc>
          <w:tcPr>
            <w:tcW w:w="0" w:type="auto"/>
            <w:hideMark/>
          </w:tcPr>
          <w:p w14:paraId="55302BD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lastRenderedPageBreak/>
              <w:t xml:space="preserve">2.2 — Second-tier, high potential but </w:t>
            </w:r>
            <w:r w:rsidRPr="00CB1515">
              <w:rPr>
                <w:rFonts w:ascii="Times New Roman" w:hAnsi="Times New Roman" w:cs="Times New Roman"/>
                <w:b/>
                <w:bCs/>
                <w:sz w:val="22"/>
                <w:szCs w:val="22"/>
              </w:rPr>
              <w:lastRenderedPageBreak/>
              <w:t>undefined</w:t>
            </w:r>
          </w:p>
        </w:tc>
      </w:tr>
      <w:tr w:rsidR="00CB1515" w:rsidRPr="00CB1515" w14:paraId="4CC0B51E" w14:textId="77777777" w:rsidTr="00D05741">
        <w:tc>
          <w:tcPr>
            <w:tcW w:w="0" w:type="auto"/>
            <w:hideMark/>
          </w:tcPr>
          <w:p w14:paraId="23AF51F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EG-27/</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(domestic, included for comparison)</w:t>
            </w:r>
          </w:p>
        </w:tc>
        <w:tc>
          <w:tcPr>
            <w:tcW w:w="0" w:type="auto"/>
            <w:hideMark/>
          </w:tcPr>
          <w:p w14:paraId="17E8C4A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5 (3.8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xml:space="preserve"> proven, largest single resource identified)</w:t>
            </w:r>
          </w:p>
        </w:tc>
        <w:tc>
          <w:tcPr>
            <w:tcW w:w="0" w:type="auto"/>
            <w:hideMark/>
          </w:tcPr>
          <w:p w14:paraId="57CC220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 (new-build required; not yet linked to Punta Europa)</w:t>
            </w:r>
          </w:p>
        </w:tc>
        <w:tc>
          <w:tcPr>
            <w:tcW w:w="0" w:type="auto"/>
            <w:hideMark/>
          </w:tcPr>
          <w:p w14:paraId="4D42B36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5 (domestic)</w:t>
            </w:r>
          </w:p>
        </w:tc>
        <w:tc>
          <w:tcPr>
            <w:tcW w:w="0" w:type="auto"/>
            <w:hideMark/>
          </w:tcPr>
          <w:p w14:paraId="12E91AC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 (advisory/financing stage; $4.5bn unfunded)</w:t>
            </w:r>
          </w:p>
        </w:tc>
        <w:tc>
          <w:tcPr>
            <w:tcW w:w="0" w:type="auto"/>
            <w:hideMark/>
          </w:tcPr>
          <w:p w14:paraId="13B461F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 (financing not closed)</w:t>
            </w:r>
          </w:p>
        </w:tc>
        <w:tc>
          <w:tcPr>
            <w:tcW w:w="0" w:type="auto"/>
            <w:hideMark/>
          </w:tcPr>
          <w:p w14:paraId="0A1FF4C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 (financing and execution risk for a large greenfield LNG train)</w:t>
            </w:r>
          </w:p>
        </w:tc>
        <w:tc>
          <w:tcPr>
            <w:tcW w:w="0" w:type="auto"/>
            <w:hideMark/>
          </w:tcPr>
          <w:p w14:paraId="06FDAC1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3.2 — Strong domestic comparator, not a "regional" source but the nearest competing use of capital</w:t>
            </w:r>
          </w:p>
        </w:tc>
      </w:tr>
      <w:tr w:rsidR="00CB1515" w:rsidRPr="00CB1515" w14:paraId="51225C56" w14:textId="77777777" w:rsidTr="00D05741">
        <w:tc>
          <w:tcPr>
            <w:tcW w:w="0" w:type="auto"/>
            <w:hideMark/>
          </w:tcPr>
          <w:p w14:paraId="17F11EE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Fortuna/Block R (domestic, dormant)</w:t>
            </w:r>
          </w:p>
        </w:tc>
        <w:tc>
          <w:tcPr>
            <w:tcW w:w="0" w:type="auto"/>
            <w:hideMark/>
          </w:tcPr>
          <w:p w14:paraId="183B906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3 (2.3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but stranded/dry gas, technically complex)</w:t>
            </w:r>
          </w:p>
        </w:tc>
        <w:tc>
          <w:tcPr>
            <w:tcW w:w="0" w:type="auto"/>
            <w:hideMark/>
          </w:tcPr>
          <w:p w14:paraId="401FD5B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 (no active operator/vessel)</w:t>
            </w:r>
          </w:p>
        </w:tc>
        <w:tc>
          <w:tcPr>
            <w:tcW w:w="0" w:type="auto"/>
            <w:hideMark/>
          </w:tcPr>
          <w:p w14:paraId="2057024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4 (domestic, but standalone FLNG concept bypasses Punta Europa)</w:t>
            </w:r>
          </w:p>
        </w:tc>
        <w:tc>
          <w:tcPr>
            <w:tcW w:w="0" w:type="auto"/>
            <w:hideMark/>
          </w:tcPr>
          <w:p w14:paraId="44FF697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 (dormant since Ophir/Golar exit)</w:t>
            </w:r>
          </w:p>
        </w:tc>
        <w:tc>
          <w:tcPr>
            <w:tcW w:w="0" w:type="auto"/>
            <w:hideMark/>
          </w:tcPr>
          <w:p w14:paraId="157D9D8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 (no active commercial process)</w:t>
            </w:r>
          </w:p>
        </w:tc>
        <w:tc>
          <w:tcPr>
            <w:tcW w:w="0" w:type="auto"/>
            <w:hideMark/>
          </w:tcPr>
          <w:p w14:paraId="0F10E65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w:t>
            </w:r>
          </w:p>
        </w:tc>
        <w:tc>
          <w:tcPr>
            <w:tcW w:w="0" w:type="auto"/>
            <w:hideMark/>
          </w:tcPr>
          <w:p w14:paraId="1662389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2.2 — Low near-term relevance to Punta Europa specifically</w:t>
            </w:r>
          </w:p>
        </w:tc>
      </w:tr>
    </w:tbl>
    <w:p w14:paraId="7E043DC7" w14:textId="50296C7C" w:rsidR="00CB1515" w:rsidRPr="00CB1515" w:rsidRDefault="00CB1515" w:rsidP="002B6FBC">
      <w:pPr>
        <w:spacing w:line="276" w:lineRule="auto"/>
        <w:jc w:val="both"/>
        <w:rPr>
          <w:rFonts w:ascii="Times New Roman" w:hAnsi="Times New Roman" w:cs="Times New Roman"/>
        </w:rPr>
      </w:pPr>
    </w:p>
    <w:p w14:paraId="03C2ED90"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5. Cross-Border Pipeline Requirements</w:t>
      </w:r>
    </w:p>
    <w:tbl>
      <w:tblPr>
        <w:tblStyle w:val="TableGrid"/>
        <w:tblW w:w="0" w:type="auto"/>
        <w:tblLook w:val="04A0" w:firstRow="1" w:lastRow="0" w:firstColumn="1" w:lastColumn="0" w:noHBand="0" w:noVBand="1"/>
      </w:tblPr>
      <w:tblGrid>
        <w:gridCol w:w="1147"/>
        <w:gridCol w:w="1253"/>
        <w:gridCol w:w="1107"/>
        <w:gridCol w:w="1177"/>
        <w:gridCol w:w="1097"/>
        <w:gridCol w:w="1835"/>
        <w:gridCol w:w="1734"/>
      </w:tblGrid>
      <w:tr w:rsidR="00CB1515" w:rsidRPr="00CB1515" w14:paraId="25DC37B7" w14:textId="77777777" w:rsidTr="00D05741">
        <w:tc>
          <w:tcPr>
            <w:tcW w:w="0" w:type="auto"/>
            <w:hideMark/>
          </w:tcPr>
          <w:p w14:paraId="682060F0"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lastRenderedPageBreak/>
              <w:t>Route</w:t>
            </w:r>
          </w:p>
        </w:tc>
        <w:tc>
          <w:tcPr>
            <w:tcW w:w="0" w:type="auto"/>
            <w:hideMark/>
          </w:tcPr>
          <w:p w14:paraId="3D33B6CC"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Origin</w:t>
            </w:r>
          </w:p>
        </w:tc>
        <w:tc>
          <w:tcPr>
            <w:tcW w:w="0" w:type="auto"/>
            <w:hideMark/>
          </w:tcPr>
          <w:p w14:paraId="03F88143"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Destination</w:t>
            </w:r>
          </w:p>
        </w:tc>
        <w:tc>
          <w:tcPr>
            <w:tcW w:w="0" w:type="auto"/>
            <w:hideMark/>
          </w:tcPr>
          <w:p w14:paraId="6F838FF3"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Approx. Distance</w:t>
            </w:r>
          </w:p>
        </w:tc>
        <w:tc>
          <w:tcPr>
            <w:tcW w:w="0" w:type="auto"/>
            <w:hideMark/>
          </w:tcPr>
          <w:p w14:paraId="2536485A"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Capacity (indicative)</w:t>
            </w:r>
          </w:p>
        </w:tc>
        <w:tc>
          <w:tcPr>
            <w:tcW w:w="0" w:type="auto"/>
            <w:hideMark/>
          </w:tcPr>
          <w:p w14:paraId="2E826DE7"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Infrastructure Required</w:t>
            </w:r>
          </w:p>
        </w:tc>
        <w:tc>
          <w:tcPr>
            <w:tcW w:w="0" w:type="auto"/>
            <w:hideMark/>
          </w:tcPr>
          <w:p w14:paraId="5CBEFC2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Development Status</w:t>
            </w:r>
          </w:p>
        </w:tc>
      </w:tr>
      <w:tr w:rsidR="00CB1515" w:rsidRPr="00CB1515" w14:paraId="60160CAA" w14:textId="77777777" w:rsidTr="00D05741">
        <w:tc>
          <w:tcPr>
            <w:tcW w:w="0" w:type="auto"/>
            <w:hideMark/>
          </w:tcPr>
          <w:p w14:paraId="0C522F4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Yoyo–Yolanda → </w:t>
            </w:r>
            <w:proofErr w:type="spellStart"/>
            <w:r w:rsidRPr="00CB1515">
              <w:rPr>
                <w:rFonts w:ascii="Times New Roman" w:hAnsi="Times New Roman" w:cs="Times New Roman"/>
                <w:sz w:val="22"/>
                <w:szCs w:val="22"/>
              </w:rPr>
              <w:t>Bipaga</w:t>
            </w:r>
            <w:proofErr w:type="spellEnd"/>
            <w:r w:rsidRPr="00CB1515">
              <w:rPr>
                <w:rFonts w:ascii="Times New Roman" w:hAnsi="Times New Roman" w:cs="Times New Roman"/>
                <w:sz w:val="22"/>
                <w:szCs w:val="22"/>
              </w:rPr>
              <w:t xml:space="preserve"> (Cameroon onshore)</w:t>
            </w:r>
          </w:p>
        </w:tc>
        <w:tc>
          <w:tcPr>
            <w:tcW w:w="0" w:type="auto"/>
            <w:hideMark/>
          </w:tcPr>
          <w:p w14:paraId="47EBF7A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straddle field, Gulf of Guinea</w:t>
            </w:r>
          </w:p>
        </w:tc>
        <w:tc>
          <w:tcPr>
            <w:tcW w:w="0" w:type="auto"/>
            <w:hideMark/>
          </w:tcPr>
          <w:p w14:paraId="4287B09B"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Bipaga</w:t>
            </w:r>
            <w:proofErr w:type="spellEnd"/>
            <w:r w:rsidRPr="00CB1515">
              <w:rPr>
                <w:rFonts w:ascii="Times New Roman" w:hAnsi="Times New Roman" w:cs="Times New Roman"/>
                <w:sz w:val="22"/>
                <w:szCs w:val="22"/>
              </w:rPr>
              <w:t xml:space="preserve"> processing </w:t>
            </w:r>
            <w:proofErr w:type="spellStart"/>
            <w:r w:rsidRPr="00CB1515">
              <w:rPr>
                <w:rFonts w:ascii="Times New Roman" w:hAnsi="Times New Roman" w:cs="Times New Roman"/>
                <w:sz w:val="22"/>
                <w:szCs w:val="22"/>
              </w:rPr>
              <w:t>centre</w:t>
            </w:r>
            <w:proofErr w:type="spellEnd"/>
            <w:r w:rsidRPr="00CB1515">
              <w:rPr>
                <w:rFonts w:ascii="Times New Roman" w:hAnsi="Times New Roman" w:cs="Times New Roman"/>
                <w:sz w:val="22"/>
                <w:szCs w:val="22"/>
              </w:rPr>
              <w:t>, southern Cameroon</w:t>
            </w:r>
          </w:p>
        </w:tc>
        <w:tc>
          <w:tcPr>
            <w:tcW w:w="0" w:type="auto"/>
            <w:hideMark/>
          </w:tcPr>
          <w:p w14:paraId="6A8F115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 in sources reviewed</w:t>
            </w:r>
          </w:p>
        </w:tc>
        <w:tc>
          <w:tcPr>
            <w:tcW w:w="0" w:type="auto"/>
            <w:hideMark/>
          </w:tcPr>
          <w:p w14:paraId="0D98E0B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w:t>
            </w:r>
          </w:p>
        </w:tc>
        <w:tc>
          <w:tcPr>
            <w:tcW w:w="0" w:type="auto"/>
            <w:hideMark/>
          </w:tcPr>
          <w:p w14:paraId="3CF1A97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Processing platform, gathering lines, onshore processing/treatment plant, 3 development wells</w:t>
            </w:r>
          </w:p>
        </w:tc>
        <w:tc>
          <w:tcPr>
            <w:tcW w:w="0" w:type="auto"/>
            <w:hideMark/>
          </w:tcPr>
          <w:p w14:paraId="1DFF240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Proposed — </w:t>
            </w:r>
            <w:proofErr w:type="spellStart"/>
            <w:r w:rsidRPr="00CB1515">
              <w:rPr>
                <w:rFonts w:ascii="Times New Roman" w:hAnsi="Times New Roman" w:cs="Times New Roman"/>
                <w:sz w:val="22"/>
                <w:szCs w:val="22"/>
              </w:rPr>
              <w:t>unitised</w:t>
            </w:r>
            <w:proofErr w:type="spellEnd"/>
            <w:r w:rsidRPr="00CB1515">
              <w:rPr>
                <w:rFonts w:ascii="Times New Roman" w:hAnsi="Times New Roman" w:cs="Times New Roman"/>
                <w:sz w:val="22"/>
                <w:szCs w:val="22"/>
              </w:rPr>
              <w:t>, pre-FID</w:t>
            </w:r>
          </w:p>
        </w:tc>
      </w:tr>
      <w:tr w:rsidR="00CB1515" w:rsidRPr="00CB1515" w14:paraId="0D0942EF" w14:textId="77777777" w:rsidTr="00D05741">
        <w:tc>
          <w:tcPr>
            <w:tcW w:w="0" w:type="auto"/>
            <w:hideMark/>
          </w:tcPr>
          <w:p w14:paraId="48F0B3B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 Punta Europa (second, EG-bound line referenced in project description)</w:t>
            </w:r>
          </w:p>
        </w:tc>
        <w:tc>
          <w:tcPr>
            <w:tcW w:w="0" w:type="auto"/>
            <w:hideMark/>
          </w:tcPr>
          <w:p w14:paraId="552B6B2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straddle field</w:t>
            </w:r>
          </w:p>
        </w:tc>
        <w:tc>
          <w:tcPr>
            <w:tcW w:w="0" w:type="auto"/>
            <w:hideMark/>
          </w:tcPr>
          <w:p w14:paraId="7DBA20F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Punta Europa, Bioko Island</w:t>
            </w:r>
          </w:p>
        </w:tc>
        <w:tc>
          <w:tcPr>
            <w:tcW w:w="0" w:type="auto"/>
            <w:hideMark/>
          </w:tcPr>
          <w:p w14:paraId="68906CB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Not disclosed — order-of-magnitude likely 80–150 km based on regional field-to-shore distances for comparable Gulf of Guinea projects (Alen: 70 km); </w:t>
            </w:r>
            <w:r w:rsidRPr="00CB1515">
              <w:rPr>
                <w:rFonts w:ascii="Times New Roman" w:hAnsi="Times New Roman" w:cs="Times New Roman"/>
                <w:b/>
                <w:bCs/>
                <w:sz w:val="22"/>
                <w:szCs w:val="22"/>
              </w:rPr>
              <w:t>this range is an analytical estimate, not a project figure</w:t>
            </w:r>
          </w:p>
        </w:tc>
        <w:tc>
          <w:tcPr>
            <w:tcW w:w="0" w:type="auto"/>
            <w:hideMark/>
          </w:tcPr>
          <w:p w14:paraId="07A87EF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w:t>
            </w:r>
          </w:p>
        </w:tc>
        <w:tc>
          <w:tcPr>
            <w:tcW w:w="0" w:type="auto"/>
            <w:hideMark/>
          </w:tcPr>
          <w:p w14:paraId="661C215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Subsea trunkline, offshore gathering, compression, tie-in to Alen platform or direct to Punta Europa; onshore metering/treatment</w:t>
            </w:r>
          </w:p>
        </w:tc>
        <w:tc>
          <w:tcPr>
            <w:tcW w:w="0" w:type="auto"/>
            <w:hideMark/>
          </w:tcPr>
          <w:p w14:paraId="6039309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Proposed/conceptual — referenced in project description, no FEED published</w:t>
            </w:r>
          </w:p>
        </w:tc>
      </w:tr>
      <w:tr w:rsidR="00CB1515" w:rsidRPr="00CB1515" w14:paraId="17529067" w14:textId="77777777" w:rsidTr="00D05741">
        <w:tc>
          <w:tcPr>
            <w:tcW w:w="0" w:type="auto"/>
            <w:hideMark/>
          </w:tcPr>
          <w:p w14:paraId="375981E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Nigeria (Niger Delta/Oron area) → Punta </w:t>
            </w:r>
            <w:r w:rsidRPr="00CB1515">
              <w:rPr>
                <w:rFonts w:ascii="Times New Roman" w:hAnsi="Times New Roman" w:cs="Times New Roman"/>
                <w:sz w:val="22"/>
                <w:szCs w:val="22"/>
              </w:rPr>
              <w:lastRenderedPageBreak/>
              <w:t>Europa/Alba</w:t>
            </w:r>
          </w:p>
        </w:tc>
        <w:tc>
          <w:tcPr>
            <w:tcW w:w="0" w:type="auto"/>
            <w:hideMark/>
          </w:tcPr>
          <w:p w14:paraId="7FD91B6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Niger Delta / Gulf of Guinea, Nigeria</w:t>
            </w:r>
          </w:p>
        </w:tc>
        <w:tc>
          <w:tcPr>
            <w:tcW w:w="0" w:type="auto"/>
            <w:hideMark/>
          </w:tcPr>
          <w:p w14:paraId="46FE6B1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 facilities / Punta Europa</w:t>
            </w:r>
          </w:p>
        </w:tc>
        <w:tc>
          <w:tcPr>
            <w:tcW w:w="0" w:type="auto"/>
            <w:hideMark/>
          </w:tcPr>
          <w:p w14:paraId="295EE4E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 Oron 2 and comparabl</w:t>
            </w:r>
            <w:r w:rsidRPr="00CB1515">
              <w:rPr>
                <w:rFonts w:ascii="Times New Roman" w:hAnsi="Times New Roman" w:cs="Times New Roman"/>
                <w:sz w:val="22"/>
                <w:szCs w:val="22"/>
              </w:rPr>
              <w:lastRenderedPageBreak/>
              <w:t xml:space="preserve">e near-border fields are generally </w:t>
            </w:r>
            <w:proofErr w:type="spellStart"/>
            <w:r w:rsidRPr="00CB1515">
              <w:rPr>
                <w:rFonts w:ascii="Times New Roman" w:hAnsi="Times New Roman" w:cs="Times New Roman"/>
                <w:sz w:val="22"/>
                <w:szCs w:val="22"/>
              </w:rPr>
              <w:t>characterised</w:t>
            </w:r>
            <w:proofErr w:type="spellEnd"/>
            <w:r w:rsidRPr="00CB1515">
              <w:rPr>
                <w:rFonts w:ascii="Times New Roman" w:hAnsi="Times New Roman" w:cs="Times New Roman"/>
                <w:sz w:val="22"/>
                <w:szCs w:val="22"/>
              </w:rPr>
              <w:t xml:space="preserve"> as being at "tie-back distance" from Alba, suggesting a shorter-range subsea tie-in (plausibly sub-100 km) rather than a long-distance trunk line, but </w:t>
            </w:r>
            <w:r w:rsidRPr="00CB1515">
              <w:rPr>
                <w:rFonts w:ascii="Times New Roman" w:hAnsi="Times New Roman" w:cs="Times New Roman"/>
                <w:b/>
                <w:bCs/>
                <w:sz w:val="22"/>
                <w:szCs w:val="22"/>
              </w:rPr>
              <w:t>no official distance has been published</w:t>
            </w:r>
          </w:p>
        </w:tc>
        <w:tc>
          <w:tcPr>
            <w:tcW w:w="0" w:type="auto"/>
            <w:hideMark/>
          </w:tcPr>
          <w:p w14:paraId="3880A82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Not disclosed</w:t>
            </w:r>
          </w:p>
        </w:tc>
        <w:tc>
          <w:tcPr>
            <w:tcW w:w="0" w:type="auto"/>
            <w:hideMark/>
          </w:tcPr>
          <w:p w14:paraId="3ABF63B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Subsea gathering system, cross-border trunkline, compression, metering, </w:t>
            </w:r>
            <w:r w:rsidRPr="00CB1515">
              <w:rPr>
                <w:rFonts w:ascii="Times New Roman" w:hAnsi="Times New Roman" w:cs="Times New Roman"/>
                <w:sz w:val="22"/>
                <w:szCs w:val="22"/>
              </w:rPr>
              <w:lastRenderedPageBreak/>
              <w:t>customs/measurement station at the maritime boundary, tie-in to Alba/EG LNG gathering system</w:t>
            </w:r>
          </w:p>
        </w:tc>
        <w:tc>
          <w:tcPr>
            <w:tcW w:w="0" w:type="auto"/>
            <w:hideMark/>
          </w:tcPr>
          <w:p w14:paraId="5B60456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Proposed/conceptual — bilateral framework agreement only (August 2024), </w:t>
            </w:r>
            <w:r w:rsidRPr="00CB1515">
              <w:rPr>
                <w:rFonts w:ascii="Times New Roman" w:hAnsi="Times New Roman" w:cs="Times New Roman"/>
                <w:sz w:val="22"/>
                <w:szCs w:val="22"/>
              </w:rPr>
              <w:lastRenderedPageBreak/>
              <w:t>no FID or route survey identified</w:t>
            </w:r>
          </w:p>
        </w:tc>
      </w:tr>
      <w:tr w:rsidR="00CB1515" w:rsidRPr="00CB1515" w14:paraId="6AF5F4BB" w14:textId="77777777" w:rsidTr="00D05741">
        <w:tc>
          <w:tcPr>
            <w:tcW w:w="0" w:type="auto"/>
            <w:hideMark/>
          </w:tcPr>
          <w:p w14:paraId="557A840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Alen platform → Punta Europa (existing, for reference)</w:t>
            </w:r>
          </w:p>
        </w:tc>
        <w:tc>
          <w:tcPr>
            <w:tcW w:w="0" w:type="auto"/>
            <w:hideMark/>
          </w:tcPr>
          <w:p w14:paraId="5828CF3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Alen field, Blocks O/I</w:t>
            </w:r>
          </w:p>
        </w:tc>
        <w:tc>
          <w:tcPr>
            <w:tcW w:w="0" w:type="auto"/>
            <w:hideMark/>
          </w:tcPr>
          <w:p w14:paraId="30A38CA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Punta Europa</w:t>
            </w:r>
          </w:p>
        </w:tc>
        <w:tc>
          <w:tcPr>
            <w:tcW w:w="0" w:type="auto"/>
            <w:hideMark/>
          </w:tcPr>
          <w:p w14:paraId="0D57208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70 km</w:t>
            </w:r>
          </w:p>
        </w:tc>
        <w:tc>
          <w:tcPr>
            <w:tcW w:w="0" w:type="auto"/>
            <w:hideMark/>
          </w:tcPr>
          <w:p w14:paraId="6286E62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950 </w:t>
            </w:r>
            <w:proofErr w:type="spellStart"/>
            <w:r w:rsidRPr="00CB1515">
              <w:rPr>
                <w:rFonts w:ascii="Times New Roman" w:hAnsi="Times New Roman" w:cs="Times New Roman"/>
                <w:sz w:val="22"/>
                <w:szCs w:val="22"/>
              </w:rPr>
              <w:t>mmcf</w:t>
            </w:r>
            <w:proofErr w:type="spellEnd"/>
            <w:r w:rsidRPr="00CB1515">
              <w:rPr>
                <w:rFonts w:ascii="Times New Roman" w:hAnsi="Times New Roman" w:cs="Times New Roman"/>
                <w:sz w:val="22"/>
                <w:szCs w:val="22"/>
              </w:rPr>
              <w:t>/d</w:t>
            </w:r>
          </w:p>
        </w:tc>
        <w:tc>
          <w:tcPr>
            <w:tcW w:w="0" w:type="auto"/>
            <w:hideMark/>
          </w:tcPr>
          <w:p w14:paraId="6C38589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24-inch pipeline (built)</w:t>
            </w:r>
          </w:p>
        </w:tc>
        <w:tc>
          <w:tcPr>
            <w:tcW w:w="0" w:type="auto"/>
            <w:hideMark/>
          </w:tcPr>
          <w:p w14:paraId="48AB33F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Operational</w:t>
            </w:r>
            <w:r w:rsidRPr="00CB1515">
              <w:rPr>
                <w:rFonts w:ascii="Times New Roman" w:hAnsi="Times New Roman" w:cs="Times New Roman"/>
                <w:sz w:val="22"/>
                <w:szCs w:val="22"/>
              </w:rPr>
              <w:t xml:space="preserve"> — included as the only confirmed comparator for offshore distances/capacities in this basin</w:t>
            </w:r>
          </w:p>
        </w:tc>
      </w:tr>
    </w:tbl>
    <w:p w14:paraId="27E2234B" w14:textId="3823F73C" w:rsidR="00CB1515" w:rsidRPr="00CB1515" w:rsidRDefault="00CB1515" w:rsidP="002B6FBC">
      <w:pPr>
        <w:spacing w:line="276" w:lineRule="auto"/>
        <w:jc w:val="both"/>
        <w:rPr>
          <w:rFonts w:ascii="Times New Roman" w:hAnsi="Times New Roman" w:cs="Times New Roman"/>
        </w:rPr>
      </w:pPr>
    </w:p>
    <w:p w14:paraId="2970C864"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6. Gas Quality and Processing Compatibility</w:t>
      </w:r>
    </w:p>
    <w:p w14:paraId="66C47D7E"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No operator or government source reviewed discloses detailed gas composition assays for Yoyo-Yolanda or the candidate Nigerian fields. The table below therefore uses </w:t>
      </w:r>
      <w:r w:rsidRPr="00CB1515">
        <w:rPr>
          <w:rFonts w:ascii="Times New Roman" w:hAnsi="Times New Roman" w:cs="Times New Roman"/>
          <w:b/>
          <w:bCs/>
        </w:rPr>
        <w:t>typical Gulf of Guinea Tertiary-basin gas/condensate reservoir ranges</w:t>
      </w:r>
      <w:r w:rsidRPr="00CB1515">
        <w:rPr>
          <w:rFonts w:ascii="Times New Roman" w:hAnsi="Times New Roman" w:cs="Times New Roman"/>
        </w:rPr>
        <w:t xml:space="preserve"> (a widely used industry benchmark for offshore West/Central Africa gas-condensate systems, consistent with the character of Alba, Alen and Aseng, which are all gas-condensate accumulations in the same basin trend) rather than field-</w:t>
      </w:r>
      <w:r w:rsidRPr="00CB1515">
        <w:rPr>
          <w:rFonts w:ascii="Times New Roman" w:hAnsi="Times New Roman" w:cs="Times New Roman"/>
        </w:rPr>
        <w:lastRenderedPageBreak/>
        <w:t>specific assay data. This is explicitly a benchmark comparison, not measured data for Yoyo-Yolanda or Nigerian gas.</w:t>
      </w:r>
    </w:p>
    <w:tbl>
      <w:tblPr>
        <w:tblStyle w:val="TableGrid"/>
        <w:tblW w:w="0" w:type="auto"/>
        <w:tblLook w:val="04A0" w:firstRow="1" w:lastRow="0" w:firstColumn="1" w:lastColumn="0" w:noHBand="0" w:noVBand="1"/>
      </w:tblPr>
      <w:tblGrid>
        <w:gridCol w:w="1480"/>
        <w:gridCol w:w="1990"/>
        <w:gridCol w:w="2256"/>
        <w:gridCol w:w="1812"/>
        <w:gridCol w:w="1812"/>
      </w:tblGrid>
      <w:tr w:rsidR="00CB1515" w:rsidRPr="00CB1515" w14:paraId="5822890E" w14:textId="77777777" w:rsidTr="00D05741">
        <w:tc>
          <w:tcPr>
            <w:tcW w:w="0" w:type="auto"/>
            <w:hideMark/>
          </w:tcPr>
          <w:p w14:paraId="1B0F2A7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Parameter</w:t>
            </w:r>
          </w:p>
        </w:tc>
        <w:tc>
          <w:tcPr>
            <w:tcW w:w="0" w:type="auto"/>
            <w:hideMark/>
          </w:tcPr>
          <w:p w14:paraId="2FDCA29F"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Alba/Alen/Aseng (EG, indicative producing-field range)</w:t>
            </w:r>
          </w:p>
        </w:tc>
        <w:tc>
          <w:tcPr>
            <w:tcW w:w="0" w:type="auto"/>
            <w:hideMark/>
          </w:tcPr>
          <w:p w14:paraId="3E57789E"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Typical Gulf of Guinea gas-condensate benchmark (Cameroon/Nigeria offshore, indicative)</w:t>
            </w:r>
          </w:p>
        </w:tc>
        <w:tc>
          <w:tcPr>
            <w:tcW w:w="0" w:type="auto"/>
            <w:hideMark/>
          </w:tcPr>
          <w:p w14:paraId="3CBB0A7C"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LNG feed-gas specification (typical, generic)</w:t>
            </w:r>
          </w:p>
        </w:tc>
        <w:tc>
          <w:tcPr>
            <w:tcW w:w="0" w:type="auto"/>
            <w:hideMark/>
          </w:tcPr>
          <w:p w14:paraId="6E8DFCA7"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Compatibility Note</w:t>
            </w:r>
          </w:p>
        </w:tc>
      </w:tr>
      <w:tr w:rsidR="00CB1515" w:rsidRPr="00CB1515" w14:paraId="64C53BC9" w14:textId="77777777" w:rsidTr="00D05741">
        <w:tc>
          <w:tcPr>
            <w:tcW w:w="0" w:type="auto"/>
            <w:hideMark/>
          </w:tcPr>
          <w:p w14:paraId="3FF0B7A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Methane (mol%)</w:t>
            </w:r>
          </w:p>
        </w:tc>
        <w:tc>
          <w:tcPr>
            <w:tcW w:w="0" w:type="auto"/>
            <w:hideMark/>
          </w:tcPr>
          <w:p w14:paraId="10C1514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80–88 (typical for wet gas-condensate)</w:t>
            </w:r>
          </w:p>
        </w:tc>
        <w:tc>
          <w:tcPr>
            <w:tcW w:w="0" w:type="auto"/>
            <w:hideMark/>
          </w:tcPr>
          <w:p w14:paraId="6358476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75–90 (benchmark)</w:t>
            </w:r>
          </w:p>
        </w:tc>
        <w:tc>
          <w:tcPr>
            <w:tcW w:w="0" w:type="auto"/>
            <w:hideMark/>
          </w:tcPr>
          <w:p w14:paraId="4CB7BA6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(bulk component)</w:t>
            </w:r>
          </w:p>
        </w:tc>
        <w:tc>
          <w:tcPr>
            <w:tcW w:w="0" w:type="auto"/>
            <w:hideMark/>
          </w:tcPr>
          <w:p w14:paraId="3F7774B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Broadly compatible</w:t>
            </w:r>
          </w:p>
        </w:tc>
      </w:tr>
      <w:tr w:rsidR="00CB1515" w:rsidRPr="00CB1515" w14:paraId="6CC10156" w14:textId="77777777" w:rsidTr="00D05741">
        <w:tc>
          <w:tcPr>
            <w:tcW w:w="0" w:type="auto"/>
            <w:hideMark/>
          </w:tcPr>
          <w:p w14:paraId="7D938DC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CO₂ (mol%)</w:t>
            </w:r>
          </w:p>
        </w:tc>
        <w:tc>
          <w:tcPr>
            <w:tcW w:w="0" w:type="auto"/>
            <w:hideMark/>
          </w:tcPr>
          <w:p w14:paraId="20B2B32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Low–moderate (&lt;5, typical for this basin)</w:t>
            </w:r>
          </w:p>
        </w:tc>
        <w:tc>
          <w:tcPr>
            <w:tcW w:w="0" w:type="auto"/>
            <w:hideMark/>
          </w:tcPr>
          <w:p w14:paraId="028FD14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1–8 (benchmark; can be higher in some Niger Delta associated gas)</w:t>
            </w:r>
          </w:p>
        </w:tc>
        <w:tc>
          <w:tcPr>
            <w:tcW w:w="0" w:type="auto"/>
            <w:hideMark/>
          </w:tcPr>
          <w:p w14:paraId="625CA97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&lt;50 </w:t>
            </w:r>
            <w:proofErr w:type="spellStart"/>
            <w:r w:rsidRPr="00CB1515">
              <w:rPr>
                <w:rFonts w:ascii="Times New Roman" w:hAnsi="Times New Roman" w:cs="Times New Roman"/>
                <w:sz w:val="22"/>
                <w:szCs w:val="22"/>
              </w:rPr>
              <w:t>ppmv</w:t>
            </w:r>
            <w:proofErr w:type="spellEnd"/>
            <w:r w:rsidRPr="00CB1515">
              <w:rPr>
                <w:rFonts w:ascii="Times New Roman" w:hAnsi="Times New Roman" w:cs="Times New Roman"/>
                <w:sz w:val="22"/>
                <w:szCs w:val="22"/>
              </w:rPr>
              <w:t xml:space="preserve"> post-treatment (pipeline gas typically &lt;2–3%)</w:t>
            </w:r>
          </w:p>
        </w:tc>
        <w:tc>
          <w:tcPr>
            <w:tcW w:w="0" w:type="auto"/>
            <w:hideMark/>
          </w:tcPr>
          <w:p w14:paraId="17DF4E0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Higher-CO₂ streams would need acid-gas removal (amine unit) sized for the blended stream</w:t>
            </w:r>
          </w:p>
        </w:tc>
      </w:tr>
      <w:tr w:rsidR="00CB1515" w:rsidRPr="00CB1515" w14:paraId="740DC2D7" w14:textId="77777777" w:rsidTr="00D05741">
        <w:tc>
          <w:tcPr>
            <w:tcW w:w="0" w:type="auto"/>
            <w:hideMark/>
          </w:tcPr>
          <w:p w14:paraId="435D332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H₂S (mol%)</w:t>
            </w:r>
          </w:p>
        </w:tc>
        <w:tc>
          <w:tcPr>
            <w:tcW w:w="0" w:type="auto"/>
            <w:hideMark/>
          </w:tcPr>
          <w:p w14:paraId="69815E20" w14:textId="77777777" w:rsidR="00CB1515" w:rsidRPr="00CB1515" w:rsidRDefault="00CB1515" w:rsidP="002B6FBC">
            <w:pPr>
              <w:spacing w:after="160" w:line="276" w:lineRule="auto"/>
              <w:jc w:val="both"/>
              <w:rPr>
                <w:rFonts w:ascii="Times New Roman" w:hAnsi="Times New Roman" w:cs="Times New Roman"/>
                <w:sz w:val="22"/>
                <w:szCs w:val="22"/>
              </w:rPr>
            </w:pPr>
            <w:proofErr w:type="gramStart"/>
            <w:r w:rsidRPr="00CB1515">
              <w:rPr>
                <w:rFonts w:ascii="Times New Roman" w:hAnsi="Times New Roman" w:cs="Times New Roman"/>
                <w:sz w:val="22"/>
                <w:szCs w:val="22"/>
              </w:rPr>
              <w:t>Typically</w:t>
            </w:r>
            <w:proofErr w:type="gramEnd"/>
            <w:r w:rsidRPr="00CB1515">
              <w:rPr>
                <w:rFonts w:ascii="Times New Roman" w:hAnsi="Times New Roman" w:cs="Times New Roman"/>
                <w:sz w:val="22"/>
                <w:szCs w:val="22"/>
              </w:rPr>
              <w:t xml:space="preserve"> low/sweet in this basin</w:t>
            </w:r>
          </w:p>
        </w:tc>
        <w:tc>
          <w:tcPr>
            <w:tcW w:w="0" w:type="auto"/>
            <w:hideMark/>
          </w:tcPr>
          <w:p w14:paraId="2304D97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Generally low/sweet for most Gulf of Guinea reservoirs, but can vary field to field</w:t>
            </w:r>
          </w:p>
        </w:tc>
        <w:tc>
          <w:tcPr>
            <w:tcW w:w="0" w:type="auto"/>
            <w:hideMark/>
          </w:tcPr>
          <w:p w14:paraId="0C17EDB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&lt;4 </w:t>
            </w:r>
            <w:proofErr w:type="spellStart"/>
            <w:r w:rsidRPr="00CB1515">
              <w:rPr>
                <w:rFonts w:ascii="Times New Roman" w:hAnsi="Times New Roman" w:cs="Times New Roman"/>
                <w:sz w:val="22"/>
                <w:szCs w:val="22"/>
              </w:rPr>
              <w:t>ppmv</w:t>
            </w:r>
            <w:proofErr w:type="spellEnd"/>
            <w:r w:rsidRPr="00CB1515">
              <w:rPr>
                <w:rFonts w:ascii="Times New Roman" w:hAnsi="Times New Roman" w:cs="Times New Roman"/>
                <w:sz w:val="22"/>
                <w:szCs w:val="22"/>
              </w:rPr>
              <w:t xml:space="preserve"> (LNG feed)</w:t>
            </w:r>
          </w:p>
        </w:tc>
        <w:tc>
          <w:tcPr>
            <w:tcW w:w="0" w:type="auto"/>
            <w:hideMark/>
          </w:tcPr>
          <w:p w14:paraId="0D0781D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Field-specific testing required before commitment; "sweet" assumption should not be presumed without assay</w:t>
            </w:r>
          </w:p>
        </w:tc>
      </w:tr>
      <w:tr w:rsidR="00CB1515" w:rsidRPr="00CB1515" w14:paraId="3574414B" w14:textId="77777777" w:rsidTr="00D05741">
        <w:tc>
          <w:tcPr>
            <w:tcW w:w="0" w:type="auto"/>
            <w:hideMark/>
          </w:tcPr>
          <w:p w14:paraId="4EF89DD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Nitrogen (mol%)</w:t>
            </w:r>
          </w:p>
        </w:tc>
        <w:tc>
          <w:tcPr>
            <w:tcW w:w="0" w:type="auto"/>
            <w:hideMark/>
          </w:tcPr>
          <w:p w14:paraId="32CC95D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w:t>
            </w:r>
          </w:p>
        </w:tc>
        <w:tc>
          <w:tcPr>
            <w:tcW w:w="0" w:type="auto"/>
            <w:hideMark/>
          </w:tcPr>
          <w:p w14:paraId="6D9CB37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Low–moderate (benchmark)</w:t>
            </w:r>
          </w:p>
        </w:tc>
        <w:tc>
          <w:tcPr>
            <w:tcW w:w="0" w:type="auto"/>
            <w:hideMark/>
          </w:tcPr>
          <w:p w14:paraId="2F9EBB92" w14:textId="77777777" w:rsidR="00CB1515" w:rsidRPr="00CB1515" w:rsidRDefault="00CB1515" w:rsidP="002B6FBC">
            <w:pPr>
              <w:spacing w:after="160" w:line="276" w:lineRule="auto"/>
              <w:jc w:val="both"/>
              <w:rPr>
                <w:rFonts w:ascii="Times New Roman" w:hAnsi="Times New Roman" w:cs="Times New Roman"/>
                <w:sz w:val="22"/>
                <w:szCs w:val="22"/>
              </w:rPr>
            </w:pPr>
            <w:proofErr w:type="gramStart"/>
            <w:r w:rsidRPr="00CB1515">
              <w:rPr>
                <w:rFonts w:ascii="Times New Roman" w:hAnsi="Times New Roman" w:cs="Times New Roman"/>
                <w:sz w:val="22"/>
                <w:szCs w:val="22"/>
              </w:rPr>
              <w:t>Typically</w:t>
            </w:r>
            <w:proofErr w:type="gramEnd"/>
            <w:r w:rsidRPr="00CB1515">
              <w:rPr>
                <w:rFonts w:ascii="Times New Roman" w:hAnsi="Times New Roman" w:cs="Times New Roman"/>
                <w:sz w:val="22"/>
                <w:szCs w:val="22"/>
              </w:rPr>
              <w:t xml:space="preserve"> &lt;1% for efficient liquefaction</w:t>
            </w:r>
          </w:p>
        </w:tc>
        <w:tc>
          <w:tcPr>
            <w:tcW w:w="0" w:type="auto"/>
            <w:hideMark/>
          </w:tcPr>
          <w:p w14:paraId="778E9EE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Excess N₂ reduces heating value and may require nitrogen rejection</w:t>
            </w:r>
          </w:p>
        </w:tc>
      </w:tr>
      <w:tr w:rsidR="00CB1515" w:rsidRPr="00CB1515" w14:paraId="599FED17" w14:textId="77777777" w:rsidTr="00D05741">
        <w:tc>
          <w:tcPr>
            <w:tcW w:w="0" w:type="auto"/>
            <w:hideMark/>
          </w:tcPr>
          <w:p w14:paraId="47F9A77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Water content</w:t>
            </w:r>
          </w:p>
        </w:tc>
        <w:tc>
          <w:tcPr>
            <w:tcW w:w="0" w:type="auto"/>
            <w:hideMark/>
          </w:tcPr>
          <w:p w14:paraId="4F9B976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Wet gas-condensate, requires dehydration</w:t>
            </w:r>
          </w:p>
        </w:tc>
        <w:tc>
          <w:tcPr>
            <w:tcW w:w="0" w:type="auto"/>
            <w:hideMark/>
          </w:tcPr>
          <w:p w14:paraId="1F0BB28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Wet, requires dehydration</w:t>
            </w:r>
          </w:p>
        </w:tc>
        <w:tc>
          <w:tcPr>
            <w:tcW w:w="0" w:type="auto"/>
            <w:hideMark/>
          </w:tcPr>
          <w:p w14:paraId="1ECC4DF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&lt;0.1 </w:t>
            </w:r>
            <w:proofErr w:type="spellStart"/>
            <w:r w:rsidRPr="00CB1515">
              <w:rPr>
                <w:rFonts w:ascii="Times New Roman" w:hAnsi="Times New Roman" w:cs="Times New Roman"/>
                <w:sz w:val="22"/>
                <w:szCs w:val="22"/>
              </w:rPr>
              <w:t>lb</w:t>
            </w:r>
            <w:proofErr w:type="spellEnd"/>
            <w:r w:rsidRPr="00CB1515">
              <w:rPr>
                <w:rFonts w:ascii="Times New Roman" w:hAnsi="Times New Roman" w:cs="Times New Roman"/>
                <w:sz w:val="22"/>
                <w:szCs w:val="22"/>
              </w:rPr>
              <w:t>/</w:t>
            </w:r>
            <w:proofErr w:type="spellStart"/>
            <w:r w:rsidRPr="00CB1515">
              <w:rPr>
                <w:rFonts w:ascii="Times New Roman" w:hAnsi="Times New Roman" w:cs="Times New Roman"/>
                <w:sz w:val="22"/>
                <w:szCs w:val="22"/>
              </w:rPr>
              <w:t>MMscf</w:t>
            </w:r>
            <w:proofErr w:type="spellEnd"/>
            <w:r w:rsidRPr="00CB1515">
              <w:rPr>
                <w:rFonts w:ascii="Times New Roman" w:hAnsi="Times New Roman" w:cs="Times New Roman"/>
                <w:sz w:val="22"/>
                <w:szCs w:val="22"/>
              </w:rPr>
              <w:t xml:space="preserve"> (dry)</w:t>
            </w:r>
          </w:p>
        </w:tc>
        <w:tc>
          <w:tcPr>
            <w:tcW w:w="0" w:type="auto"/>
            <w:hideMark/>
          </w:tcPr>
          <w:p w14:paraId="1ED7D8A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Standard TEG dehydration; no unusual requirement expected</w:t>
            </w:r>
          </w:p>
        </w:tc>
      </w:tr>
      <w:tr w:rsidR="00CB1515" w:rsidRPr="00CB1515" w14:paraId="5D92BF3A" w14:textId="77777777" w:rsidTr="00D05741">
        <w:tc>
          <w:tcPr>
            <w:tcW w:w="0" w:type="auto"/>
            <w:hideMark/>
          </w:tcPr>
          <w:p w14:paraId="6757647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Heavy hydrocarbons / condensate yield</w:t>
            </w:r>
          </w:p>
        </w:tc>
        <w:tc>
          <w:tcPr>
            <w:tcW w:w="0" w:type="auto"/>
            <w:hideMark/>
          </w:tcPr>
          <w:p w14:paraId="1EB5422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Moderate–high (condensate-rich, consistent with Alba/Alen/Aseng </w:t>
            </w:r>
            <w:r w:rsidRPr="00CB1515">
              <w:rPr>
                <w:rFonts w:ascii="Times New Roman" w:hAnsi="Times New Roman" w:cs="Times New Roman"/>
                <w:sz w:val="22"/>
                <w:szCs w:val="22"/>
              </w:rPr>
              <w:lastRenderedPageBreak/>
              <w:t xml:space="preserve">field </w:t>
            </w:r>
            <w:proofErr w:type="spellStart"/>
            <w:r w:rsidRPr="00CB1515">
              <w:rPr>
                <w:rFonts w:ascii="Times New Roman" w:hAnsi="Times New Roman" w:cs="Times New Roman"/>
                <w:sz w:val="22"/>
                <w:szCs w:val="22"/>
              </w:rPr>
              <w:t>characterisation</w:t>
            </w:r>
            <w:proofErr w:type="spellEnd"/>
            <w:r w:rsidRPr="00CB1515">
              <w:rPr>
                <w:rFonts w:ascii="Times New Roman" w:hAnsi="Times New Roman" w:cs="Times New Roman"/>
                <w:sz w:val="22"/>
                <w:szCs w:val="22"/>
              </w:rPr>
              <w:t>)</w:t>
            </w:r>
          </w:p>
        </w:tc>
        <w:tc>
          <w:tcPr>
            <w:tcW w:w="0" w:type="auto"/>
            <w:hideMark/>
          </w:tcPr>
          <w:p w14:paraId="2AB6C83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Variable — some Nigerian associated gas is condensate-rich; Yoyo-Yolanda </w:t>
            </w:r>
            <w:r w:rsidRPr="00CB1515">
              <w:rPr>
                <w:rFonts w:ascii="Times New Roman" w:hAnsi="Times New Roman" w:cs="Times New Roman"/>
                <w:sz w:val="22"/>
                <w:szCs w:val="22"/>
              </w:rPr>
              <w:lastRenderedPageBreak/>
              <w:t xml:space="preserve">condensate </w:t>
            </w:r>
            <w:proofErr w:type="gramStart"/>
            <w:r w:rsidRPr="00CB1515">
              <w:rPr>
                <w:rFonts w:ascii="Times New Roman" w:hAnsi="Times New Roman" w:cs="Times New Roman"/>
                <w:sz w:val="22"/>
                <w:szCs w:val="22"/>
              </w:rPr>
              <w:t>yield</w:t>
            </w:r>
            <w:proofErr w:type="gramEnd"/>
            <w:r w:rsidRPr="00CB1515">
              <w:rPr>
                <w:rFonts w:ascii="Times New Roman" w:hAnsi="Times New Roman" w:cs="Times New Roman"/>
                <w:sz w:val="22"/>
                <w:szCs w:val="22"/>
              </w:rPr>
              <w:t xml:space="preserve"> not disclosed</w:t>
            </w:r>
          </w:p>
        </w:tc>
        <w:tc>
          <w:tcPr>
            <w:tcW w:w="0" w:type="auto"/>
            <w:hideMark/>
          </w:tcPr>
          <w:p w14:paraId="412C238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Requires NGL/condensate stripping ahead of liquefaction</w:t>
            </w:r>
          </w:p>
        </w:tc>
        <w:tc>
          <w:tcPr>
            <w:tcW w:w="0" w:type="auto"/>
            <w:hideMark/>
          </w:tcPr>
          <w:p w14:paraId="555CA0D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Existing Punta Europa condensate handling (built for Alba/Alen) likely </w:t>
            </w:r>
            <w:r w:rsidRPr="00CB1515">
              <w:rPr>
                <w:rFonts w:ascii="Times New Roman" w:hAnsi="Times New Roman" w:cs="Times New Roman"/>
                <w:sz w:val="22"/>
                <w:szCs w:val="22"/>
              </w:rPr>
              <w:lastRenderedPageBreak/>
              <w:t>transferable but capacity-constrained by added volume</w:t>
            </w:r>
          </w:p>
        </w:tc>
      </w:tr>
      <w:tr w:rsidR="00CB1515" w:rsidRPr="00CB1515" w14:paraId="0BB1A62C" w14:textId="77777777" w:rsidTr="00D05741">
        <w:tc>
          <w:tcPr>
            <w:tcW w:w="0" w:type="auto"/>
            <w:hideMark/>
          </w:tcPr>
          <w:p w14:paraId="61BF089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Heating value</w:t>
            </w:r>
          </w:p>
        </w:tc>
        <w:tc>
          <w:tcPr>
            <w:tcW w:w="0" w:type="auto"/>
            <w:hideMark/>
          </w:tcPr>
          <w:p w14:paraId="78B9274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Consistent with rich gas-condensate</w:t>
            </w:r>
          </w:p>
        </w:tc>
        <w:tc>
          <w:tcPr>
            <w:tcW w:w="0" w:type="auto"/>
            <w:hideMark/>
          </w:tcPr>
          <w:p w14:paraId="72249EE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Variable</w:t>
            </w:r>
          </w:p>
        </w:tc>
        <w:tc>
          <w:tcPr>
            <w:tcW w:w="0" w:type="auto"/>
            <w:hideMark/>
          </w:tcPr>
          <w:p w14:paraId="01F0716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Pipeline/LNG spec range</w:t>
            </w:r>
          </w:p>
        </w:tc>
        <w:tc>
          <w:tcPr>
            <w:tcW w:w="0" w:type="auto"/>
            <w:hideMark/>
          </w:tcPr>
          <w:p w14:paraId="003BA83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Blending may require heating-value management to stay within LNG spec</w:t>
            </w:r>
          </w:p>
        </w:tc>
      </w:tr>
      <w:tr w:rsidR="00CB1515" w:rsidRPr="00CB1515" w14:paraId="595DAC03" w14:textId="77777777" w:rsidTr="00D05741">
        <w:tc>
          <w:tcPr>
            <w:tcW w:w="0" w:type="auto"/>
            <w:hideMark/>
          </w:tcPr>
          <w:p w14:paraId="39409C1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Hydrocarbon dew point</w:t>
            </w:r>
          </w:p>
        </w:tc>
        <w:tc>
          <w:tcPr>
            <w:tcW w:w="0" w:type="auto"/>
            <w:hideMark/>
          </w:tcPr>
          <w:p w14:paraId="7EB07A6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Managed via existing NGL extraction</w:t>
            </w:r>
          </w:p>
        </w:tc>
        <w:tc>
          <w:tcPr>
            <w:tcW w:w="0" w:type="auto"/>
            <w:hideMark/>
          </w:tcPr>
          <w:p w14:paraId="53547CF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Field-dependent</w:t>
            </w:r>
          </w:p>
        </w:tc>
        <w:tc>
          <w:tcPr>
            <w:tcW w:w="0" w:type="auto"/>
            <w:hideMark/>
          </w:tcPr>
          <w:p w14:paraId="6B4BB8F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Must be controlled to avoid liquid drop-out in pipelines</w:t>
            </w:r>
          </w:p>
        </w:tc>
        <w:tc>
          <w:tcPr>
            <w:tcW w:w="0" w:type="auto"/>
            <w:hideMark/>
          </w:tcPr>
          <w:p w14:paraId="5303F1B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Requires dew-point control at or near the source if long-distance subsea transport is used</w:t>
            </w:r>
          </w:p>
        </w:tc>
      </w:tr>
    </w:tbl>
    <w:p w14:paraId="043559C7" w14:textId="77777777" w:rsidR="00D05741" w:rsidRDefault="00D05741" w:rsidP="002B6FBC">
      <w:pPr>
        <w:spacing w:line="276" w:lineRule="auto"/>
        <w:jc w:val="both"/>
        <w:rPr>
          <w:rFonts w:ascii="Times New Roman" w:hAnsi="Times New Roman" w:cs="Times New Roman"/>
          <w:b/>
          <w:bCs/>
        </w:rPr>
      </w:pPr>
    </w:p>
    <w:p w14:paraId="2A21AFED" w14:textId="77777777" w:rsidR="00D05741"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t>Assessment:</w:t>
      </w:r>
      <w:r w:rsidRPr="00CB1515">
        <w:rPr>
          <w:rFonts w:ascii="Times New Roman" w:hAnsi="Times New Roman" w:cs="Times New Roman"/>
        </w:rPr>
        <w:t xml:space="preserve"> because Alba, Alen and Aseng already share a common basin character and are processed through shared Punta Europa infrastructure without major issue, there is </w:t>
      </w:r>
      <w:r w:rsidRPr="00CB1515">
        <w:rPr>
          <w:rFonts w:ascii="Times New Roman" w:hAnsi="Times New Roman" w:cs="Times New Roman"/>
          <w:b/>
          <w:bCs/>
        </w:rPr>
        <w:t>no obvious a priori technical barrier</w:t>
      </w:r>
      <w:r w:rsidRPr="00CB1515">
        <w:rPr>
          <w:rFonts w:ascii="Times New Roman" w:hAnsi="Times New Roman" w:cs="Times New Roman"/>
        </w:rPr>
        <w:t xml:space="preserve"> to blending Cameroonian or Nigerian gas of broadly similar composition. However, in the </w:t>
      </w:r>
      <w:r w:rsidRPr="00CB1515">
        <w:rPr>
          <w:rFonts w:ascii="Times New Roman" w:hAnsi="Times New Roman" w:cs="Times New Roman"/>
          <w:b/>
          <w:bCs/>
        </w:rPr>
        <w:t>absence of field-specific gas assays for Yoyo-Yolanda and the candidate Nigerian fields</w:t>
      </w:r>
      <w:r w:rsidRPr="00CB1515">
        <w:rPr>
          <w:rFonts w:ascii="Times New Roman" w:hAnsi="Times New Roman" w:cs="Times New Roman"/>
        </w:rPr>
        <w:t xml:space="preserve">, a definitive compatibility determination cannot be made in this note. The main risk factors to test before commitment are: </w:t>
      </w:r>
    </w:p>
    <w:p w14:paraId="37131376" w14:textId="77777777" w:rsidR="00D05741" w:rsidRDefault="00CB1515" w:rsidP="002B6FBC">
      <w:pPr>
        <w:pStyle w:val="ListParagraph"/>
        <w:numPr>
          <w:ilvl w:val="0"/>
          <w:numId w:val="2"/>
        </w:numPr>
        <w:spacing w:line="276" w:lineRule="auto"/>
        <w:jc w:val="both"/>
        <w:rPr>
          <w:rFonts w:ascii="Times New Roman" w:hAnsi="Times New Roman" w:cs="Times New Roman"/>
        </w:rPr>
      </w:pPr>
      <w:r w:rsidRPr="00D05741">
        <w:rPr>
          <w:rFonts w:ascii="Times New Roman" w:hAnsi="Times New Roman" w:cs="Times New Roman"/>
        </w:rPr>
        <w:t xml:space="preserve">CO₂ content above what the existing acid-gas removal capacity was sized for; </w:t>
      </w:r>
    </w:p>
    <w:p w14:paraId="67741C4F" w14:textId="77777777" w:rsidR="00D05741" w:rsidRDefault="00D05741" w:rsidP="002B6FBC">
      <w:pPr>
        <w:pStyle w:val="ListParagraph"/>
        <w:numPr>
          <w:ilvl w:val="0"/>
          <w:numId w:val="2"/>
        </w:numPr>
        <w:spacing w:line="276" w:lineRule="auto"/>
        <w:jc w:val="both"/>
        <w:rPr>
          <w:rFonts w:ascii="Times New Roman" w:hAnsi="Times New Roman" w:cs="Times New Roman"/>
        </w:rPr>
      </w:pPr>
      <w:r>
        <w:rPr>
          <w:rFonts w:ascii="Times New Roman" w:hAnsi="Times New Roman" w:cs="Times New Roman"/>
        </w:rPr>
        <w:t>A</w:t>
      </w:r>
      <w:r w:rsidR="00CB1515" w:rsidRPr="00D05741">
        <w:rPr>
          <w:rFonts w:ascii="Times New Roman" w:hAnsi="Times New Roman" w:cs="Times New Roman"/>
        </w:rPr>
        <w:t xml:space="preserve">ny H₂S presence requiring new </w:t>
      </w:r>
      <w:proofErr w:type="spellStart"/>
      <w:r w:rsidR="00CB1515" w:rsidRPr="00D05741">
        <w:rPr>
          <w:rFonts w:ascii="Times New Roman" w:hAnsi="Times New Roman" w:cs="Times New Roman"/>
        </w:rPr>
        <w:t>sulphur</w:t>
      </w:r>
      <w:proofErr w:type="spellEnd"/>
      <w:r w:rsidR="00CB1515" w:rsidRPr="00D05741">
        <w:rPr>
          <w:rFonts w:ascii="Times New Roman" w:hAnsi="Times New Roman" w:cs="Times New Roman"/>
        </w:rPr>
        <w:t xml:space="preserve">-recovery infrastructure; and </w:t>
      </w:r>
    </w:p>
    <w:p w14:paraId="799CCC73" w14:textId="3F2CC5D4" w:rsidR="00CB1515" w:rsidRPr="00D05741" w:rsidRDefault="00D05741" w:rsidP="002B6FBC">
      <w:pPr>
        <w:pStyle w:val="ListParagraph"/>
        <w:numPr>
          <w:ilvl w:val="0"/>
          <w:numId w:val="2"/>
        </w:numPr>
        <w:spacing w:line="276" w:lineRule="auto"/>
        <w:jc w:val="both"/>
        <w:rPr>
          <w:rFonts w:ascii="Times New Roman" w:hAnsi="Times New Roman" w:cs="Times New Roman"/>
        </w:rPr>
      </w:pPr>
      <w:r>
        <w:rPr>
          <w:rFonts w:ascii="Times New Roman" w:hAnsi="Times New Roman" w:cs="Times New Roman"/>
        </w:rPr>
        <w:t xml:space="preserve">A </w:t>
      </w:r>
      <w:r w:rsidR="00CB1515" w:rsidRPr="00D05741">
        <w:rPr>
          <w:rFonts w:ascii="Times New Roman" w:hAnsi="Times New Roman" w:cs="Times New Roman"/>
        </w:rPr>
        <w:t>materially different condensate/NGL yield that could overwhelm existing separation trains. Gas blending management (via a common inlet manifold with composition control) would likely be required rather than simple co-mingling.</w:t>
      </w:r>
    </w:p>
    <w:p w14:paraId="0F5C3E0F" w14:textId="0DC1DC92" w:rsidR="00CB1515" w:rsidRDefault="00CB1515" w:rsidP="002B6FBC">
      <w:pPr>
        <w:spacing w:line="276" w:lineRule="auto"/>
        <w:jc w:val="both"/>
        <w:rPr>
          <w:rFonts w:ascii="Times New Roman" w:hAnsi="Times New Roman" w:cs="Times New Roman"/>
        </w:rPr>
      </w:pPr>
    </w:p>
    <w:p w14:paraId="3B21453C" w14:textId="77777777" w:rsidR="00D05741" w:rsidRPr="00CB1515" w:rsidRDefault="00D05741" w:rsidP="002B6FBC">
      <w:pPr>
        <w:spacing w:line="276" w:lineRule="auto"/>
        <w:jc w:val="both"/>
        <w:rPr>
          <w:rFonts w:ascii="Times New Roman" w:hAnsi="Times New Roman" w:cs="Times New Roman"/>
        </w:rPr>
      </w:pPr>
    </w:p>
    <w:p w14:paraId="60C576AD"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7. Domestic and Regional Gas Supply Scenarios</w:t>
      </w:r>
    </w:p>
    <w:tbl>
      <w:tblPr>
        <w:tblStyle w:val="TableGrid"/>
        <w:tblW w:w="0" w:type="auto"/>
        <w:tblLook w:val="04A0" w:firstRow="1" w:lastRow="0" w:firstColumn="1" w:lastColumn="0" w:noHBand="0" w:noVBand="1"/>
      </w:tblPr>
      <w:tblGrid>
        <w:gridCol w:w="1486"/>
        <w:gridCol w:w="2067"/>
        <w:gridCol w:w="3199"/>
        <w:gridCol w:w="2598"/>
      </w:tblGrid>
      <w:tr w:rsidR="00CB1515" w:rsidRPr="00CB1515" w14:paraId="5B151D38" w14:textId="77777777" w:rsidTr="00D05741">
        <w:tc>
          <w:tcPr>
            <w:tcW w:w="0" w:type="auto"/>
            <w:hideMark/>
          </w:tcPr>
          <w:p w14:paraId="1266B1A7"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Variable</w:t>
            </w:r>
          </w:p>
        </w:tc>
        <w:tc>
          <w:tcPr>
            <w:tcW w:w="0" w:type="auto"/>
            <w:hideMark/>
          </w:tcPr>
          <w:p w14:paraId="08BA0F3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Scenario 1: Domestic Gas Dominance</w:t>
            </w:r>
          </w:p>
        </w:tc>
        <w:tc>
          <w:tcPr>
            <w:tcW w:w="0" w:type="auto"/>
            <w:hideMark/>
          </w:tcPr>
          <w:p w14:paraId="64E75A25"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Scenario 2: Domestic + Single Regional Supplier (Cameroon, Yoyo-Yolanda)</w:t>
            </w:r>
          </w:p>
        </w:tc>
        <w:tc>
          <w:tcPr>
            <w:tcW w:w="0" w:type="auto"/>
            <w:hideMark/>
          </w:tcPr>
          <w:p w14:paraId="1A7A261E"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Scenario 3: Multi-Country Regional Aggregation (Cameroon + Nigeria)</w:t>
            </w:r>
          </w:p>
        </w:tc>
      </w:tr>
      <w:tr w:rsidR="00CB1515" w:rsidRPr="00CB1515" w14:paraId="1F1E6CDD" w14:textId="77777777" w:rsidTr="00D05741">
        <w:tc>
          <w:tcPr>
            <w:tcW w:w="0" w:type="auto"/>
            <w:hideMark/>
          </w:tcPr>
          <w:p w14:paraId="540EE2C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Domestic gas supply</w:t>
            </w:r>
          </w:p>
        </w:tc>
        <w:tc>
          <w:tcPr>
            <w:tcW w:w="0" w:type="auto"/>
            <w:hideMark/>
          </w:tcPr>
          <w:p w14:paraId="5A1DF82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Alba (declining) + Alen + Aseng (post-2026 FID); potentially EG-27/</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as a second train</w:t>
            </w:r>
          </w:p>
        </w:tc>
        <w:tc>
          <w:tcPr>
            <w:tcW w:w="0" w:type="auto"/>
            <w:hideMark/>
          </w:tcPr>
          <w:p w14:paraId="4AC5DB8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Same as Scenario 1</w:t>
            </w:r>
          </w:p>
        </w:tc>
        <w:tc>
          <w:tcPr>
            <w:tcW w:w="0" w:type="auto"/>
            <w:hideMark/>
          </w:tcPr>
          <w:p w14:paraId="2384222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Same as Scenario 1</w:t>
            </w:r>
          </w:p>
        </w:tc>
      </w:tr>
      <w:tr w:rsidR="00CB1515" w:rsidRPr="00CB1515" w14:paraId="631AD777" w14:textId="77777777" w:rsidTr="00D05741">
        <w:tc>
          <w:tcPr>
            <w:tcW w:w="0" w:type="auto"/>
            <w:hideMark/>
          </w:tcPr>
          <w:p w14:paraId="6D430D1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Regional gas supply</w:t>
            </w:r>
          </w:p>
        </w:tc>
        <w:tc>
          <w:tcPr>
            <w:tcW w:w="0" w:type="auto"/>
            <w:hideMark/>
          </w:tcPr>
          <w:p w14:paraId="4059E4A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None</w:t>
            </w:r>
          </w:p>
        </w:tc>
        <w:tc>
          <w:tcPr>
            <w:tcW w:w="0" w:type="auto"/>
            <w:hideMark/>
          </w:tcPr>
          <w:p w14:paraId="53A6990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Yoyo-Yolanda EG-attributable share (~0.4 </w:t>
            </w:r>
            <w:proofErr w:type="spellStart"/>
            <w:r w:rsidRPr="00CB1515">
              <w:rPr>
                <w:rFonts w:ascii="Times New Roman" w:hAnsi="Times New Roman" w:cs="Times New Roman"/>
                <w:sz w:val="22"/>
                <w:szCs w:val="22"/>
              </w:rPr>
              <w:t>Tcf</w:t>
            </w:r>
            <w:proofErr w:type="spellEnd"/>
            <w:r w:rsidRPr="00CB1515">
              <w:rPr>
                <w:rFonts w:ascii="Times New Roman" w:hAnsi="Times New Roman" w:cs="Times New Roman"/>
                <w:sz w:val="22"/>
                <w:szCs w:val="22"/>
              </w:rPr>
              <w:t>) plus tolled Cameroonian volumes, subject to commercial terms</w:t>
            </w:r>
          </w:p>
        </w:tc>
        <w:tc>
          <w:tcPr>
            <w:tcW w:w="0" w:type="auto"/>
            <w:hideMark/>
          </w:tcPr>
          <w:p w14:paraId="3949E67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 Nigerian Gulf of Guinea Pipeline volumes (undefined magnitude — see Section 3)</w:t>
            </w:r>
          </w:p>
        </w:tc>
      </w:tr>
      <w:tr w:rsidR="00CB1515" w:rsidRPr="00CB1515" w14:paraId="34FE5189" w14:textId="77777777" w:rsidTr="00D05741">
        <w:tc>
          <w:tcPr>
            <w:tcW w:w="0" w:type="auto"/>
            <w:hideMark/>
          </w:tcPr>
          <w:p w14:paraId="17C8DC9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Total feedstock (existing EG LNG train, indicative through 2035)</w:t>
            </w:r>
          </w:p>
        </w:tc>
        <w:tc>
          <w:tcPr>
            <w:tcW w:w="0" w:type="auto"/>
            <w:hideMark/>
          </w:tcPr>
          <w:p w14:paraId="0FC2E64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Likely sufficient to ~2030, deficit risk emerging 2031+ (Section 1.3)</w:t>
            </w:r>
          </w:p>
        </w:tc>
        <w:tc>
          <w:tcPr>
            <w:tcW w:w="0" w:type="auto"/>
            <w:hideMark/>
          </w:tcPr>
          <w:p w14:paraId="4308AA0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Deficit risk in 2031+ window materially reduced if Yoyo-Yolanda gas reaches Punta Europa on schedule</w:t>
            </w:r>
          </w:p>
        </w:tc>
        <w:tc>
          <w:tcPr>
            <w:tcW w:w="0" w:type="auto"/>
            <w:hideMark/>
          </w:tcPr>
          <w:p w14:paraId="3E6EA00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Deficit risk further reduced/removed if both routes </w:t>
            </w:r>
            <w:proofErr w:type="spellStart"/>
            <w:r w:rsidRPr="00CB1515">
              <w:rPr>
                <w:rFonts w:ascii="Times New Roman" w:hAnsi="Times New Roman" w:cs="Times New Roman"/>
                <w:sz w:val="22"/>
                <w:szCs w:val="22"/>
              </w:rPr>
              <w:t>materialise</w:t>
            </w:r>
            <w:proofErr w:type="spellEnd"/>
            <w:r w:rsidRPr="00CB1515">
              <w:rPr>
                <w:rFonts w:ascii="Times New Roman" w:hAnsi="Times New Roman" w:cs="Times New Roman"/>
                <w:sz w:val="22"/>
                <w:szCs w:val="22"/>
              </w:rPr>
              <w:t>; but both remain pre-FID and pre-engineering</w:t>
            </w:r>
          </w:p>
        </w:tc>
      </w:tr>
      <w:tr w:rsidR="00CB1515" w:rsidRPr="00CB1515" w14:paraId="5A7BF8E4" w14:textId="77777777" w:rsidTr="00D05741">
        <w:tc>
          <w:tcPr>
            <w:tcW w:w="0" w:type="auto"/>
            <w:hideMark/>
          </w:tcPr>
          <w:p w14:paraId="1B8ACD9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LNG production potential</w:t>
            </w:r>
          </w:p>
        </w:tc>
        <w:tc>
          <w:tcPr>
            <w:tcW w:w="0" w:type="auto"/>
            <w:hideMark/>
          </w:tcPr>
          <w:p w14:paraId="36FCCA2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Existing 3.7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 xml:space="preserve"> train sustained near-capacity to ~2030, then declining absent new domestic FID</w:t>
            </w:r>
          </w:p>
        </w:tc>
        <w:tc>
          <w:tcPr>
            <w:tcW w:w="0" w:type="auto"/>
            <w:hideMark/>
          </w:tcPr>
          <w:p w14:paraId="1AE426E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3.7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 xml:space="preserve"> train sustained through the 2030s; possible basis for reconsidering Train 2 or a second train if volumes are large enough</w:t>
            </w:r>
          </w:p>
        </w:tc>
        <w:tc>
          <w:tcPr>
            <w:tcW w:w="0" w:type="auto"/>
            <w:hideMark/>
          </w:tcPr>
          <w:p w14:paraId="3DB4C1C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Strongest basis for a genuine "regional hub" narrative; theoretically supports Train 2 revival or EG-27 integration, but entirely contingent on two unresolved cross-border projects</w:t>
            </w:r>
          </w:p>
        </w:tc>
      </w:tr>
      <w:tr w:rsidR="00CB1515" w:rsidRPr="00CB1515" w14:paraId="2740A832" w14:textId="77777777" w:rsidTr="00D05741">
        <w:tc>
          <w:tcPr>
            <w:tcW w:w="0" w:type="auto"/>
            <w:hideMark/>
          </w:tcPr>
          <w:p w14:paraId="610822B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LNG capacity </w:t>
            </w:r>
            <w:proofErr w:type="spellStart"/>
            <w:r w:rsidRPr="00CB1515">
              <w:rPr>
                <w:rFonts w:ascii="Times New Roman" w:hAnsi="Times New Roman" w:cs="Times New Roman"/>
                <w:sz w:val="22"/>
                <w:szCs w:val="22"/>
              </w:rPr>
              <w:t>utilisation</w:t>
            </w:r>
            <w:proofErr w:type="spellEnd"/>
            <w:r w:rsidRPr="00CB1515">
              <w:rPr>
                <w:rFonts w:ascii="Times New Roman" w:hAnsi="Times New Roman" w:cs="Times New Roman"/>
                <w:sz w:val="22"/>
                <w:szCs w:val="22"/>
              </w:rPr>
              <w:t xml:space="preserve"> (2030s, qualitative)</w:t>
            </w:r>
          </w:p>
        </w:tc>
        <w:tc>
          <w:tcPr>
            <w:tcW w:w="0" w:type="auto"/>
            <w:hideMark/>
          </w:tcPr>
          <w:p w14:paraId="1029735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Declining from ~80–85% toward a lower plateau as Alba/Alen/Aseng deplete</w:t>
            </w:r>
          </w:p>
        </w:tc>
        <w:tc>
          <w:tcPr>
            <w:tcW w:w="0" w:type="auto"/>
            <w:hideMark/>
          </w:tcPr>
          <w:p w14:paraId="2139CF4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Sustained at or near current </w:t>
            </w:r>
            <w:proofErr w:type="spellStart"/>
            <w:r w:rsidRPr="00CB1515">
              <w:rPr>
                <w:rFonts w:ascii="Times New Roman" w:hAnsi="Times New Roman" w:cs="Times New Roman"/>
                <w:sz w:val="22"/>
                <w:szCs w:val="22"/>
              </w:rPr>
              <w:t>utilisation</w:t>
            </w:r>
            <w:proofErr w:type="spellEnd"/>
          </w:p>
        </w:tc>
        <w:tc>
          <w:tcPr>
            <w:tcW w:w="0" w:type="auto"/>
            <w:hideMark/>
          </w:tcPr>
          <w:p w14:paraId="41D1C35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Potential for </w:t>
            </w:r>
            <w:proofErr w:type="spellStart"/>
            <w:r w:rsidRPr="00CB1515">
              <w:rPr>
                <w:rFonts w:ascii="Times New Roman" w:hAnsi="Times New Roman" w:cs="Times New Roman"/>
                <w:sz w:val="22"/>
                <w:szCs w:val="22"/>
              </w:rPr>
              <w:t>utilisation</w:t>
            </w:r>
            <w:proofErr w:type="spellEnd"/>
            <w:r w:rsidRPr="00CB1515">
              <w:rPr>
                <w:rFonts w:ascii="Times New Roman" w:hAnsi="Times New Roman" w:cs="Times New Roman"/>
                <w:sz w:val="22"/>
                <w:szCs w:val="22"/>
              </w:rPr>
              <w:t xml:space="preserve"> above current levels if new capacity is added; </w:t>
            </w:r>
            <w:proofErr w:type="gramStart"/>
            <w:r w:rsidRPr="00CB1515">
              <w:rPr>
                <w:rFonts w:ascii="Times New Roman" w:hAnsi="Times New Roman" w:cs="Times New Roman"/>
                <w:sz w:val="22"/>
                <w:szCs w:val="22"/>
              </w:rPr>
              <w:t>otherwise</w:t>
            </w:r>
            <w:proofErr w:type="gramEnd"/>
            <w:r w:rsidRPr="00CB1515">
              <w:rPr>
                <w:rFonts w:ascii="Times New Roman" w:hAnsi="Times New Roman" w:cs="Times New Roman"/>
                <w:sz w:val="22"/>
                <w:szCs w:val="22"/>
              </w:rPr>
              <w:t xml:space="preserve"> similar to Scenario 2</w:t>
            </w:r>
          </w:p>
        </w:tc>
      </w:tr>
      <w:tr w:rsidR="00CB1515" w:rsidRPr="00CB1515" w14:paraId="63CB6276" w14:textId="77777777" w:rsidTr="00D05741">
        <w:tc>
          <w:tcPr>
            <w:tcW w:w="0" w:type="auto"/>
            <w:hideMark/>
          </w:tcPr>
          <w:p w14:paraId="76813EB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Pipeline requirement</w:t>
            </w:r>
          </w:p>
        </w:tc>
        <w:tc>
          <w:tcPr>
            <w:tcW w:w="0" w:type="auto"/>
            <w:hideMark/>
          </w:tcPr>
          <w:p w14:paraId="5750917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None beyond existing Alen line and Aseng tie-back</w:t>
            </w:r>
          </w:p>
        </w:tc>
        <w:tc>
          <w:tcPr>
            <w:tcW w:w="0" w:type="auto"/>
            <w:hideMark/>
          </w:tcPr>
          <w:p w14:paraId="48E9035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One new cross-border subsea line (Yoyo-Yolanda to EG/Punta Europa)</w:t>
            </w:r>
          </w:p>
        </w:tc>
        <w:tc>
          <w:tcPr>
            <w:tcW w:w="0" w:type="auto"/>
            <w:hideMark/>
          </w:tcPr>
          <w:p w14:paraId="2E32895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Two new cross-border subsea lines (Cameroon and Nigeria)</w:t>
            </w:r>
          </w:p>
        </w:tc>
      </w:tr>
      <w:tr w:rsidR="00CB1515" w:rsidRPr="00CB1515" w14:paraId="1AFE83EE" w14:textId="77777777" w:rsidTr="00D05741">
        <w:tc>
          <w:tcPr>
            <w:tcW w:w="0" w:type="auto"/>
            <w:hideMark/>
          </w:tcPr>
          <w:p w14:paraId="0C8D27E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Additional processing</w:t>
            </w:r>
          </w:p>
        </w:tc>
        <w:tc>
          <w:tcPr>
            <w:tcW w:w="0" w:type="auto"/>
            <w:hideMark/>
          </w:tcPr>
          <w:p w14:paraId="1E3FA28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Minimal (existing plant, absent EG-27)</w:t>
            </w:r>
          </w:p>
        </w:tc>
        <w:tc>
          <w:tcPr>
            <w:tcW w:w="0" w:type="auto"/>
            <w:hideMark/>
          </w:tcPr>
          <w:p w14:paraId="0A49F87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Likely acid-gas removal/blending upgrade at Punta Europa (extent unquantified)</w:t>
            </w:r>
          </w:p>
        </w:tc>
        <w:tc>
          <w:tcPr>
            <w:tcW w:w="0" w:type="auto"/>
            <w:hideMark/>
          </w:tcPr>
          <w:p w14:paraId="52CCEF2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Larger blending/treatment upgrade; possible need for a second processing train if EG-27 is bundled in</w:t>
            </w:r>
          </w:p>
        </w:tc>
      </w:tr>
      <w:tr w:rsidR="00CB1515" w:rsidRPr="00CB1515" w14:paraId="1868F2DC" w14:textId="77777777" w:rsidTr="00D05741">
        <w:tc>
          <w:tcPr>
            <w:tcW w:w="0" w:type="auto"/>
            <w:hideMark/>
          </w:tcPr>
          <w:p w14:paraId="31180B1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Estimated CAPEX</w:t>
            </w:r>
          </w:p>
        </w:tc>
        <w:tc>
          <w:tcPr>
            <w:tcW w:w="0" w:type="auto"/>
            <w:hideMark/>
          </w:tcPr>
          <w:p w14:paraId="026F469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Domestic-only: Aseng $690m (confirmed); Alba </w:t>
            </w:r>
            <w:r w:rsidRPr="00CB1515">
              <w:rPr>
                <w:rFonts w:ascii="Times New Roman" w:hAnsi="Times New Roman" w:cs="Times New Roman"/>
                <w:sz w:val="22"/>
                <w:szCs w:val="22"/>
              </w:rPr>
              <w:lastRenderedPageBreak/>
              <w:t>Tail Gas cost not disclosed</w:t>
            </w:r>
          </w:p>
        </w:tc>
        <w:tc>
          <w:tcPr>
            <w:tcW w:w="0" w:type="auto"/>
            <w:hideMark/>
          </w:tcPr>
          <w:p w14:paraId="01F37CF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Domestic CAPEX plus a cross-border pipeline and treatment upgrade — </w:t>
            </w:r>
            <w:r w:rsidRPr="00CB1515">
              <w:rPr>
                <w:rFonts w:ascii="Times New Roman" w:hAnsi="Times New Roman" w:cs="Times New Roman"/>
                <w:b/>
                <w:bCs/>
                <w:sz w:val="22"/>
                <w:szCs w:val="22"/>
              </w:rPr>
              <w:t xml:space="preserve">no official cost has </w:t>
            </w:r>
            <w:r w:rsidRPr="00CB1515">
              <w:rPr>
                <w:rFonts w:ascii="Times New Roman" w:hAnsi="Times New Roman" w:cs="Times New Roman"/>
                <w:b/>
                <w:bCs/>
                <w:sz w:val="22"/>
                <w:szCs w:val="22"/>
              </w:rPr>
              <w:lastRenderedPageBreak/>
              <w:t>been published for the EG-bound Yoyo-Yolanda line</w:t>
            </w:r>
            <w:r w:rsidRPr="00CB1515">
              <w:rPr>
                <w:rFonts w:ascii="Times New Roman" w:hAnsi="Times New Roman" w:cs="Times New Roman"/>
                <w:sz w:val="22"/>
                <w:szCs w:val="22"/>
              </w:rPr>
              <w:t xml:space="preserve">; benchmark range for a ~100 km, moderate-diameter subsea gas pipeline in this water depth is typically </w:t>
            </w:r>
            <w:r w:rsidRPr="00CB1515">
              <w:rPr>
                <w:rFonts w:ascii="Times New Roman" w:hAnsi="Times New Roman" w:cs="Times New Roman"/>
                <w:b/>
                <w:bCs/>
                <w:sz w:val="22"/>
                <w:szCs w:val="22"/>
              </w:rPr>
              <w:t>$300m–$700m</w:t>
            </w:r>
            <w:r w:rsidRPr="00CB1515">
              <w:rPr>
                <w:rFonts w:ascii="Times New Roman" w:hAnsi="Times New Roman" w:cs="Times New Roman"/>
                <w:sz w:val="22"/>
                <w:szCs w:val="22"/>
              </w:rPr>
              <w:t xml:space="preserve"> (industry rule-of-thumb range for comparable West African subsea trunklines, not a project-specific estimate)</w:t>
            </w:r>
          </w:p>
        </w:tc>
        <w:tc>
          <w:tcPr>
            <w:tcW w:w="0" w:type="auto"/>
            <w:hideMark/>
          </w:tcPr>
          <w:p w14:paraId="750D404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Domestic CAPEX plus two cross-border pipelines; benchmark combined </w:t>
            </w:r>
            <w:r w:rsidRPr="00CB1515">
              <w:rPr>
                <w:rFonts w:ascii="Times New Roman" w:hAnsi="Times New Roman" w:cs="Times New Roman"/>
                <w:sz w:val="22"/>
                <w:szCs w:val="22"/>
              </w:rPr>
              <w:lastRenderedPageBreak/>
              <w:t xml:space="preserve">range </w:t>
            </w:r>
            <w:r w:rsidRPr="00CB1515">
              <w:rPr>
                <w:rFonts w:ascii="Times New Roman" w:hAnsi="Times New Roman" w:cs="Times New Roman"/>
                <w:b/>
                <w:bCs/>
                <w:sz w:val="22"/>
                <w:szCs w:val="22"/>
              </w:rPr>
              <w:t>$700m–$1.5bn</w:t>
            </w:r>
            <w:r w:rsidRPr="00CB1515">
              <w:rPr>
                <w:rFonts w:ascii="Times New Roman" w:hAnsi="Times New Roman" w:cs="Times New Roman"/>
                <w:sz w:val="22"/>
                <w:szCs w:val="22"/>
              </w:rPr>
              <w:t xml:space="preserve"> for both lines plus incremental treatment (explicitly a rough order-of-magnitude range, not a costed estimate)</w:t>
            </w:r>
          </w:p>
        </w:tc>
      </w:tr>
      <w:tr w:rsidR="00CB1515" w:rsidRPr="00CB1515" w14:paraId="7AD618E7" w14:textId="77777777" w:rsidTr="00D05741">
        <w:tc>
          <w:tcPr>
            <w:tcW w:w="0" w:type="auto"/>
            <w:hideMark/>
          </w:tcPr>
          <w:p w14:paraId="0D399DF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Key risk</w:t>
            </w:r>
          </w:p>
        </w:tc>
        <w:tc>
          <w:tcPr>
            <w:tcW w:w="0" w:type="auto"/>
            <w:hideMark/>
          </w:tcPr>
          <w:p w14:paraId="766CECF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Structural feedstock </w:t>
            </w:r>
            <w:proofErr w:type="gramStart"/>
            <w:r w:rsidRPr="00CB1515">
              <w:rPr>
                <w:rFonts w:ascii="Times New Roman" w:hAnsi="Times New Roman" w:cs="Times New Roman"/>
                <w:sz w:val="22"/>
                <w:szCs w:val="22"/>
              </w:rPr>
              <w:t>decline</w:t>
            </w:r>
            <w:proofErr w:type="gramEnd"/>
            <w:r w:rsidRPr="00CB1515">
              <w:rPr>
                <w:rFonts w:ascii="Times New Roman" w:hAnsi="Times New Roman" w:cs="Times New Roman"/>
                <w:sz w:val="22"/>
                <w:szCs w:val="22"/>
              </w:rPr>
              <w:t xml:space="preserve"> post-2030 with no offsetting supply</w:t>
            </w:r>
          </w:p>
        </w:tc>
        <w:tc>
          <w:tcPr>
            <w:tcW w:w="0" w:type="auto"/>
            <w:hideMark/>
          </w:tcPr>
          <w:p w14:paraId="4BCC4F7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Execution/timeline risk on a single cross-border project (Cameroon-side politics, unresolved commercial terms)</w:t>
            </w:r>
          </w:p>
        </w:tc>
        <w:tc>
          <w:tcPr>
            <w:tcW w:w="0" w:type="auto"/>
            <w:hideMark/>
          </w:tcPr>
          <w:p w14:paraId="78128DC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Compounded execution risk across two unresolved cross-border projects; coordination and sequencing risk</w:t>
            </w:r>
          </w:p>
        </w:tc>
      </w:tr>
    </w:tbl>
    <w:p w14:paraId="0AA765DA" w14:textId="77777777" w:rsidR="00D05741" w:rsidRDefault="00D05741" w:rsidP="002B6FBC">
      <w:pPr>
        <w:spacing w:line="276" w:lineRule="auto"/>
        <w:jc w:val="both"/>
        <w:rPr>
          <w:rFonts w:ascii="Times New Roman" w:hAnsi="Times New Roman" w:cs="Times New Roman"/>
          <w:b/>
          <w:bCs/>
        </w:rPr>
      </w:pPr>
    </w:p>
    <w:p w14:paraId="028661D0" w14:textId="1BA100C6"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t>Extension to 2040:</w:t>
      </w:r>
      <w:r w:rsidRPr="00CB1515">
        <w:rPr>
          <w:rFonts w:ascii="Times New Roman" w:hAnsi="Times New Roman" w:cs="Times New Roman"/>
        </w:rPr>
        <w:t xml:space="preserve"> without either EG-27/</w:t>
      </w:r>
      <w:proofErr w:type="spellStart"/>
      <w:r w:rsidRPr="00CB1515">
        <w:rPr>
          <w:rFonts w:ascii="Times New Roman" w:hAnsi="Times New Roman" w:cs="Times New Roman"/>
        </w:rPr>
        <w:t>Ebano</w:t>
      </w:r>
      <w:proofErr w:type="spellEnd"/>
      <w:r w:rsidRPr="00CB1515">
        <w:rPr>
          <w:rFonts w:ascii="Times New Roman" w:hAnsi="Times New Roman" w:cs="Times New Roman"/>
        </w:rPr>
        <w:t xml:space="preserve"> reaching FID or one of the two cross-border routes being sanctioned and built, the existing EG LNG train's feedstock base is likely to be materially depleted by the late 2030s on the decline trajectories described in Section 1. This is a qualitative, direction-of-travel conclusion; no operator has published field-by-field decline curves out to 2040, and the specific timing is sensitive to Aseng's actual production profile once online.</w:t>
      </w:r>
    </w:p>
    <w:p w14:paraId="786320D5" w14:textId="52FB1F55" w:rsidR="00CB1515" w:rsidRPr="00CB1515" w:rsidRDefault="00CB1515" w:rsidP="002B6FBC">
      <w:pPr>
        <w:spacing w:line="276" w:lineRule="auto"/>
        <w:jc w:val="both"/>
        <w:rPr>
          <w:rFonts w:ascii="Times New Roman" w:hAnsi="Times New Roman" w:cs="Times New Roman"/>
        </w:rPr>
      </w:pPr>
    </w:p>
    <w:p w14:paraId="0DEF7509"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8. Delivered Gas Economics</w:t>
      </w:r>
    </w:p>
    <w:p w14:paraId="366982CF"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t>Data limitation:</w:t>
      </w:r>
      <w:r w:rsidRPr="00CB1515">
        <w:rPr>
          <w:rFonts w:ascii="Times New Roman" w:hAnsi="Times New Roman" w:cs="Times New Roman"/>
        </w:rPr>
        <w:t xml:space="preserve"> none of Alba, Alen, Aseng, Yoyo-Yolanda or the Nigerian candidate fields has publicly disclosed wellhead gas pricing, gathering tariffs, or pipeline transportation tariffs. The framework below therefore uses the </w:t>
      </w:r>
      <w:r w:rsidRPr="00CB1515">
        <w:rPr>
          <w:rFonts w:ascii="Times New Roman" w:hAnsi="Times New Roman" w:cs="Times New Roman"/>
          <w:b/>
          <w:bCs/>
        </w:rPr>
        <w:t>cost-build structure requested</w:t>
      </w:r>
      <w:r w:rsidRPr="00CB1515">
        <w:rPr>
          <w:rFonts w:ascii="Times New Roman" w:hAnsi="Times New Roman" w:cs="Times New Roman"/>
        </w:rPr>
        <w:t xml:space="preserve"> with generic, clearly labelled </w:t>
      </w:r>
      <w:r w:rsidRPr="00CB1515">
        <w:rPr>
          <w:rFonts w:ascii="Times New Roman" w:hAnsi="Times New Roman" w:cs="Times New Roman"/>
          <w:b/>
          <w:bCs/>
        </w:rPr>
        <w:t>benchmark ranges</w:t>
      </w:r>
      <w:r w:rsidRPr="00CB1515">
        <w:rPr>
          <w:rFonts w:ascii="Times New Roman" w:hAnsi="Times New Roman" w:cs="Times New Roman"/>
        </w:rPr>
        <w:t xml:space="preserve"> drawn from comparable West/Central African offshore gas-to-LNG project economics, not project-specific commercial terms. These figures should be treated as illustrative only and are not a substitute for a bankable feasibility study.</w:t>
      </w:r>
    </w:p>
    <w:tbl>
      <w:tblPr>
        <w:tblStyle w:val="TableGrid"/>
        <w:tblW w:w="0" w:type="auto"/>
        <w:tblLook w:val="04A0" w:firstRow="1" w:lastRow="0" w:firstColumn="1" w:lastColumn="0" w:noHBand="0" w:noVBand="1"/>
      </w:tblPr>
      <w:tblGrid>
        <w:gridCol w:w="1403"/>
        <w:gridCol w:w="1286"/>
        <w:gridCol w:w="1287"/>
        <w:gridCol w:w="1287"/>
        <w:gridCol w:w="1583"/>
        <w:gridCol w:w="1217"/>
        <w:gridCol w:w="1287"/>
      </w:tblGrid>
      <w:tr w:rsidR="00CB1515" w:rsidRPr="00CB1515" w14:paraId="39720310" w14:textId="77777777" w:rsidTr="00D05741">
        <w:tc>
          <w:tcPr>
            <w:tcW w:w="0" w:type="auto"/>
            <w:hideMark/>
          </w:tcPr>
          <w:p w14:paraId="08CBFCF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Supplier</w:t>
            </w:r>
          </w:p>
        </w:tc>
        <w:tc>
          <w:tcPr>
            <w:tcW w:w="0" w:type="auto"/>
            <w:hideMark/>
          </w:tcPr>
          <w:p w14:paraId="14B376CE"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Wellhead Gas Price (USD/MMBtu, benchmark)</w:t>
            </w:r>
          </w:p>
        </w:tc>
        <w:tc>
          <w:tcPr>
            <w:tcW w:w="0" w:type="auto"/>
            <w:hideMark/>
          </w:tcPr>
          <w:p w14:paraId="43E17ABA"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Gathering (USD/MMBtu, benchmark)</w:t>
            </w:r>
          </w:p>
        </w:tc>
        <w:tc>
          <w:tcPr>
            <w:tcW w:w="0" w:type="auto"/>
            <w:hideMark/>
          </w:tcPr>
          <w:p w14:paraId="3C2E0CC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Processing (USD/MMBtu, benchmark)</w:t>
            </w:r>
          </w:p>
        </w:tc>
        <w:tc>
          <w:tcPr>
            <w:tcW w:w="0" w:type="auto"/>
            <w:hideMark/>
          </w:tcPr>
          <w:p w14:paraId="4DAC4A7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Pipeline/Transport (USD/MMBtu, benchmark)</w:t>
            </w:r>
          </w:p>
        </w:tc>
        <w:tc>
          <w:tcPr>
            <w:tcW w:w="0" w:type="auto"/>
            <w:hideMark/>
          </w:tcPr>
          <w:p w14:paraId="65B2795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Other Costs (compression, cross-border fees; benchmark)</w:t>
            </w:r>
          </w:p>
        </w:tc>
        <w:tc>
          <w:tcPr>
            <w:tcW w:w="0" w:type="auto"/>
            <w:hideMark/>
          </w:tcPr>
          <w:p w14:paraId="0AE6204E"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Delivered Cost at Punta Europa (USD/MMBtu, benchmark)</w:t>
            </w:r>
          </w:p>
        </w:tc>
      </w:tr>
      <w:tr w:rsidR="00CB1515" w:rsidRPr="00CB1515" w14:paraId="51A5B042" w14:textId="77777777" w:rsidTr="00D05741">
        <w:tc>
          <w:tcPr>
            <w:tcW w:w="0" w:type="auto"/>
            <w:hideMark/>
          </w:tcPr>
          <w:p w14:paraId="65EC558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Alba/Alen/Aseng (domestic, for comparison)</w:t>
            </w:r>
          </w:p>
        </w:tc>
        <w:tc>
          <w:tcPr>
            <w:tcW w:w="0" w:type="auto"/>
            <w:hideMark/>
          </w:tcPr>
          <w:p w14:paraId="3699F84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0.5–1.5 (typical low domestic wellhead reference used in West African gas-to-LNG projects)</w:t>
            </w:r>
          </w:p>
        </w:tc>
        <w:tc>
          <w:tcPr>
            <w:tcW w:w="0" w:type="auto"/>
            <w:hideMark/>
          </w:tcPr>
          <w:p w14:paraId="4BD6ACA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0.2–0.4</w:t>
            </w:r>
          </w:p>
        </w:tc>
        <w:tc>
          <w:tcPr>
            <w:tcW w:w="0" w:type="auto"/>
            <w:hideMark/>
          </w:tcPr>
          <w:p w14:paraId="05A9B1D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0.3–0.6</w:t>
            </w:r>
          </w:p>
        </w:tc>
        <w:tc>
          <w:tcPr>
            <w:tcW w:w="0" w:type="auto"/>
            <w:hideMark/>
          </w:tcPr>
          <w:p w14:paraId="5A179F8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0.1–0.2 (short distance, existing infrastructure)</w:t>
            </w:r>
          </w:p>
        </w:tc>
        <w:tc>
          <w:tcPr>
            <w:tcW w:w="0" w:type="auto"/>
            <w:hideMark/>
          </w:tcPr>
          <w:p w14:paraId="574EE60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0.1–0.2</w:t>
            </w:r>
          </w:p>
        </w:tc>
        <w:tc>
          <w:tcPr>
            <w:tcW w:w="0" w:type="auto"/>
            <w:hideMark/>
          </w:tcPr>
          <w:p w14:paraId="08DAEC3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1.2–2.9</w:t>
            </w:r>
          </w:p>
        </w:tc>
      </w:tr>
      <w:tr w:rsidR="00CB1515" w:rsidRPr="00CB1515" w14:paraId="67080CDB" w14:textId="77777777" w:rsidTr="00D05741">
        <w:tc>
          <w:tcPr>
            <w:tcW w:w="0" w:type="auto"/>
            <w:hideMark/>
          </w:tcPr>
          <w:p w14:paraId="5C67B47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(Cameroon)</w:t>
            </w:r>
          </w:p>
        </w:tc>
        <w:tc>
          <w:tcPr>
            <w:tcW w:w="0" w:type="auto"/>
            <w:hideMark/>
          </w:tcPr>
          <w:p w14:paraId="1183D11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0.5–1.5</w:t>
            </w:r>
          </w:p>
        </w:tc>
        <w:tc>
          <w:tcPr>
            <w:tcW w:w="0" w:type="auto"/>
            <w:hideMark/>
          </w:tcPr>
          <w:p w14:paraId="08F9233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0.3–0.6 (new gathering system)</w:t>
            </w:r>
          </w:p>
        </w:tc>
        <w:tc>
          <w:tcPr>
            <w:tcW w:w="0" w:type="auto"/>
            <w:hideMark/>
          </w:tcPr>
          <w:p w14:paraId="58C9CAB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0.4–0.7 (new treatment)</w:t>
            </w:r>
          </w:p>
        </w:tc>
        <w:tc>
          <w:tcPr>
            <w:tcW w:w="0" w:type="auto"/>
            <w:hideMark/>
          </w:tcPr>
          <w:p w14:paraId="50732D2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0.4–1.0 (new subsea line, distance-dependent)</w:t>
            </w:r>
          </w:p>
        </w:tc>
        <w:tc>
          <w:tcPr>
            <w:tcW w:w="0" w:type="auto"/>
            <w:hideMark/>
          </w:tcPr>
          <w:p w14:paraId="6D989E2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0.3–0.6 (cross-border fiscal/transit costs, unquantified)</w:t>
            </w:r>
          </w:p>
        </w:tc>
        <w:tc>
          <w:tcPr>
            <w:tcW w:w="0" w:type="auto"/>
            <w:hideMark/>
          </w:tcPr>
          <w:p w14:paraId="12F89F6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2.4–4.4</w:t>
            </w:r>
          </w:p>
        </w:tc>
      </w:tr>
      <w:tr w:rsidR="00CB1515" w:rsidRPr="00CB1515" w14:paraId="0B97BF86" w14:textId="77777777" w:rsidTr="00D05741">
        <w:tc>
          <w:tcPr>
            <w:tcW w:w="0" w:type="auto"/>
            <w:hideMark/>
          </w:tcPr>
          <w:p w14:paraId="3AE210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Nigeria (Gulf of Guinea Pipeline)</w:t>
            </w:r>
          </w:p>
        </w:tc>
        <w:tc>
          <w:tcPr>
            <w:tcW w:w="0" w:type="auto"/>
            <w:hideMark/>
          </w:tcPr>
          <w:p w14:paraId="0DA435D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0.5–2.0 (Nigerian domestic wellhead benchmarks are historically low but export-oriented gas can command higher netbacks)</w:t>
            </w:r>
          </w:p>
        </w:tc>
        <w:tc>
          <w:tcPr>
            <w:tcW w:w="0" w:type="auto"/>
            <w:hideMark/>
          </w:tcPr>
          <w:p w14:paraId="6FB18A8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0.3–0.6</w:t>
            </w:r>
          </w:p>
        </w:tc>
        <w:tc>
          <w:tcPr>
            <w:tcW w:w="0" w:type="auto"/>
            <w:hideMark/>
          </w:tcPr>
          <w:p w14:paraId="091B998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0.4–0.7</w:t>
            </w:r>
          </w:p>
        </w:tc>
        <w:tc>
          <w:tcPr>
            <w:tcW w:w="0" w:type="auto"/>
            <w:hideMark/>
          </w:tcPr>
          <w:p w14:paraId="02DDDD7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0.5–1.2 (greater distance/uncertainty than Cameroon route)</w:t>
            </w:r>
          </w:p>
        </w:tc>
        <w:tc>
          <w:tcPr>
            <w:tcW w:w="0" w:type="auto"/>
            <w:hideMark/>
          </w:tcPr>
          <w:p w14:paraId="1484BBC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0.4–0.8 (higher cross-border/transit and security-risk premium)</w:t>
            </w:r>
          </w:p>
        </w:tc>
        <w:tc>
          <w:tcPr>
            <w:tcW w:w="0" w:type="auto"/>
            <w:hideMark/>
          </w:tcPr>
          <w:p w14:paraId="43255E1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2.6–5.3</w:t>
            </w:r>
          </w:p>
        </w:tc>
      </w:tr>
    </w:tbl>
    <w:p w14:paraId="61A69A37" w14:textId="77777777" w:rsidR="00D05741" w:rsidRDefault="00D05741" w:rsidP="002B6FBC">
      <w:pPr>
        <w:spacing w:line="276" w:lineRule="auto"/>
        <w:jc w:val="both"/>
        <w:rPr>
          <w:rFonts w:ascii="Times New Roman" w:hAnsi="Times New Roman" w:cs="Times New Roman"/>
        </w:rPr>
      </w:pPr>
    </w:p>
    <w:p w14:paraId="24701296" w14:textId="77777777" w:rsidR="00D05741" w:rsidRDefault="00D05741" w:rsidP="002B6FBC">
      <w:pPr>
        <w:spacing w:line="276" w:lineRule="auto"/>
        <w:jc w:val="both"/>
        <w:rPr>
          <w:rFonts w:ascii="Times New Roman" w:hAnsi="Times New Roman" w:cs="Times New Roman"/>
          <w:b/>
          <w:bCs/>
        </w:rPr>
      </w:pPr>
    </w:p>
    <w:p w14:paraId="76E9B705" w14:textId="77777777" w:rsidR="00D05741" w:rsidRDefault="00D05741" w:rsidP="002B6FBC">
      <w:pPr>
        <w:spacing w:line="276" w:lineRule="auto"/>
        <w:jc w:val="both"/>
        <w:rPr>
          <w:rFonts w:ascii="Times New Roman" w:hAnsi="Times New Roman" w:cs="Times New Roman"/>
          <w:b/>
          <w:bCs/>
        </w:rPr>
      </w:pPr>
    </w:p>
    <w:p w14:paraId="7834FF4B" w14:textId="7A85B7D1"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8.1 Sensitivity analysis (qualitative direction of impact on delivered cost)</w:t>
      </w:r>
    </w:p>
    <w:tbl>
      <w:tblPr>
        <w:tblStyle w:val="TableGrid"/>
        <w:tblW w:w="0" w:type="auto"/>
        <w:tblLook w:val="04A0" w:firstRow="1" w:lastRow="0" w:firstColumn="1" w:lastColumn="0" w:noHBand="0" w:noVBand="1"/>
      </w:tblPr>
      <w:tblGrid>
        <w:gridCol w:w="1962"/>
        <w:gridCol w:w="4151"/>
        <w:gridCol w:w="3237"/>
      </w:tblGrid>
      <w:tr w:rsidR="00CB1515" w:rsidRPr="00CB1515" w14:paraId="32066E87" w14:textId="77777777" w:rsidTr="00D05741">
        <w:tc>
          <w:tcPr>
            <w:tcW w:w="0" w:type="auto"/>
            <w:hideMark/>
          </w:tcPr>
          <w:p w14:paraId="2432D7D5"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Variable</w:t>
            </w:r>
          </w:p>
        </w:tc>
        <w:tc>
          <w:tcPr>
            <w:tcW w:w="0" w:type="auto"/>
            <w:hideMark/>
          </w:tcPr>
          <w:p w14:paraId="4D8EDC5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Effect of a +1 standard deviation move (illustrative)</w:t>
            </w:r>
          </w:p>
        </w:tc>
        <w:tc>
          <w:tcPr>
            <w:tcW w:w="0" w:type="auto"/>
            <w:hideMark/>
          </w:tcPr>
          <w:p w14:paraId="7CA71CB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Direction</w:t>
            </w:r>
          </w:p>
        </w:tc>
      </w:tr>
      <w:tr w:rsidR="00CB1515" w:rsidRPr="00CB1515" w14:paraId="7521B5F5" w14:textId="77777777" w:rsidTr="00D05741">
        <w:tc>
          <w:tcPr>
            <w:tcW w:w="0" w:type="auto"/>
            <w:hideMark/>
          </w:tcPr>
          <w:p w14:paraId="3BCB123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Gas price (wellhead)</w:t>
            </w:r>
          </w:p>
        </w:tc>
        <w:tc>
          <w:tcPr>
            <w:tcW w:w="0" w:type="auto"/>
            <w:hideMark/>
          </w:tcPr>
          <w:p w14:paraId="7887051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Directly passes through to delivered cost, $-for-$</w:t>
            </w:r>
          </w:p>
        </w:tc>
        <w:tc>
          <w:tcPr>
            <w:tcW w:w="0" w:type="auto"/>
            <w:hideMark/>
          </w:tcPr>
          <w:p w14:paraId="6EDB7B9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Delivered cost rises linearly with wellhead price</w:t>
            </w:r>
          </w:p>
        </w:tc>
      </w:tr>
      <w:tr w:rsidR="00CB1515" w:rsidRPr="00CB1515" w14:paraId="412793DF" w14:textId="77777777" w:rsidTr="00D05741">
        <w:tc>
          <w:tcPr>
            <w:tcW w:w="0" w:type="auto"/>
            <w:hideMark/>
          </w:tcPr>
          <w:p w14:paraId="294E715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Pipeline CAPEX</w:t>
            </w:r>
          </w:p>
        </w:tc>
        <w:tc>
          <w:tcPr>
            <w:tcW w:w="0" w:type="auto"/>
            <w:hideMark/>
          </w:tcPr>
          <w:p w14:paraId="415DE6E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 doubling of assumed CAPEX for the Yoyo-Yolanda or Nigeria line raises the transport component roughly proportionally (given tariff is typically CAPEX-recovery driven)</w:t>
            </w:r>
          </w:p>
        </w:tc>
        <w:tc>
          <w:tcPr>
            <w:tcW w:w="0" w:type="auto"/>
            <w:hideMark/>
          </w:tcPr>
          <w:p w14:paraId="4A6FE16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Higher CAPEX → materially higher delivered cost, especially at low </w:t>
            </w:r>
            <w:proofErr w:type="spellStart"/>
            <w:r w:rsidRPr="00CB1515">
              <w:rPr>
                <w:rFonts w:ascii="Times New Roman" w:hAnsi="Times New Roman" w:cs="Times New Roman"/>
                <w:sz w:val="22"/>
                <w:szCs w:val="22"/>
              </w:rPr>
              <w:t>utilisation</w:t>
            </w:r>
            <w:proofErr w:type="spellEnd"/>
          </w:p>
        </w:tc>
      </w:tr>
      <w:tr w:rsidR="00CB1515" w:rsidRPr="00CB1515" w14:paraId="0D6AFFFC" w14:textId="77777777" w:rsidTr="00D05741">
        <w:tc>
          <w:tcPr>
            <w:tcW w:w="0" w:type="auto"/>
            <w:hideMark/>
          </w:tcPr>
          <w:p w14:paraId="2660AF3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Pipeline </w:t>
            </w:r>
            <w:proofErr w:type="spellStart"/>
            <w:r w:rsidRPr="00CB1515">
              <w:rPr>
                <w:rFonts w:ascii="Times New Roman" w:hAnsi="Times New Roman" w:cs="Times New Roman"/>
                <w:sz w:val="22"/>
                <w:szCs w:val="22"/>
              </w:rPr>
              <w:t>utilisation</w:t>
            </w:r>
            <w:proofErr w:type="spellEnd"/>
          </w:p>
        </w:tc>
        <w:tc>
          <w:tcPr>
            <w:tcW w:w="0" w:type="auto"/>
            <w:hideMark/>
          </w:tcPr>
          <w:p w14:paraId="662EF60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Halving assumed throughput roughly doubles the per-unit transport tariff (fixed-cost recovery over fewer units)</w:t>
            </w:r>
          </w:p>
        </w:tc>
        <w:tc>
          <w:tcPr>
            <w:tcW w:w="0" w:type="auto"/>
            <w:hideMark/>
          </w:tcPr>
          <w:p w14:paraId="32A20A1E"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Utilisation</w:t>
            </w:r>
            <w:proofErr w:type="spellEnd"/>
            <w:r w:rsidRPr="00CB1515">
              <w:rPr>
                <w:rFonts w:ascii="Times New Roman" w:hAnsi="Times New Roman" w:cs="Times New Roman"/>
                <w:sz w:val="22"/>
                <w:szCs w:val="22"/>
              </w:rPr>
              <w:t xml:space="preserve"> is the single largest lever on cross-border delivered cost</w:t>
            </w:r>
          </w:p>
        </w:tc>
      </w:tr>
      <w:tr w:rsidR="00CB1515" w:rsidRPr="00CB1515" w14:paraId="5DA7F1D4" w14:textId="77777777" w:rsidTr="00D05741">
        <w:tc>
          <w:tcPr>
            <w:tcW w:w="0" w:type="auto"/>
            <w:hideMark/>
          </w:tcPr>
          <w:p w14:paraId="5CEB2D4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Transportation tariff structure (regulated vs. negotiated)</w:t>
            </w:r>
          </w:p>
        </w:tc>
        <w:tc>
          <w:tcPr>
            <w:tcW w:w="0" w:type="auto"/>
            <w:hideMark/>
          </w:tcPr>
          <w:p w14:paraId="4534E8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 regulated cost-of-service tariff vs. a negotiated flat fee can shift transport costs by an estimated 20–40% either way (benchmark range)</w:t>
            </w:r>
          </w:p>
        </w:tc>
        <w:tc>
          <w:tcPr>
            <w:tcW w:w="0" w:type="auto"/>
            <w:hideMark/>
          </w:tcPr>
          <w:p w14:paraId="19CCB77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Regulatory framework choice materially affects competitiveness</w:t>
            </w:r>
          </w:p>
        </w:tc>
      </w:tr>
      <w:tr w:rsidR="00CB1515" w:rsidRPr="00CB1515" w14:paraId="59FDC349" w14:textId="77777777" w:rsidTr="00D05741">
        <w:tc>
          <w:tcPr>
            <w:tcW w:w="0" w:type="auto"/>
            <w:hideMark/>
          </w:tcPr>
          <w:p w14:paraId="0EF52D6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LNG price (JKM/TTF)</w:t>
            </w:r>
          </w:p>
        </w:tc>
        <w:tc>
          <w:tcPr>
            <w:tcW w:w="0" w:type="auto"/>
            <w:hideMark/>
          </w:tcPr>
          <w:p w14:paraId="6EDC9F8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As of mid-August 2026, JKM was trading in the low-to-high </w:t>
            </w:r>
            <w:r w:rsidRPr="00CB1515">
              <w:rPr>
                <w:rFonts w:ascii="Times New Roman" w:hAnsi="Times New Roman" w:cs="Times New Roman"/>
                <w:b/>
                <w:bCs/>
                <w:sz w:val="22"/>
                <w:szCs w:val="22"/>
              </w:rPr>
              <w:t>$21/MMBtu</w:t>
            </w:r>
            <w:r w:rsidRPr="00CB1515">
              <w:rPr>
                <w:rFonts w:ascii="Times New Roman" w:hAnsi="Times New Roman" w:cs="Times New Roman"/>
                <w:sz w:val="22"/>
                <w:szCs w:val="22"/>
              </w:rPr>
              <w:t xml:space="preserve"> range and TTF around </w:t>
            </w:r>
            <w:r w:rsidRPr="00CB1515">
              <w:rPr>
                <w:rFonts w:ascii="Times New Roman" w:hAnsi="Times New Roman" w:cs="Times New Roman"/>
                <w:b/>
                <w:bCs/>
                <w:sz w:val="22"/>
                <w:szCs w:val="22"/>
              </w:rPr>
              <w:t>$20.8/MMBtu</w:t>
            </w:r>
            <w:r w:rsidRPr="00CB1515">
              <w:rPr>
                <w:rFonts w:ascii="Times New Roman" w:hAnsi="Times New Roman" w:cs="Times New Roman"/>
                <w:sz w:val="22"/>
                <w:szCs w:val="22"/>
              </w:rPr>
              <w:t xml:space="preserve">, both elevated versus typical historical ranges, reportedly linked in part to the March 2026 </w:t>
            </w:r>
            <w:proofErr w:type="spellStart"/>
            <w:r w:rsidRPr="00CB1515">
              <w:rPr>
                <w:rFonts w:ascii="Times New Roman" w:hAnsi="Times New Roman" w:cs="Times New Roman"/>
                <w:sz w:val="22"/>
                <w:szCs w:val="22"/>
              </w:rPr>
              <w:t>QatarEnergy</w:t>
            </w:r>
            <w:proofErr w:type="spellEnd"/>
            <w:r w:rsidRPr="00CB1515">
              <w:rPr>
                <w:rFonts w:ascii="Times New Roman" w:hAnsi="Times New Roman" w:cs="Times New Roman"/>
                <w:sz w:val="22"/>
                <w:szCs w:val="22"/>
              </w:rPr>
              <w:t xml:space="preserve"> force majeure at Ras Laffan removing ~12.8 </w:t>
            </w:r>
            <w:proofErr w:type="spellStart"/>
            <w:r w:rsidRPr="00CB1515">
              <w:rPr>
                <w:rFonts w:ascii="Times New Roman" w:hAnsi="Times New Roman" w:cs="Times New Roman"/>
                <w:sz w:val="22"/>
                <w:szCs w:val="22"/>
              </w:rPr>
              <w:t>mtpa</w:t>
            </w:r>
            <w:proofErr w:type="spellEnd"/>
            <w:r w:rsidRPr="00CB1515">
              <w:rPr>
                <w:rFonts w:ascii="Times New Roman" w:hAnsi="Times New Roman" w:cs="Times New Roman"/>
                <w:sz w:val="22"/>
                <w:szCs w:val="22"/>
              </w:rPr>
              <w:t xml:space="preserve"> of capacity</w:t>
            </w:r>
          </w:p>
        </w:tc>
        <w:tc>
          <w:tcPr>
            <w:tcW w:w="0" w:type="auto"/>
            <w:hideMark/>
          </w:tcPr>
          <w:p w14:paraId="20E05A8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Current elevated LNG prices widen the margin available to absorb higher delivered-gas costs from regional sources — a temporarily </w:t>
            </w:r>
            <w:proofErr w:type="spellStart"/>
            <w:r w:rsidRPr="00CB1515">
              <w:rPr>
                <w:rFonts w:ascii="Times New Roman" w:hAnsi="Times New Roman" w:cs="Times New Roman"/>
                <w:sz w:val="22"/>
                <w:szCs w:val="22"/>
              </w:rPr>
              <w:t>favourable</w:t>
            </w:r>
            <w:proofErr w:type="spellEnd"/>
            <w:r w:rsidRPr="00CB1515">
              <w:rPr>
                <w:rFonts w:ascii="Times New Roman" w:hAnsi="Times New Roman" w:cs="Times New Roman"/>
                <w:sz w:val="22"/>
                <w:szCs w:val="22"/>
              </w:rPr>
              <w:t xml:space="preserve"> window, not a structural assumption</w:t>
            </w:r>
          </w:p>
        </w:tc>
      </w:tr>
      <w:tr w:rsidR="00CB1515" w:rsidRPr="00CB1515" w14:paraId="72A31970" w14:textId="77777777" w:rsidTr="00D05741">
        <w:tc>
          <w:tcPr>
            <w:tcW w:w="0" w:type="auto"/>
            <w:hideMark/>
          </w:tcPr>
          <w:p w14:paraId="7739A3F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Production volume (field decline faster/slower than expected)</w:t>
            </w:r>
          </w:p>
        </w:tc>
        <w:tc>
          <w:tcPr>
            <w:tcW w:w="0" w:type="auto"/>
            <w:hideMark/>
          </w:tcPr>
          <w:p w14:paraId="7954B39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Faster-than-expected decline at Alba/Alen shortens the payback window over which any new pipeline investment can be justified</w:t>
            </w:r>
          </w:p>
        </w:tc>
        <w:tc>
          <w:tcPr>
            <w:tcW w:w="0" w:type="auto"/>
            <w:hideMark/>
          </w:tcPr>
          <w:p w14:paraId="4179A45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Field decline risk compounds pipeline </w:t>
            </w:r>
            <w:proofErr w:type="spellStart"/>
            <w:r w:rsidRPr="00CB1515">
              <w:rPr>
                <w:rFonts w:ascii="Times New Roman" w:hAnsi="Times New Roman" w:cs="Times New Roman"/>
                <w:sz w:val="22"/>
                <w:szCs w:val="22"/>
              </w:rPr>
              <w:t>utilisation</w:t>
            </w:r>
            <w:proofErr w:type="spellEnd"/>
            <w:r w:rsidRPr="00CB1515">
              <w:rPr>
                <w:rFonts w:ascii="Times New Roman" w:hAnsi="Times New Roman" w:cs="Times New Roman"/>
                <w:sz w:val="22"/>
                <w:szCs w:val="22"/>
              </w:rPr>
              <w:t xml:space="preserve"> risk</w:t>
            </w:r>
          </w:p>
        </w:tc>
      </w:tr>
    </w:tbl>
    <w:p w14:paraId="7613CA7B" w14:textId="779F991E" w:rsidR="00CB1515" w:rsidRPr="00CB1515" w:rsidRDefault="00CB1515" w:rsidP="002B6FBC">
      <w:pPr>
        <w:spacing w:line="276" w:lineRule="auto"/>
        <w:jc w:val="both"/>
        <w:rPr>
          <w:rFonts w:ascii="Times New Roman" w:hAnsi="Times New Roman" w:cs="Times New Roman"/>
        </w:rPr>
      </w:pPr>
    </w:p>
    <w:p w14:paraId="704BC6FE"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 xml:space="preserve">9. LNG </w:t>
      </w:r>
      <w:proofErr w:type="spellStart"/>
      <w:r w:rsidRPr="00CB1515">
        <w:rPr>
          <w:rFonts w:ascii="Times New Roman" w:hAnsi="Times New Roman" w:cs="Times New Roman"/>
          <w:b/>
          <w:bCs/>
        </w:rPr>
        <w:t>Commercialisation</w:t>
      </w:r>
      <w:proofErr w:type="spellEnd"/>
      <w:r w:rsidRPr="00CB1515">
        <w:rPr>
          <w:rFonts w:ascii="Times New Roman" w:hAnsi="Times New Roman" w:cs="Times New Roman"/>
          <w:b/>
          <w:bCs/>
        </w:rPr>
        <w:t xml:space="preserve"> Economics</w:t>
      </w:r>
    </w:p>
    <w:p w14:paraId="261DF749"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Given the absence of disclosed project-specific commercial terms for any of the cross-border options, </w:t>
      </w:r>
      <w:r w:rsidRPr="00CB1515">
        <w:rPr>
          <w:rFonts w:ascii="Times New Roman" w:hAnsi="Times New Roman" w:cs="Times New Roman"/>
          <w:b/>
          <w:bCs/>
        </w:rPr>
        <w:t>NPV, IRR, payback period, and precise break-even prices are not calculated here</w:t>
      </w:r>
      <w:r w:rsidRPr="00CB1515">
        <w:rPr>
          <w:rFonts w:ascii="Times New Roman" w:hAnsi="Times New Roman" w:cs="Times New Roman"/>
        </w:rPr>
        <w:t>, consistent with the instruction not to manufacture financial values where project-specific data are unavailable. Instead, the framework below sets out the components that would be required and the qualitative economics implied by current market conditions.</w:t>
      </w:r>
    </w:p>
    <w:tbl>
      <w:tblPr>
        <w:tblStyle w:val="TableGrid"/>
        <w:tblW w:w="0" w:type="auto"/>
        <w:tblLook w:val="04A0" w:firstRow="1" w:lastRow="0" w:firstColumn="1" w:lastColumn="0" w:noHBand="0" w:noVBand="1"/>
      </w:tblPr>
      <w:tblGrid>
        <w:gridCol w:w="1857"/>
        <w:gridCol w:w="3307"/>
        <w:gridCol w:w="4186"/>
      </w:tblGrid>
      <w:tr w:rsidR="00CB1515" w:rsidRPr="00CB1515" w14:paraId="536FB314" w14:textId="77777777" w:rsidTr="00D05741">
        <w:tc>
          <w:tcPr>
            <w:tcW w:w="0" w:type="auto"/>
            <w:hideMark/>
          </w:tcPr>
          <w:p w14:paraId="66A46C7B"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Component</w:t>
            </w:r>
          </w:p>
        </w:tc>
        <w:tc>
          <w:tcPr>
            <w:tcW w:w="0" w:type="auto"/>
            <w:hideMark/>
          </w:tcPr>
          <w:p w14:paraId="4CE2970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Basis</w:t>
            </w:r>
          </w:p>
        </w:tc>
        <w:tc>
          <w:tcPr>
            <w:tcW w:w="0" w:type="auto"/>
            <w:hideMark/>
          </w:tcPr>
          <w:p w14:paraId="2BC8DA6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Observation</w:t>
            </w:r>
          </w:p>
        </w:tc>
      </w:tr>
      <w:tr w:rsidR="00CB1515" w:rsidRPr="00CB1515" w14:paraId="1C47FF3A" w14:textId="77777777" w:rsidTr="00D05741">
        <w:tc>
          <w:tcPr>
            <w:tcW w:w="0" w:type="auto"/>
            <w:hideMark/>
          </w:tcPr>
          <w:p w14:paraId="7F35E44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Delivered gas cost (Punta Europa)</w:t>
            </w:r>
          </w:p>
        </w:tc>
        <w:tc>
          <w:tcPr>
            <w:tcW w:w="0" w:type="auto"/>
            <w:hideMark/>
          </w:tcPr>
          <w:p w14:paraId="5184363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Section 8 benchmark ranges: domestic ~$1.2–2.9/MMBtu; Cameroon ~$2.4–4.4/MMBtu; Nigeria ~$2.6–5.3/MMBtu</w:t>
            </w:r>
          </w:p>
        </w:tc>
        <w:tc>
          <w:tcPr>
            <w:tcW w:w="0" w:type="auto"/>
            <w:hideMark/>
          </w:tcPr>
          <w:p w14:paraId="58219B1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Regional gas is structurally more expensive to deliver than domestic gas, primarily due to new pipeline capital recovery</w:t>
            </w:r>
          </w:p>
        </w:tc>
      </w:tr>
      <w:tr w:rsidR="00CB1515" w:rsidRPr="00CB1515" w14:paraId="463E3E21" w14:textId="77777777" w:rsidTr="00D05741">
        <w:tc>
          <w:tcPr>
            <w:tcW w:w="0" w:type="auto"/>
            <w:hideMark/>
          </w:tcPr>
          <w:p w14:paraId="1117123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LNG production cost (liquefaction </w:t>
            </w:r>
            <w:proofErr w:type="spellStart"/>
            <w:r w:rsidRPr="00CB1515">
              <w:rPr>
                <w:rFonts w:ascii="Times New Roman" w:hAnsi="Times New Roman" w:cs="Times New Roman"/>
                <w:sz w:val="22"/>
                <w:szCs w:val="22"/>
              </w:rPr>
              <w:t>opex</w:t>
            </w:r>
            <w:proofErr w:type="spellEnd"/>
            <w:r w:rsidRPr="00CB1515">
              <w:rPr>
                <w:rFonts w:ascii="Times New Roman" w:hAnsi="Times New Roman" w:cs="Times New Roman"/>
                <w:sz w:val="22"/>
                <w:szCs w:val="22"/>
              </w:rPr>
              <w:t xml:space="preserve"> + capital recovery on existing Train 1)</w:t>
            </w:r>
          </w:p>
        </w:tc>
        <w:tc>
          <w:tcPr>
            <w:tcW w:w="0" w:type="auto"/>
            <w:hideMark/>
          </w:tcPr>
          <w:p w14:paraId="3D21852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Not disclosed by EG LNG; comparable single-train, ~20-year-old Atlantic Basin liquefaction plants typically show liquefaction </w:t>
            </w:r>
            <w:proofErr w:type="spellStart"/>
            <w:r w:rsidRPr="00CB1515">
              <w:rPr>
                <w:rFonts w:ascii="Times New Roman" w:hAnsi="Times New Roman" w:cs="Times New Roman"/>
                <w:sz w:val="22"/>
                <w:szCs w:val="22"/>
              </w:rPr>
              <w:t>opex+sustaining</w:t>
            </w:r>
            <w:proofErr w:type="spellEnd"/>
            <w:r w:rsidRPr="00CB1515">
              <w:rPr>
                <w:rFonts w:ascii="Times New Roman" w:hAnsi="Times New Roman" w:cs="Times New Roman"/>
                <w:sz w:val="22"/>
                <w:szCs w:val="22"/>
              </w:rPr>
              <w:t xml:space="preserve"> capital in the </w:t>
            </w:r>
            <w:r w:rsidRPr="00CB1515">
              <w:rPr>
                <w:rFonts w:ascii="Times New Roman" w:hAnsi="Times New Roman" w:cs="Times New Roman"/>
                <w:b/>
                <w:bCs/>
                <w:sz w:val="22"/>
                <w:szCs w:val="22"/>
              </w:rPr>
              <w:t>$0.8–1.5/MMBtu</w:t>
            </w:r>
            <w:r w:rsidRPr="00CB1515">
              <w:rPr>
                <w:rFonts w:ascii="Times New Roman" w:hAnsi="Times New Roman" w:cs="Times New Roman"/>
                <w:sz w:val="22"/>
                <w:szCs w:val="22"/>
              </w:rPr>
              <w:t xml:space="preserve"> range (industry benchmark, not EG LNG-specific)</w:t>
            </w:r>
          </w:p>
        </w:tc>
        <w:tc>
          <w:tcPr>
            <w:tcW w:w="0" w:type="auto"/>
            <w:hideMark/>
          </w:tcPr>
          <w:p w14:paraId="49FE924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Because Train 1 capital is largely sunk (built 2007), the marginal economics of adding regional feedstock are driven mainly by delivered gas cost, not liquefaction cost</w:t>
            </w:r>
          </w:p>
        </w:tc>
      </w:tr>
      <w:tr w:rsidR="00CB1515" w:rsidRPr="00CB1515" w14:paraId="30D9EB0C" w14:textId="77777777" w:rsidTr="00D05741">
        <w:tc>
          <w:tcPr>
            <w:tcW w:w="0" w:type="auto"/>
            <w:hideMark/>
          </w:tcPr>
          <w:p w14:paraId="5CE2426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Current LNG price </w:t>
            </w:r>
            <w:proofErr w:type="spellStart"/>
            <w:r w:rsidRPr="00CB1515">
              <w:rPr>
                <w:rFonts w:ascii="Times New Roman" w:hAnsi="Times New Roman" w:cs="Times New Roman"/>
                <w:sz w:val="22"/>
                <w:szCs w:val="22"/>
              </w:rPr>
              <w:t>realisation</w:t>
            </w:r>
            <w:proofErr w:type="spellEnd"/>
          </w:p>
        </w:tc>
        <w:tc>
          <w:tcPr>
            <w:tcW w:w="0" w:type="auto"/>
            <w:hideMark/>
          </w:tcPr>
          <w:p w14:paraId="6F19DE5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JKM ~$21/MMBtu, TTF ~$20.8/MMBtu (mid-August 2026)</w:t>
            </w:r>
          </w:p>
        </w:tc>
        <w:tc>
          <w:tcPr>
            <w:tcW w:w="0" w:type="auto"/>
            <w:hideMark/>
          </w:tcPr>
          <w:p w14:paraId="4E731AD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At current elevated prices, even the higher end of the Nigeria delivered-cost benchmark ($5.3/MMBtu) plus liquefaction ($1.5/MMBtu) leaves a gross margin in the </w:t>
            </w:r>
            <w:r w:rsidRPr="00CB1515">
              <w:rPr>
                <w:rFonts w:ascii="Times New Roman" w:hAnsi="Times New Roman" w:cs="Times New Roman"/>
                <w:b/>
                <w:bCs/>
                <w:sz w:val="22"/>
                <w:szCs w:val="22"/>
              </w:rPr>
              <w:t>~$14/MMBtu</w:t>
            </w:r>
            <w:r w:rsidRPr="00CB1515">
              <w:rPr>
                <w:rFonts w:ascii="Times New Roman" w:hAnsi="Times New Roman" w:cs="Times New Roman"/>
                <w:sz w:val="22"/>
                <w:szCs w:val="22"/>
              </w:rPr>
              <w:t xml:space="preserve"> range before shipping, marketing and fiscal take — indicating the economics are </w:t>
            </w:r>
            <w:r w:rsidRPr="00CB1515">
              <w:rPr>
                <w:rFonts w:ascii="Times New Roman" w:hAnsi="Times New Roman" w:cs="Times New Roman"/>
                <w:b/>
                <w:bCs/>
                <w:sz w:val="22"/>
                <w:szCs w:val="22"/>
              </w:rPr>
              <w:t xml:space="preserve">directionally </w:t>
            </w:r>
            <w:proofErr w:type="spellStart"/>
            <w:r w:rsidRPr="00CB1515">
              <w:rPr>
                <w:rFonts w:ascii="Times New Roman" w:hAnsi="Times New Roman" w:cs="Times New Roman"/>
                <w:b/>
                <w:bCs/>
                <w:sz w:val="22"/>
                <w:szCs w:val="22"/>
              </w:rPr>
              <w:t>favourable</w:t>
            </w:r>
            <w:proofErr w:type="spellEnd"/>
            <w:r w:rsidRPr="00CB1515">
              <w:rPr>
                <w:rFonts w:ascii="Times New Roman" w:hAnsi="Times New Roman" w:cs="Times New Roman"/>
                <w:b/>
                <w:bCs/>
                <w:sz w:val="22"/>
                <w:szCs w:val="22"/>
              </w:rPr>
              <w:t xml:space="preserve"> in the current price environment</w:t>
            </w:r>
            <w:r w:rsidRPr="00CB1515">
              <w:rPr>
                <w:rFonts w:ascii="Times New Roman" w:hAnsi="Times New Roman" w:cs="Times New Roman"/>
                <w:sz w:val="22"/>
                <w:szCs w:val="22"/>
              </w:rPr>
              <w:t>, though this is a highly cyclical market and should not be treated as a durable assumption</w:t>
            </w:r>
          </w:p>
        </w:tc>
      </w:tr>
      <w:tr w:rsidR="00CB1515" w:rsidRPr="00CB1515" w14:paraId="4DC50101" w14:textId="77777777" w:rsidTr="00D05741">
        <w:tc>
          <w:tcPr>
            <w:tcW w:w="0" w:type="auto"/>
            <w:hideMark/>
          </w:tcPr>
          <w:p w14:paraId="331AFAA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Operating expenditure (transport to market, marketing)</w:t>
            </w:r>
          </w:p>
        </w:tc>
        <w:tc>
          <w:tcPr>
            <w:tcW w:w="0" w:type="auto"/>
            <w:hideMark/>
          </w:tcPr>
          <w:p w14:paraId="2D0DF97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w:t>
            </w:r>
          </w:p>
        </w:tc>
        <w:tc>
          <w:tcPr>
            <w:tcW w:w="0" w:type="auto"/>
            <w:hideMark/>
          </w:tcPr>
          <w:p w14:paraId="0C26F65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Standard industry shipping costs from West Africa to Europe/Asia are a further, separately quantifiable cost not modelled here</w:t>
            </w:r>
          </w:p>
        </w:tc>
      </w:tr>
      <w:tr w:rsidR="00CB1515" w:rsidRPr="00CB1515" w14:paraId="4EA0196E" w14:textId="77777777" w:rsidTr="00D05741">
        <w:tc>
          <w:tcPr>
            <w:tcW w:w="0" w:type="auto"/>
            <w:hideMark/>
          </w:tcPr>
          <w:p w14:paraId="19C4734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Break-even gas price / LNG price</w:t>
            </w:r>
          </w:p>
        </w:tc>
        <w:tc>
          <w:tcPr>
            <w:tcW w:w="0" w:type="auto"/>
            <w:hideMark/>
          </w:tcPr>
          <w:p w14:paraId="20885F6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calculable without project-specific CAPEX and tariff data</w:t>
            </w:r>
          </w:p>
        </w:tc>
        <w:tc>
          <w:tcPr>
            <w:tcW w:w="0" w:type="auto"/>
            <w:hideMark/>
          </w:tcPr>
          <w:p w14:paraId="2AC1247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Flagged as a data gap; a bankable feasibility study by the project sponsors would be required</w:t>
            </w:r>
          </w:p>
        </w:tc>
      </w:tr>
    </w:tbl>
    <w:p w14:paraId="3E35B518" w14:textId="77777777" w:rsidR="00D05741" w:rsidRDefault="00D05741" w:rsidP="002B6FBC">
      <w:pPr>
        <w:spacing w:line="276" w:lineRule="auto"/>
        <w:jc w:val="both"/>
        <w:rPr>
          <w:rFonts w:ascii="Times New Roman" w:hAnsi="Times New Roman" w:cs="Times New Roman"/>
          <w:b/>
          <w:bCs/>
        </w:rPr>
      </w:pPr>
    </w:p>
    <w:p w14:paraId="6EFC8001" w14:textId="11EBCBEB" w:rsidR="00CB1515" w:rsidRPr="00CB1515" w:rsidRDefault="002B6FBC" w:rsidP="002B6FBC">
      <w:pPr>
        <w:spacing w:line="276" w:lineRule="auto"/>
        <w:jc w:val="both"/>
        <w:rPr>
          <w:rFonts w:ascii="Times New Roman" w:hAnsi="Times New Roman" w:cs="Times New Roman"/>
        </w:rPr>
      </w:pPr>
      <w:r>
        <w:rPr>
          <w:rFonts w:ascii="Times New Roman" w:hAnsi="Times New Roman" w:cs="Times New Roman"/>
        </w:rPr>
        <w:t>C</w:t>
      </w:r>
      <w:r w:rsidR="00CB1515" w:rsidRPr="00CB1515">
        <w:rPr>
          <w:rFonts w:ascii="Times New Roman" w:hAnsi="Times New Roman" w:cs="Times New Roman"/>
        </w:rPr>
        <w:t xml:space="preserve">urrent LNG pricing provides comfortable headroom above even the higher benchmark delivered-cost estimates for regional gas, which supports the </w:t>
      </w:r>
      <w:r w:rsidR="00CB1515" w:rsidRPr="00CB1515">
        <w:rPr>
          <w:rFonts w:ascii="Times New Roman" w:hAnsi="Times New Roman" w:cs="Times New Roman"/>
          <w:i/>
          <w:iCs/>
        </w:rPr>
        <w:t>economic logic</w:t>
      </w:r>
      <w:r w:rsidR="00CB1515" w:rsidRPr="00CB1515">
        <w:rPr>
          <w:rFonts w:ascii="Times New Roman" w:hAnsi="Times New Roman" w:cs="Times New Roman"/>
        </w:rPr>
        <w:t xml:space="preserve"> of the Gas Mega Hub strategy. However, this conclusion is sensitive to the LNG price cycle — JKM/TTF at $21/MMBtu reflects an unusually tight market (partly linked to the Qatari force majeure noted above) rather than a long-run average, and sustained lower prices (e.g., the $10–14/MMBtu range flagged by some market commentary for 2026–2028 as new supply arrives) would compress or eliminate the margin available to absorb higher-cost regional gas, particularly from the more expensive, longer-distance Nigeria route.</w:t>
      </w:r>
    </w:p>
    <w:p w14:paraId="67C7878B" w14:textId="1DFAAB7F" w:rsidR="00CB1515" w:rsidRPr="00CB1515" w:rsidRDefault="00CB1515" w:rsidP="002B6FBC">
      <w:pPr>
        <w:spacing w:line="276" w:lineRule="auto"/>
        <w:jc w:val="both"/>
        <w:rPr>
          <w:rFonts w:ascii="Times New Roman" w:hAnsi="Times New Roman" w:cs="Times New Roman"/>
        </w:rPr>
      </w:pPr>
    </w:p>
    <w:p w14:paraId="6CA7CFF6"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10. Commercial Structures for Regional Gas Aggregation</w:t>
      </w:r>
    </w:p>
    <w:tbl>
      <w:tblPr>
        <w:tblStyle w:val="TableGrid"/>
        <w:tblW w:w="0" w:type="auto"/>
        <w:tblLook w:val="04A0" w:firstRow="1" w:lastRow="0" w:firstColumn="1" w:lastColumn="0" w:noHBand="0" w:noVBand="1"/>
      </w:tblPr>
      <w:tblGrid>
        <w:gridCol w:w="1232"/>
        <w:gridCol w:w="1215"/>
        <w:gridCol w:w="1515"/>
        <w:gridCol w:w="2036"/>
        <w:gridCol w:w="1644"/>
        <w:gridCol w:w="1708"/>
      </w:tblGrid>
      <w:tr w:rsidR="00CB1515" w:rsidRPr="00CB1515" w14:paraId="0A02C19C" w14:textId="77777777" w:rsidTr="002B6FBC">
        <w:tc>
          <w:tcPr>
            <w:tcW w:w="0" w:type="auto"/>
            <w:hideMark/>
          </w:tcPr>
          <w:p w14:paraId="7CE202DB"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lastRenderedPageBreak/>
              <w:t>Commercial Model</w:t>
            </w:r>
          </w:p>
        </w:tc>
        <w:tc>
          <w:tcPr>
            <w:tcW w:w="0" w:type="auto"/>
            <w:hideMark/>
          </w:tcPr>
          <w:p w14:paraId="05947A6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Advantages</w:t>
            </w:r>
          </w:p>
        </w:tc>
        <w:tc>
          <w:tcPr>
            <w:tcW w:w="0" w:type="auto"/>
            <w:hideMark/>
          </w:tcPr>
          <w:p w14:paraId="2C27A797"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Disadvantages</w:t>
            </w:r>
          </w:p>
        </w:tc>
        <w:tc>
          <w:tcPr>
            <w:tcW w:w="0" w:type="auto"/>
            <w:hideMark/>
          </w:tcPr>
          <w:p w14:paraId="0855293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Capital Requirement</w:t>
            </w:r>
          </w:p>
        </w:tc>
        <w:tc>
          <w:tcPr>
            <w:tcW w:w="0" w:type="auto"/>
            <w:hideMark/>
          </w:tcPr>
          <w:p w14:paraId="461B094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Risk Allocation</w:t>
            </w:r>
          </w:p>
        </w:tc>
        <w:tc>
          <w:tcPr>
            <w:tcW w:w="0" w:type="auto"/>
            <w:hideMark/>
          </w:tcPr>
          <w:p w14:paraId="163F007F"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Suitability for EG Regional Hub</w:t>
            </w:r>
          </w:p>
        </w:tc>
      </w:tr>
      <w:tr w:rsidR="00CB1515" w:rsidRPr="00CB1515" w14:paraId="6C7ACDDF" w14:textId="77777777" w:rsidTr="002B6FBC">
        <w:tc>
          <w:tcPr>
            <w:tcW w:w="0" w:type="auto"/>
            <w:hideMark/>
          </w:tcPr>
          <w:p w14:paraId="26CA3D5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Gas Sales Agreement (GSA), bilateral field-to-plant</w:t>
            </w:r>
          </w:p>
        </w:tc>
        <w:tc>
          <w:tcPr>
            <w:tcW w:w="0" w:type="auto"/>
            <w:hideMark/>
          </w:tcPr>
          <w:p w14:paraId="37A0DB6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Simple, well-understood; matches the existing Alen/Aseng tolling precedent</w:t>
            </w:r>
          </w:p>
        </w:tc>
        <w:tc>
          <w:tcPr>
            <w:tcW w:w="0" w:type="auto"/>
            <w:hideMark/>
          </w:tcPr>
          <w:p w14:paraId="310D9DE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Limited flexibility if multiple suppliers are added later; renegotiation needed for each new source</w:t>
            </w:r>
          </w:p>
        </w:tc>
        <w:tc>
          <w:tcPr>
            <w:tcW w:w="0" w:type="auto"/>
            <w:hideMark/>
          </w:tcPr>
          <w:p w14:paraId="726EF26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 (no new shared infrastructure vehicle)</w:t>
            </w:r>
          </w:p>
        </w:tc>
        <w:tc>
          <w:tcPr>
            <w:tcW w:w="0" w:type="auto"/>
            <w:hideMark/>
          </w:tcPr>
          <w:p w14:paraId="2555D9D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Price and volume risk borne largely by seller; offtake risk by EG LNG</w:t>
            </w:r>
          </w:p>
        </w:tc>
        <w:tc>
          <w:tcPr>
            <w:tcW w:w="0" w:type="auto"/>
            <w:hideMark/>
          </w:tcPr>
          <w:p w14:paraId="6993F71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 consistent with existing EG practice (Alen Unit tolling model)</w:t>
            </w:r>
          </w:p>
        </w:tc>
      </w:tr>
      <w:tr w:rsidR="00CB1515" w:rsidRPr="00CB1515" w14:paraId="3B180100" w14:textId="77777777" w:rsidTr="002B6FBC">
        <w:tc>
          <w:tcPr>
            <w:tcW w:w="0" w:type="auto"/>
            <w:hideMark/>
          </w:tcPr>
          <w:p w14:paraId="3E38DDC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Take-or-pay GSA</w:t>
            </w:r>
          </w:p>
        </w:tc>
        <w:tc>
          <w:tcPr>
            <w:tcW w:w="0" w:type="auto"/>
            <w:hideMark/>
          </w:tcPr>
          <w:p w14:paraId="26A0AED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Provides revenue certainty to upstream developer, supporting pipeline FID</w:t>
            </w:r>
          </w:p>
        </w:tc>
        <w:tc>
          <w:tcPr>
            <w:tcW w:w="0" w:type="auto"/>
            <w:hideMark/>
          </w:tcPr>
          <w:p w14:paraId="7D60A45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Shifts volume risk to EG LNG/Punta Europa owners if domestic demand or LNG markets soften</w:t>
            </w:r>
          </w:p>
        </w:tc>
        <w:tc>
          <w:tcPr>
            <w:tcW w:w="0" w:type="auto"/>
            <w:hideMark/>
          </w:tcPr>
          <w:p w14:paraId="7F8D212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Low–moderate</w:t>
            </w:r>
          </w:p>
        </w:tc>
        <w:tc>
          <w:tcPr>
            <w:tcW w:w="0" w:type="auto"/>
            <w:hideMark/>
          </w:tcPr>
          <w:p w14:paraId="643CB72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Buyer (Punta Europa) bears take-or-pay exposure</w:t>
            </w:r>
          </w:p>
        </w:tc>
        <w:tc>
          <w:tcPr>
            <w:tcW w:w="0" w:type="auto"/>
            <w:hideMark/>
          </w:tcPr>
          <w:p w14:paraId="084ADD4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Moderate — appropriate for anchor volumes (e.g., Aseng), less proven for cross-border streams given fiscal/political risk</w:t>
            </w:r>
          </w:p>
        </w:tc>
      </w:tr>
      <w:tr w:rsidR="00CB1515" w:rsidRPr="00CB1515" w14:paraId="34E589BD" w14:textId="77777777" w:rsidTr="002B6FBC">
        <w:tc>
          <w:tcPr>
            <w:tcW w:w="0" w:type="auto"/>
            <w:hideMark/>
          </w:tcPr>
          <w:p w14:paraId="22EB41C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Ship-or-pay pipeline agreement</w:t>
            </w:r>
          </w:p>
        </w:tc>
        <w:tc>
          <w:tcPr>
            <w:tcW w:w="0" w:type="auto"/>
            <w:hideMark/>
          </w:tcPr>
          <w:p w14:paraId="364754E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Underwrites cross-border pipeline financing by guaranteeing minimum tariff revenue</w:t>
            </w:r>
          </w:p>
        </w:tc>
        <w:tc>
          <w:tcPr>
            <w:tcW w:w="0" w:type="auto"/>
            <w:hideMark/>
          </w:tcPr>
          <w:p w14:paraId="6990BAB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Requires long-term volume commitment from field developers before reserves are fully proven</w:t>
            </w:r>
          </w:p>
        </w:tc>
        <w:tc>
          <w:tcPr>
            <w:tcW w:w="0" w:type="auto"/>
            <w:hideMark/>
          </w:tcPr>
          <w:p w14:paraId="7058036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Pipeline capital cost only</w:t>
            </w:r>
          </w:p>
        </w:tc>
        <w:tc>
          <w:tcPr>
            <w:tcW w:w="0" w:type="auto"/>
            <w:hideMark/>
          </w:tcPr>
          <w:p w14:paraId="7B87691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Shipper (upstream JV) bears minimum-payment obligation</w:t>
            </w:r>
          </w:p>
        </w:tc>
        <w:tc>
          <w:tcPr>
            <w:tcW w:w="0" w:type="auto"/>
            <w:hideMark/>
          </w:tcPr>
          <w:p w14:paraId="14D7C67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 best-fit for financing a dedicated Yoyo-Yolanda or Nigeria trunkline, mirroring the Alen Unit precedent</w:t>
            </w:r>
          </w:p>
        </w:tc>
      </w:tr>
      <w:tr w:rsidR="00CB1515" w:rsidRPr="00CB1515" w14:paraId="517257B9" w14:textId="77777777" w:rsidTr="002B6FBC">
        <w:tc>
          <w:tcPr>
            <w:tcW w:w="0" w:type="auto"/>
            <w:hideMark/>
          </w:tcPr>
          <w:p w14:paraId="64E1EE9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Tolling arrangement (processing fee per unit gas)</w:t>
            </w:r>
          </w:p>
        </w:tc>
        <w:tc>
          <w:tcPr>
            <w:tcW w:w="0" w:type="auto"/>
            <w:hideMark/>
          </w:tcPr>
          <w:p w14:paraId="4A8A723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Matches EG's existing Punta Europa model (Alen Unit tolling through Alba </w:t>
            </w:r>
            <w:r w:rsidRPr="00CB1515">
              <w:rPr>
                <w:rFonts w:ascii="Times New Roman" w:hAnsi="Times New Roman" w:cs="Times New Roman"/>
                <w:sz w:val="22"/>
                <w:szCs w:val="22"/>
              </w:rPr>
              <w:lastRenderedPageBreak/>
              <w:t>Plant/EG LNG)</w:t>
            </w:r>
          </w:p>
        </w:tc>
        <w:tc>
          <w:tcPr>
            <w:tcW w:w="0" w:type="auto"/>
            <w:hideMark/>
          </w:tcPr>
          <w:p w14:paraId="3C4C88A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Requires EG-side plant owners to accept variable throughput and quality from external suppliers</w:t>
            </w:r>
          </w:p>
        </w:tc>
        <w:tc>
          <w:tcPr>
            <w:tcW w:w="0" w:type="auto"/>
            <w:hideMark/>
          </w:tcPr>
          <w:p w14:paraId="5F22BB3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 incremental (uses existing plant)</w:t>
            </w:r>
          </w:p>
        </w:tc>
        <w:tc>
          <w:tcPr>
            <w:tcW w:w="0" w:type="auto"/>
            <w:hideMark/>
          </w:tcPr>
          <w:p w14:paraId="527428C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Processing/quality risk to plant owner; volume risk to gas supplier</w:t>
            </w:r>
          </w:p>
        </w:tc>
        <w:tc>
          <w:tcPr>
            <w:tcW w:w="0" w:type="auto"/>
            <w:hideMark/>
          </w:tcPr>
          <w:p w14:paraId="4D4E572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 — directly precedented</w:t>
            </w:r>
            <w:r w:rsidRPr="00CB1515">
              <w:rPr>
                <w:rFonts w:ascii="Times New Roman" w:hAnsi="Times New Roman" w:cs="Times New Roman"/>
                <w:sz w:val="22"/>
                <w:szCs w:val="22"/>
              </w:rPr>
              <w:t xml:space="preserve"> by the 2019 Alen Unit tolling agreements</w:t>
            </w:r>
          </w:p>
        </w:tc>
      </w:tr>
      <w:tr w:rsidR="00CB1515" w:rsidRPr="00CB1515" w14:paraId="0ED5B494" w14:textId="77777777" w:rsidTr="002B6FBC">
        <w:tc>
          <w:tcPr>
            <w:tcW w:w="0" w:type="auto"/>
            <w:hideMark/>
          </w:tcPr>
          <w:p w14:paraId="2A9C24E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Joint venture (integrated upstream-midstream-LNG)</w:t>
            </w:r>
          </w:p>
        </w:tc>
        <w:tc>
          <w:tcPr>
            <w:tcW w:w="0" w:type="auto"/>
            <w:hideMark/>
          </w:tcPr>
          <w:p w14:paraId="4340A3C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Aligns incentives across the value chain; used for Yoyo-Yolanda </w:t>
            </w:r>
            <w:proofErr w:type="spellStart"/>
            <w:r w:rsidRPr="00CB1515">
              <w:rPr>
                <w:rFonts w:ascii="Times New Roman" w:hAnsi="Times New Roman" w:cs="Times New Roman"/>
                <w:sz w:val="22"/>
                <w:szCs w:val="22"/>
              </w:rPr>
              <w:t>unitisation</w:t>
            </w:r>
            <w:proofErr w:type="spellEnd"/>
          </w:p>
        </w:tc>
        <w:tc>
          <w:tcPr>
            <w:tcW w:w="0" w:type="auto"/>
            <w:hideMark/>
          </w:tcPr>
          <w:p w14:paraId="21D919A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Complex governance across two sovereign states and multiple IOCs; slower to negotiate</w:t>
            </w:r>
          </w:p>
        </w:tc>
        <w:tc>
          <w:tcPr>
            <w:tcW w:w="0" w:type="auto"/>
            <w:hideMark/>
          </w:tcPr>
          <w:p w14:paraId="20B9491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(shared capital across JV partners)</w:t>
            </w:r>
          </w:p>
        </w:tc>
        <w:tc>
          <w:tcPr>
            <w:tcW w:w="0" w:type="auto"/>
            <w:hideMark/>
          </w:tcPr>
          <w:p w14:paraId="7F36177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Shared proportionally per JV/</w:t>
            </w:r>
            <w:proofErr w:type="spellStart"/>
            <w:r w:rsidRPr="00CB1515">
              <w:rPr>
                <w:rFonts w:ascii="Times New Roman" w:hAnsi="Times New Roman" w:cs="Times New Roman"/>
                <w:sz w:val="22"/>
                <w:szCs w:val="22"/>
              </w:rPr>
              <w:t>unitisation</w:t>
            </w:r>
            <w:proofErr w:type="spellEnd"/>
            <w:r w:rsidRPr="00CB1515">
              <w:rPr>
                <w:rFonts w:ascii="Times New Roman" w:hAnsi="Times New Roman" w:cs="Times New Roman"/>
                <w:sz w:val="22"/>
                <w:szCs w:val="22"/>
              </w:rPr>
              <w:t xml:space="preserve"> split (e.g., 84/16 Yoyo/Yolanda)</w:t>
            </w:r>
          </w:p>
        </w:tc>
        <w:tc>
          <w:tcPr>
            <w:tcW w:w="0" w:type="auto"/>
            <w:hideMark/>
          </w:tcPr>
          <w:p w14:paraId="592F838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for the upstream/gathering segment; the current Yoyo-Yolanda structure is effectively this model</w:t>
            </w:r>
          </w:p>
        </w:tc>
      </w:tr>
      <w:tr w:rsidR="00CB1515" w:rsidRPr="00CB1515" w14:paraId="279C6007" w14:textId="77777777" w:rsidTr="002B6FBC">
        <w:tc>
          <w:tcPr>
            <w:tcW w:w="0" w:type="auto"/>
            <w:hideMark/>
          </w:tcPr>
          <w:p w14:paraId="377D3FC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Production-sharing arrangement</w:t>
            </w:r>
          </w:p>
        </w:tc>
        <w:tc>
          <w:tcPr>
            <w:tcW w:w="0" w:type="auto"/>
            <w:hideMark/>
          </w:tcPr>
          <w:p w14:paraId="5B0456A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Standard for EG and Cameroon upstream fiscal regimes already</w:t>
            </w:r>
          </w:p>
        </w:tc>
        <w:tc>
          <w:tcPr>
            <w:tcW w:w="0" w:type="auto"/>
            <w:hideMark/>
          </w:tcPr>
          <w:p w14:paraId="507C7E8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itself a solution for cross-border transport/tolling; needs to be paired with a GSA/tolling layer</w:t>
            </w:r>
          </w:p>
        </w:tc>
        <w:tc>
          <w:tcPr>
            <w:tcW w:w="0" w:type="auto"/>
            <w:hideMark/>
          </w:tcPr>
          <w:p w14:paraId="530F270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N/A (fiscal regime, not infrastructure)</w:t>
            </w:r>
          </w:p>
        </w:tc>
        <w:tc>
          <w:tcPr>
            <w:tcW w:w="0" w:type="auto"/>
            <w:hideMark/>
          </w:tcPr>
          <w:p w14:paraId="07585E6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Between IOC and host government</w:t>
            </w:r>
          </w:p>
        </w:tc>
        <w:tc>
          <w:tcPr>
            <w:tcW w:w="0" w:type="auto"/>
            <w:hideMark/>
          </w:tcPr>
          <w:p w14:paraId="6429833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Necessary background framework, not sufficient alone</w:t>
            </w:r>
          </w:p>
        </w:tc>
      </w:tr>
      <w:tr w:rsidR="00CB1515" w:rsidRPr="00CB1515" w14:paraId="1F78D5C6" w14:textId="77777777" w:rsidTr="002B6FBC">
        <w:tc>
          <w:tcPr>
            <w:tcW w:w="0" w:type="auto"/>
            <w:hideMark/>
          </w:tcPr>
          <w:p w14:paraId="351CAE1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Hub-based gas aggregation with third-party access</w:t>
            </w:r>
          </w:p>
        </w:tc>
        <w:tc>
          <w:tcPr>
            <w:tcW w:w="0" w:type="auto"/>
            <w:hideMark/>
          </w:tcPr>
          <w:p w14:paraId="2850192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Best supports a genuine "multi-country hub" vision (Scenario 3); allows incremental supplier addition</w:t>
            </w:r>
          </w:p>
        </w:tc>
        <w:tc>
          <w:tcPr>
            <w:tcW w:w="0" w:type="auto"/>
            <w:hideMark/>
          </w:tcPr>
          <w:p w14:paraId="23E2A53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Requires new regulatory apparatus (tariff methodology, non-discriminatory access rules) that EG does not appear to have yet established for third-party gas</w:t>
            </w:r>
          </w:p>
        </w:tc>
        <w:tc>
          <w:tcPr>
            <w:tcW w:w="0" w:type="auto"/>
            <w:hideMark/>
          </w:tcPr>
          <w:p w14:paraId="48EA29D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Moderate (mainly regulatory/institutional, not physical capital)</w:t>
            </w:r>
          </w:p>
        </w:tc>
        <w:tc>
          <w:tcPr>
            <w:tcW w:w="0" w:type="auto"/>
            <w:hideMark/>
          </w:tcPr>
          <w:p w14:paraId="5A531F2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Diffused across multiple suppliers and the hub operator</w:t>
            </w:r>
          </w:p>
        </w:tc>
        <w:tc>
          <w:tcPr>
            <w:tcW w:w="0" w:type="auto"/>
            <w:hideMark/>
          </w:tcPr>
          <w:p w14:paraId="41DEE80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Necessary for Option 3 (Section 16) but not yet in place</w:t>
            </w:r>
          </w:p>
        </w:tc>
      </w:tr>
    </w:tbl>
    <w:p w14:paraId="4B67AD9D" w14:textId="77777777" w:rsidR="002B6FBC" w:rsidRDefault="002B6FBC" w:rsidP="002B6FBC">
      <w:pPr>
        <w:spacing w:line="276" w:lineRule="auto"/>
        <w:jc w:val="both"/>
        <w:rPr>
          <w:rFonts w:ascii="Times New Roman" w:hAnsi="Times New Roman" w:cs="Times New Roman"/>
          <w:b/>
          <w:bCs/>
        </w:rPr>
      </w:pPr>
    </w:p>
    <w:p w14:paraId="1D056190" w14:textId="0F0EF20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t>Recommended structure:</w:t>
      </w:r>
      <w:r w:rsidRPr="00CB1515">
        <w:rPr>
          <w:rFonts w:ascii="Times New Roman" w:hAnsi="Times New Roman" w:cs="Times New Roman"/>
        </w:rPr>
        <w:t xml:space="preserve"> a </w:t>
      </w:r>
      <w:r w:rsidRPr="00CB1515">
        <w:rPr>
          <w:rFonts w:ascii="Times New Roman" w:hAnsi="Times New Roman" w:cs="Times New Roman"/>
          <w:b/>
          <w:bCs/>
        </w:rPr>
        <w:t>tolling arrangement layered on ship-or-pay pipeline agreements</w:t>
      </w:r>
      <w:r w:rsidRPr="00CB1515">
        <w:rPr>
          <w:rFonts w:ascii="Times New Roman" w:hAnsi="Times New Roman" w:cs="Times New Roman"/>
        </w:rPr>
        <w:t xml:space="preserve">, mirroring the precedent already established for the Alen Unit (2019 definitive tolling agreements) and the Aseng tie-back, extended to Cameroonian and (if it advances) Nigerian volumes. This avoids EG having to build and own new cross-border pipelines outright, while giving upstream developers the revenue certainty needed to sanction the pipelines. Moving toward genuine </w:t>
      </w:r>
      <w:r w:rsidRPr="00CB1515">
        <w:rPr>
          <w:rFonts w:ascii="Times New Roman" w:hAnsi="Times New Roman" w:cs="Times New Roman"/>
          <w:b/>
          <w:bCs/>
        </w:rPr>
        <w:t>third-party, hub-based access</w:t>
      </w:r>
      <w:r w:rsidRPr="00CB1515">
        <w:rPr>
          <w:rFonts w:ascii="Times New Roman" w:hAnsi="Times New Roman" w:cs="Times New Roman"/>
        </w:rPr>
        <w:t xml:space="preserve"> would be the appropriate end-state if EG pursues Option 3 (multi-country aggregation, Section 16), but would require new regulatory institution-building not yet evident in current sources.</w:t>
      </w:r>
    </w:p>
    <w:p w14:paraId="32AD968D" w14:textId="77777777" w:rsidR="002B6FBC" w:rsidRDefault="002B6FBC" w:rsidP="002B6FBC">
      <w:pPr>
        <w:spacing w:line="276" w:lineRule="auto"/>
        <w:jc w:val="both"/>
        <w:rPr>
          <w:rFonts w:ascii="Times New Roman" w:hAnsi="Times New Roman" w:cs="Times New Roman"/>
          <w:b/>
          <w:bCs/>
        </w:rPr>
      </w:pPr>
    </w:p>
    <w:p w14:paraId="727C9891" w14:textId="637C4D4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11. Regulatory and Cross-Border Requirements</w:t>
      </w:r>
    </w:p>
    <w:p w14:paraId="30F5E8EA"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Bilateral agreements:</w:t>
      </w:r>
      <w:r w:rsidRPr="00CB1515">
        <w:rPr>
          <w:rFonts w:ascii="Times New Roman" w:hAnsi="Times New Roman" w:cs="Times New Roman"/>
        </w:rPr>
        <w:t xml:space="preserve"> Cameroon–EG relations rest on a 2023 bilateral treaty for joint hydrocarbon development, ratified and deposited with the UN Secretariat in January 2025 to give it binding international status, followed by the February 2026 </w:t>
      </w:r>
      <w:proofErr w:type="spellStart"/>
      <w:r w:rsidRPr="00CB1515">
        <w:rPr>
          <w:rFonts w:ascii="Times New Roman" w:hAnsi="Times New Roman" w:cs="Times New Roman"/>
        </w:rPr>
        <w:t>unitisation</w:t>
      </w:r>
      <w:proofErr w:type="spellEnd"/>
      <w:r w:rsidRPr="00CB1515">
        <w:rPr>
          <w:rFonts w:ascii="Times New Roman" w:hAnsi="Times New Roman" w:cs="Times New Roman"/>
        </w:rPr>
        <w:t xml:space="preserve"> agreement. Nigeria–EG relations rest on the August 2024 framework agreement covering legislative and regulatory measures, pipeline establishment and operation, transit of natural gas, and ownership, which is a </w:t>
      </w:r>
      <w:r w:rsidRPr="00CB1515">
        <w:rPr>
          <w:rFonts w:ascii="Times New Roman" w:hAnsi="Times New Roman" w:cs="Times New Roman"/>
          <w:b/>
          <w:bCs/>
        </w:rPr>
        <w:t>framework, not an implementing project agreement</w:t>
      </w:r>
      <w:r w:rsidRPr="00CB1515">
        <w:rPr>
          <w:rFonts w:ascii="Times New Roman" w:hAnsi="Times New Roman" w:cs="Times New Roman"/>
        </w:rPr>
        <w:t>.</w:t>
      </w:r>
    </w:p>
    <w:p w14:paraId="64F524C2"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Gas ownership:</w:t>
      </w:r>
      <w:r w:rsidRPr="00CB1515">
        <w:rPr>
          <w:rFonts w:ascii="Times New Roman" w:hAnsi="Times New Roman" w:cs="Times New Roman"/>
        </w:rPr>
        <w:t xml:space="preserve"> resolved for Yoyo-Yolanda via the 84/16 </w:t>
      </w:r>
      <w:proofErr w:type="spellStart"/>
      <w:r w:rsidRPr="00CB1515">
        <w:rPr>
          <w:rFonts w:ascii="Times New Roman" w:hAnsi="Times New Roman" w:cs="Times New Roman"/>
        </w:rPr>
        <w:t>unitisation</w:t>
      </w:r>
      <w:proofErr w:type="spellEnd"/>
      <w:r w:rsidRPr="00CB1515">
        <w:rPr>
          <w:rFonts w:ascii="Times New Roman" w:hAnsi="Times New Roman" w:cs="Times New Roman"/>
        </w:rPr>
        <w:t xml:space="preserve"> split; not yet defined for any specific Nigerian field nominated to the Gulf of Guinea Pipeline Project.</w:t>
      </w:r>
    </w:p>
    <w:p w14:paraId="2B9018D2"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Cross-border taxation/customs:</w:t>
      </w:r>
      <w:r w:rsidRPr="00CB1515">
        <w:rPr>
          <w:rFonts w:ascii="Times New Roman" w:hAnsi="Times New Roman" w:cs="Times New Roman"/>
        </w:rPr>
        <w:t xml:space="preserve"> no publicly disclosed fiscal </w:t>
      </w:r>
      <w:proofErr w:type="spellStart"/>
      <w:r w:rsidRPr="00CB1515">
        <w:rPr>
          <w:rFonts w:ascii="Times New Roman" w:hAnsi="Times New Roman" w:cs="Times New Roman"/>
        </w:rPr>
        <w:t>harmonisation</w:t>
      </w:r>
      <w:proofErr w:type="spellEnd"/>
      <w:r w:rsidRPr="00CB1515">
        <w:rPr>
          <w:rFonts w:ascii="Times New Roman" w:hAnsi="Times New Roman" w:cs="Times New Roman"/>
        </w:rPr>
        <w:t xml:space="preserve"> terms for either route; this is a standard requirement for cross-border gas trade (to avoid double taxation and to establish transfer pricing at the custody-transfer point) and is flagged as an open item for both projects.</w:t>
      </w:r>
    </w:p>
    <w:p w14:paraId="5214EACF"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Pipeline tariffs / third-party access:</w:t>
      </w:r>
      <w:r w:rsidRPr="00CB1515">
        <w:rPr>
          <w:rFonts w:ascii="Times New Roman" w:hAnsi="Times New Roman" w:cs="Times New Roman"/>
        </w:rPr>
        <w:t xml:space="preserve"> no evidence of an established EG regulatory methodology for third-party pipeline access or tariff-setting; this would need to be created, likely by the Ministry of Mines and Hydrocarbons and </w:t>
      </w:r>
      <w:proofErr w:type="spellStart"/>
      <w:r w:rsidRPr="00CB1515">
        <w:rPr>
          <w:rFonts w:ascii="Times New Roman" w:hAnsi="Times New Roman" w:cs="Times New Roman"/>
        </w:rPr>
        <w:t>Sonagas</w:t>
      </w:r>
      <w:proofErr w:type="spellEnd"/>
      <w:r w:rsidRPr="00CB1515">
        <w:rPr>
          <w:rFonts w:ascii="Times New Roman" w:hAnsi="Times New Roman" w:cs="Times New Roman"/>
        </w:rPr>
        <w:t>, to support Option 3 in Section 16.</w:t>
      </w:r>
    </w:p>
    <w:p w14:paraId="0780DBB9"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Gas measurement and quality standards:</w:t>
      </w:r>
      <w:r w:rsidRPr="00CB1515">
        <w:rPr>
          <w:rFonts w:ascii="Times New Roman" w:hAnsi="Times New Roman" w:cs="Times New Roman"/>
        </w:rPr>
        <w:t xml:space="preserve"> would need a </w:t>
      </w:r>
      <w:proofErr w:type="spellStart"/>
      <w:r w:rsidRPr="00CB1515">
        <w:rPr>
          <w:rFonts w:ascii="Times New Roman" w:hAnsi="Times New Roman" w:cs="Times New Roman"/>
        </w:rPr>
        <w:t>harmonised</w:t>
      </w:r>
      <w:proofErr w:type="spellEnd"/>
      <w:r w:rsidRPr="00CB1515">
        <w:rPr>
          <w:rFonts w:ascii="Times New Roman" w:hAnsi="Times New Roman" w:cs="Times New Roman"/>
        </w:rPr>
        <w:t xml:space="preserve"> custody-transfer measurement standard at each maritime boundary crossing (Cameroon and, if it proceeds, Nigeria), consistent with international norms (e.g., AGA/ISO metering standards) — not yet evidenced as agreed in public sources.</w:t>
      </w:r>
    </w:p>
    <w:p w14:paraId="7579F77C"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Environmental and regulatory approvals:</w:t>
      </w:r>
      <w:r w:rsidRPr="00CB1515">
        <w:rPr>
          <w:rFonts w:ascii="Times New Roman" w:hAnsi="Times New Roman" w:cs="Times New Roman"/>
        </w:rPr>
        <w:t xml:space="preserve"> both cross-border projects would require environmental and regulatory sign-off in two jurisdictions each (EG plus Cameroon; EG plus Nigeria), a coordination burden not present for domestic-only projects.</w:t>
      </w:r>
    </w:p>
    <w:p w14:paraId="6318417D" w14:textId="77777777" w:rsidR="00CB1515" w:rsidRPr="00CB1515" w:rsidRDefault="00CB1515" w:rsidP="002B6FBC">
      <w:pPr>
        <w:numPr>
          <w:ilvl w:val="0"/>
          <w:numId w:val="1"/>
        </w:numPr>
        <w:spacing w:line="276" w:lineRule="auto"/>
        <w:jc w:val="both"/>
        <w:rPr>
          <w:rFonts w:ascii="Times New Roman" w:hAnsi="Times New Roman" w:cs="Times New Roman"/>
        </w:rPr>
      </w:pPr>
      <w:r w:rsidRPr="00CB1515">
        <w:rPr>
          <w:rFonts w:ascii="Times New Roman" w:hAnsi="Times New Roman" w:cs="Times New Roman"/>
          <w:b/>
          <w:bCs/>
        </w:rPr>
        <w:t>Dispute resolution / contract enforcement / sovereign risk:</w:t>
      </w:r>
      <w:r w:rsidRPr="00CB1515">
        <w:rPr>
          <w:rFonts w:ascii="Times New Roman" w:hAnsi="Times New Roman" w:cs="Times New Roman"/>
        </w:rPr>
        <w:t xml:space="preserve"> the Yoyo-Yolanda treaty's UN deposit (January 2025) is a meaningful signal of institutional commitment; no equivalent instrument is confirmed for the Nigeria route beyond the 2024 agreement.</w:t>
      </w:r>
    </w:p>
    <w:p w14:paraId="5EA6817D" w14:textId="77777777" w:rsidR="002B6FBC"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t>Major regulatory barriers, in order of materiality:</w:t>
      </w:r>
      <w:r w:rsidRPr="00CB1515">
        <w:rPr>
          <w:rFonts w:ascii="Times New Roman" w:hAnsi="Times New Roman" w:cs="Times New Roman"/>
        </w:rPr>
        <w:t xml:space="preserve"> </w:t>
      </w:r>
    </w:p>
    <w:p w14:paraId="2793BA26" w14:textId="77777777" w:rsidR="002B6FBC"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(1) absence of a Nigeria-side implementing/technical agreement (route, tariff, volumes) beyond the political framework; </w:t>
      </w:r>
    </w:p>
    <w:p w14:paraId="19D8FFDE" w14:textId="77777777" w:rsidR="002B6FBC"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(2) absence of a disclosed EG third-party access/tariff regime needed for any hub model beyond simple bilateral tolling; </w:t>
      </w:r>
    </w:p>
    <w:p w14:paraId="1023762F" w14:textId="77777777" w:rsidR="002B6FBC"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(3) fiscal </w:t>
      </w:r>
      <w:proofErr w:type="spellStart"/>
      <w:r w:rsidRPr="00CB1515">
        <w:rPr>
          <w:rFonts w:ascii="Times New Roman" w:hAnsi="Times New Roman" w:cs="Times New Roman"/>
        </w:rPr>
        <w:t>harmonisation</w:t>
      </w:r>
      <w:proofErr w:type="spellEnd"/>
      <w:r w:rsidRPr="00CB1515">
        <w:rPr>
          <w:rFonts w:ascii="Times New Roman" w:hAnsi="Times New Roman" w:cs="Times New Roman"/>
        </w:rPr>
        <w:t xml:space="preserve"> (taxation, customs, transfer pricing) for both routes; </w:t>
      </w:r>
    </w:p>
    <w:p w14:paraId="3495328D" w14:textId="34DCA7F0"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lastRenderedPageBreak/>
        <w:t>(4) practical institutional capacity in EG (a small state administering multiple simultaneous cross-border and domestic mega-projects).</w:t>
      </w:r>
    </w:p>
    <w:p w14:paraId="5AC11267" w14:textId="3B79B44E" w:rsidR="00CB1515" w:rsidRPr="00CB1515" w:rsidRDefault="00CB1515" w:rsidP="002B6FBC">
      <w:pPr>
        <w:spacing w:line="276" w:lineRule="auto"/>
        <w:jc w:val="both"/>
        <w:rPr>
          <w:rFonts w:ascii="Times New Roman" w:hAnsi="Times New Roman" w:cs="Times New Roman"/>
        </w:rPr>
      </w:pPr>
    </w:p>
    <w:p w14:paraId="3BEBE8B0"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12. Investment Requirements</w:t>
      </w:r>
    </w:p>
    <w:tbl>
      <w:tblPr>
        <w:tblStyle w:val="TableGrid"/>
        <w:tblW w:w="0" w:type="auto"/>
        <w:tblLook w:val="04A0" w:firstRow="1" w:lastRow="0" w:firstColumn="1" w:lastColumn="0" w:noHBand="0" w:noVBand="1"/>
      </w:tblPr>
      <w:tblGrid>
        <w:gridCol w:w="1638"/>
        <w:gridCol w:w="1188"/>
        <w:gridCol w:w="2876"/>
        <w:gridCol w:w="2073"/>
        <w:gridCol w:w="1575"/>
      </w:tblGrid>
      <w:tr w:rsidR="00CB1515" w:rsidRPr="00CB1515" w14:paraId="7BF8F5DD" w14:textId="77777777" w:rsidTr="002B6FBC">
        <w:tc>
          <w:tcPr>
            <w:tcW w:w="0" w:type="auto"/>
            <w:hideMark/>
          </w:tcPr>
          <w:p w14:paraId="644A77A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Investment Component</w:t>
            </w:r>
          </w:p>
        </w:tc>
        <w:tc>
          <w:tcPr>
            <w:tcW w:w="0" w:type="auto"/>
            <w:hideMark/>
          </w:tcPr>
          <w:p w14:paraId="17DD726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Estimated CAPEX</w:t>
            </w:r>
          </w:p>
        </w:tc>
        <w:tc>
          <w:tcPr>
            <w:tcW w:w="0" w:type="auto"/>
            <w:hideMark/>
          </w:tcPr>
          <w:p w14:paraId="257B85E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Potential Investor</w:t>
            </w:r>
          </w:p>
        </w:tc>
        <w:tc>
          <w:tcPr>
            <w:tcW w:w="0" w:type="auto"/>
            <w:hideMark/>
          </w:tcPr>
          <w:p w14:paraId="0ECBF11E"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Development Stage</w:t>
            </w:r>
          </w:p>
        </w:tc>
        <w:tc>
          <w:tcPr>
            <w:tcW w:w="0" w:type="auto"/>
            <w:hideMark/>
          </w:tcPr>
          <w:p w14:paraId="40EDC05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Financing Requirement</w:t>
            </w:r>
          </w:p>
        </w:tc>
      </w:tr>
      <w:tr w:rsidR="00CB1515" w:rsidRPr="00CB1515" w14:paraId="788CF704" w14:textId="77777777" w:rsidTr="002B6FBC">
        <w:tc>
          <w:tcPr>
            <w:tcW w:w="0" w:type="auto"/>
            <w:hideMark/>
          </w:tcPr>
          <w:p w14:paraId="18FD0FD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Aseng gas </w:t>
            </w:r>
            <w:proofErr w:type="spellStart"/>
            <w:r w:rsidRPr="00CB1515">
              <w:rPr>
                <w:rFonts w:ascii="Times New Roman" w:hAnsi="Times New Roman" w:cs="Times New Roman"/>
                <w:sz w:val="22"/>
                <w:szCs w:val="22"/>
              </w:rPr>
              <w:t>monetisation</w:t>
            </w:r>
            <w:proofErr w:type="spellEnd"/>
            <w:r w:rsidRPr="00CB1515">
              <w:rPr>
                <w:rFonts w:ascii="Times New Roman" w:hAnsi="Times New Roman" w:cs="Times New Roman"/>
                <w:sz w:val="22"/>
                <w:szCs w:val="22"/>
              </w:rPr>
              <w:t xml:space="preserve"> (confirmed)</w:t>
            </w:r>
          </w:p>
        </w:tc>
        <w:tc>
          <w:tcPr>
            <w:tcW w:w="0" w:type="auto"/>
            <w:hideMark/>
          </w:tcPr>
          <w:p w14:paraId="3F550B4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$690 million</w:t>
            </w:r>
            <w:r w:rsidRPr="00CB1515">
              <w:rPr>
                <w:rFonts w:ascii="Times New Roman" w:hAnsi="Times New Roman" w:cs="Times New Roman"/>
                <w:sz w:val="22"/>
                <w:szCs w:val="22"/>
              </w:rPr>
              <w:t xml:space="preserve"> (initial investment)</w:t>
            </w:r>
          </w:p>
        </w:tc>
        <w:tc>
          <w:tcPr>
            <w:tcW w:w="0" w:type="auto"/>
            <w:hideMark/>
          </w:tcPr>
          <w:p w14:paraId="3C9DDB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Chevron/Noble Energy (operator), </w:t>
            </w:r>
            <w:proofErr w:type="spellStart"/>
            <w:r w:rsidRPr="00CB1515">
              <w:rPr>
                <w:rFonts w:ascii="Times New Roman" w:hAnsi="Times New Roman" w:cs="Times New Roman"/>
                <w:sz w:val="22"/>
                <w:szCs w:val="22"/>
              </w:rPr>
              <w:t>GEPetrol</w:t>
            </w:r>
            <w:proofErr w:type="spellEnd"/>
            <w:r w:rsidRPr="00CB1515">
              <w:rPr>
                <w:rFonts w:ascii="Times New Roman" w:hAnsi="Times New Roman" w:cs="Times New Roman"/>
                <w:sz w:val="22"/>
                <w:szCs w:val="22"/>
              </w:rPr>
              <w:t xml:space="preserve"> (32.55% stake, raised from 5%)</w:t>
            </w:r>
          </w:p>
        </w:tc>
        <w:tc>
          <w:tcPr>
            <w:tcW w:w="0" w:type="auto"/>
            <w:hideMark/>
          </w:tcPr>
          <w:p w14:paraId="0EFEDA7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FID reached</w:t>
            </w:r>
            <w:r w:rsidRPr="00CB1515">
              <w:rPr>
                <w:rFonts w:ascii="Times New Roman" w:hAnsi="Times New Roman" w:cs="Times New Roman"/>
                <w:sz w:val="22"/>
                <w:szCs w:val="22"/>
              </w:rPr>
              <w:t xml:space="preserve"> (March/April 2026)</w:t>
            </w:r>
          </w:p>
        </w:tc>
        <w:tc>
          <w:tcPr>
            <w:tcW w:w="0" w:type="auto"/>
            <w:hideMark/>
          </w:tcPr>
          <w:p w14:paraId="620F1B0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Largely committed; Subsea7 subsea contract $150–300m already awarded</w:t>
            </w:r>
          </w:p>
        </w:tc>
      </w:tr>
      <w:tr w:rsidR="00CB1515" w:rsidRPr="00CB1515" w14:paraId="2DAD4883" w14:textId="77777777" w:rsidTr="002B6FBC">
        <w:tc>
          <w:tcPr>
            <w:tcW w:w="0" w:type="auto"/>
            <w:hideMark/>
          </w:tcPr>
          <w:p w14:paraId="52ED50F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Alen gas </w:t>
            </w:r>
            <w:proofErr w:type="spellStart"/>
            <w:r w:rsidRPr="00CB1515">
              <w:rPr>
                <w:rFonts w:ascii="Times New Roman" w:hAnsi="Times New Roman" w:cs="Times New Roman"/>
                <w:sz w:val="22"/>
                <w:szCs w:val="22"/>
              </w:rPr>
              <w:t>monetisation</w:t>
            </w:r>
            <w:proofErr w:type="spellEnd"/>
            <w:r w:rsidRPr="00CB1515">
              <w:rPr>
                <w:rFonts w:ascii="Times New Roman" w:hAnsi="Times New Roman" w:cs="Times New Roman"/>
                <w:sz w:val="22"/>
                <w:szCs w:val="22"/>
              </w:rPr>
              <w:t xml:space="preserve"> (historical, for reference)</w:t>
            </w:r>
          </w:p>
        </w:tc>
        <w:tc>
          <w:tcPr>
            <w:tcW w:w="0" w:type="auto"/>
            <w:hideMark/>
          </w:tcPr>
          <w:p w14:paraId="7548A93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~$330 million</w:t>
            </w:r>
            <w:r w:rsidRPr="00CB1515">
              <w:rPr>
                <w:rFonts w:ascii="Times New Roman" w:hAnsi="Times New Roman" w:cs="Times New Roman"/>
                <w:sz w:val="22"/>
                <w:szCs w:val="22"/>
              </w:rPr>
              <w:t xml:space="preserve"> (2019 estimate)</w:t>
            </w:r>
          </w:p>
        </w:tc>
        <w:tc>
          <w:tcPr>
            <w:tcW w:w="0" w:type="auto"/>
            <w:hideMark/>
          </w:tcPr>
          <w:p w14:paraId="7F8F87E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Marathon (now ConocoPhillips)/Noble Energy (Chevron), </w:t>
            </w:r>
            <w:proofErr w:type="spellStart"/>
            <w:r w:rsidRPr="00CB1515">
              <w:rPr>
                <w:rFonts w:ascii="Times New Roman" w:hAnsi="Times New Roman" w:cs="Times New Roman"/>
                <w:sz w:val="22"/>
                <w:szCs w:val="22"/>
              </w:rPr>
              <w:t>Sonagas</w:t>
            </w:r>
            <w:proofErr w:type="spellEnd"/>
            <w:r w:rsidRPr="00CB1515">
              <w:rPr>
                <w:rFonts w:ascii="Times New Roman" w:hAnsi="Times New Roman" w:cs="Times New Roman"/>
                <w:sz w:val="22"/>
                <w:szCs w:val="22"/>
              </w:rPr>
              <w:t xml:space="preserve"> (30% post-deal)</w:t>
            </w:r>
          </w:p>
        </w:tc>
        <w:tc>
          <w:tcPr>
            <w:tcW w:w="0" w:type="auto"/>
            <w:hideMark/>
          </w:tcPr>
          <w:p w14:paraId="405C9CE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Operational since 2021</w:t>
            </w:r>
          </w:p>
        </w:tc>
        <w:tc>
          <w:tcPr>
            <w:tcW w:w="0" w:type="auto"/>
            <w:hideMark/>
          </w:tcPr>
          <w:p w14:paraId="3BFB2AF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Fully financed and delivered</w:t>
            </w:r>
          </w:p>
        </w:tc>
      </w:tr>
      <w:tr w:rsidR="00CB1515" w:rsidRPr="00CB1515" w14:paraId="145D619F" w14:textId="77777777" w:rsidTr="002B6FBC">
        <w:tc>
          <w:tcPr>
            <w:tcW w:w="0" w:type="auto"/>
            <w:hideMark/>
          </w:tcPr>
          <w:p w14:paraId="6BC3953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Alba Tail Gas </w:t>
            </w:r>
            <w:proofErr w:type="spellStart"/>
            <w:r w:rsidRPr="00CB1515">
              <w:rPr>
                <w:rFonts w:ascii="Times New Roman" w:hAnsi="Times New Roman" w:cs="Times New Roman"/>
                <w:sz w:val="22"/>
                <w:szCs w:val="22"/>
              </w:rPr>
              <w:t>Monetisation</w:t>
            </w:r>
            <w:proofErr w:type="spellEnd"/>
          </w:p>
        </w:tc>
        <w:tc>
          <w:tcPr>
            <w:tcW w:w="0" w:type="auto"/>
            <w:hideMark/>
          </w:tcPr>
          <w:p w14:paraId="493F5D3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w:t>
            </w:r>
          </w:p>
        </w:tc>
        <w:tc>
          <w:tcPr>
            <w:tcW w:w="0" w:type="auto"/>
            <w:hideMark/>
          </w:tcPr>
          <w:p w14:paraId="1EE77D0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Presumably Chevron/ConocoPhillips/</w:t>
            </w:r>
            <w:proofErr w:type="spellStart"/>
            <w:r w:rsidRPr="00CB1515">
              <w:rPr>
                <w:rFonts w:ascii="Times New Roman" w:hAnsi="Times New Roman" w:cs="Times New Roman"/>
                <w:sz w:val="22"/>
                <w:szCs w:val="22"/>
              </w:rPr>
              <w:t>GEPetrol</w:t>
            </w:r>
            <w:proofErr w:type="spellEnd"/>
            <w:r w:rsidRPr="00CB1515">
              <w:rPr>
                <w:rFonts w:ascii="Times New Roman" w:hAnsi="Times New Roman" w:cs="Times New Roman"/>
                <w:sz w:val="22"/>
                <w:szCs w:val="22"/>
              </w:rPr>
              <w:t>, consistent with existing Alba JV</w:t>
            </w:r>
          </w:p>
        </w:tc>
        <w:tc>
          <w:tcPr>
            <w:tcW w:w="0" w:type="auto"/>
            <w:hideMark/>
          </w:tcPr>
          <w:p w14:paraId="31B3D63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Development/Proposed</w:t>
            </w:r>
            <w:r w:rsidRPr="00CB1515">
              <w:rPr>
                <w:rFonts w:ascii="Times New Roman" w:hAnsi="Times New Roman" w:cs="Times New Roman"/>
                <w:sz w:val="22"/>
                <w:szCs w:val="22"/>
              </w:rPr>
              <w:t xml:space="preserve"> — referenced in GMH pipeline, no FID confirmed</w:t>
            </w:r>
          </w:p>
        </w:tc>
        <w:tc>
          <w:tcPr>
            <w:tcW w:w="0" w:type="auto"/>
            <w:hideMark/>
          </w:tcPr>
          <w:p w14:paraId="5B2E256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w:t>
            </w:r>
          </w:p>
        </w:tc>
      </w:tr>
      <w:tr w:rsidR="00CB1515" w:rsidRPr="00CB1515" w14:paraId="67B5E20A" w14:textId="77777777" w:rsidTr="002B6FBC">
        <w:tc>
          <w:tcPr>
            <w:tcW w:w="0" w:type="auto"/>
            <w:hideMark/>
          </w:tcPr>
          <w:p w14:paraId="5D76C0A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EG-27/</w:t>
            </w:r>
            <w:proofErr w:type="spellStart"/>
            <w:r w:rsidRPr="00CB1515">
              <w:rPr>
                <w:rFonts w:ascii="Times New Roman" w:hAnsi="Times New Roman" w:cs="Times New Roman"/>
                <w:sz w:val="22"/>
                <w:szCs w:val="22"/>
              </w:rPr>
              <w:t>Ebano</w:t>
            </w:r>
            <w:proofErr w:type="spellEnd"/>
            <w:r w:rsidRPr="00CB1515">
              <w:rPr>
                <w:rFonts w:ascii="Times New Roman" w:hAnsi="Times New Roman" w:cs="Times New Roman"/>
                <w:sz w:val="22"/>
                <w:szCs w:val="22"/>
              </w:rPr>
              <w:t xml:space="preserve"> LNG train</w:t>
            </w:r>
          </w:p>
        </w:tc>
        <w:tc>
          <w:tcPr>
            <w:tcW w:w="0" w:type="auto"/>
            <w:hideMark/>
          </w:tcPr>
          <w:p w14:paraId="2FC9300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$4.5 billion</w:t>
            </w:r>
            <w:r w:rsidRPr="00CB1515">
              <w:rPr>
                <w:rFonts w:ascii="Times New Roman" w:hAnsi="Times New Roman" w:cs="Times New Roman"/>
                <w:sz w:val="22"/>
                <w:szCs w:val="22"/>
              </w:rPr>
              <w:t xml:space="preserve"> (headline project cost)</w:t>
            </w:r>
          </w:p>
        </w:tc>
        <w:tc>
          <w:tcPr>
            <w:tcW w:w="0" w:type="auto"/>
            <w:hideMark/>
          </w:tcPr>
          <w:p w14:paraId="5444CF04"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Sonagas</w:t>
            </w:r>
            <w:proofErr w:type="spellEnd"/>
            <w:r w:rsidRPr="00CB1515">
              <w:rPr>
                <w:rFonts w:ascii="Times New Roman" w:hAnsi="Times New Roman" w:cs="Times New Roman"/>
                <w:sz w:val="22"/>
                <w:szCs w:val="22"/>
              </w:rPr>
              <w:t xml:space="preserve"> (lead); </w:t>
            </w:r>
            <w:proofErr w:type="spellStart"/>
            <w:r w:rsidRPr="00CB1515">
              <w:rPr>
                <w:rFonts w:ascii="Times New Roman" w:hAnsi="Times New Roman" w:cs="Times New Roman"/>
                <w:sz w:val="22"/>
                <w:szCs w:val="22"/>
              </w:rPr>
              <w:t>Afreximbank</w:t>
            </w:r>
            <w:proofErr w:type="spellEnd"/>
            <w:r w:rsidRPr="00CB1515">
              <w:rPr>
                <w:rFonts w:ascii="Times New Roman" w:hAnsi="Times New Roman" w:cs="Times New Roman"/>
                <w:sz w:val="22"/>
                <w:szCs w:val="22"/>
              </w:rPr>
              <w:t xml:space="preserve"> (advisory/capital-raising mandate, ACMA division)</w:t>
            </w:r>
          </w:p>
        </w:tc>
        <w:tc>
          <w:tcPr>
            <w:tcW w:w="0" w:type="auto"/>
            <w:hideMark/>
          </w:tcPr>
          <w:p w14:paraId="6EC6AF0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Proposed/pre-FID</w:t>
            </w:r>
            <w:r w:rsidRPr="00CB1515">
              <w:rPr>
                <w:rFonts w:ascii="Times New Roman" w:hAnsi="Times New Roman" w:cs="Times New Roman"/>
                <w:sz w:val="22"/>
                <w:szCs w:val="22"/>
              </w:rPr>
              <w:t xml:space="preserve"> — advisory mandate awarded July 2025</w:t>
            </w:r>
          </w:p>
        </w:tc>
        <w:tc>
          <w:tcPr>
            <w:tcW w:w="0" w:type="auto"/>
            <w:hideMark/>
          </w:tcPr>
          <w:p w14:paraId="5736ADC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Capital not yet raised; </w:t>
            </w:r>
            <w:proofErr w:type="spellStart"/>
            <w:r w:rsidRPr="00CB1515">
              <w:rPr>
                <w:rFonts w:ascii="Times New Roman" w:hAnsi="Times New Roman" w:cs="Times New Roman"/>
                <w:sz w:val="22"/>
                <w:szCs w:val="22"/>
              </w:rPr>
              <w:t>Afreximbank</w:t>
            </w:r>
            <w:proofErr w:type="spellEnd"/>
            <w:r w:rsidRPr="00CB1515">
              <w:rPr>
                <w:rFonts w:ascii="Times New Roman" w:hAnsi="Times New Roman" w:cs="Times New Roman"/>
                <w:sz w:val="22"/>
                <w:szCs w:val="22"/>
              </w:rPr>
              <w:t xml:space="preserve"> mandated to structure/</w:t>
            </w:r>
            <w:proofErr w:type="spellStart"/>
            <w:r w:rsidRPr="00CB1515">
              <w:rPr>
                <w:rFonts w:ascii="Times New Roman" w:hAnsi="Times New Roman" w:cs="Times New Roman"/>
                <w:sz w:val="22"/>
                <w:szCs w:val="22"/>
              </w:rPr>
              <w:t>mobilise</w:t>
            </w:r>
            <w:proofErr w:type="spellEnd"/>
            <w:r w:rsidRPr="00CB1515">
              <w:rPr>
                <w:rFonts w:ascii="Times New Roman" w:hAnsi="Times New Roman" w:cs="Times New Roman"/>
                <w:sz w:val="22"/>
                <w:szCs w:val="22"/>
              </w:rPr>
              <w:t xml:space="preserve"> financing</w:t>
            </w:r>
          </w:p>
        </w:tc>
      </w:tr>
      <w:tr w:rsidR="00CB1515" w:rsidRPr="00CB1515" w14:paraId="37E847F7" w14:textId="77777777" w:rsidTr="002B6FBC">
        <w:tc>
          <w:tcPr>
            <w:tcW w:w="0" w:type="auto"/>
            <w:hideMark/>
          </w:tcPr>
          <w:p w14:paraId="47AD9AA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 upstream + gathering + Cameroon-side processing</w:t>
            </w:r>
          </w:p>
        </w:tc>
        <w:tc>
          <w:tcPr>
            <w:tcW w:w="0" w:type="auto"/>
            <w:hideMark/>
          </w:tcPr>
          <w:p w14:paraId="6A1316F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Headline reported at </w:t>
            </w:r>
            <w:r w:rsidRPr="00CB1515">
              <w:rPr>
                <w:rFonts w:ascii="Times New Roman" w:hAnsi="Times New Roman" w:cs="Times New Roman"/>
                <w:b/>
                <w:bCs/>
                <w:sz w:val="22"/>
                <w:szCs w:val="22"/>
              </w:rPr>
              <w:t>~$4 billion</w:t>
            </w:r>
            <w:r w:rsidRPr="00CB1515">
              <w:rPr>
                <w:rFonts w:ascii="Times New Roman" w:hAnsi="Times New Roman" w:cs="Times New Roman"/>
                <w:sz w:val="22"/>
                <w:szCs w:val="22"/>
              </w:rPr>
              <w:t xml:space="preserve"> for the cross-border field development (source: Ecofin Agency headline </w:t>
            </w:r>
            <w:r w:rsidRPr="00CB1515">
              <w:rPr>
                <w:rFonts w:ascii="Times New Roman" w:hAnsi="Times New Roman" w:cs="Times New Roman"/>
                <w:sz w:val="22"/>
                <w:szCs w:val="22"/>
              </w:rPr>
              <w:lastRenderedPageBreak/>
              <w:t>figure — treat as an early, order-of-magnitude project cost, not a sanctioned budget)</w:t>
            </w:r>
          </w:p>
        </w:tc>
        <w:tc>
          <w:tcPr>
            <w:tcW w:w="0" w:type="auto"/>
            <w:hideMark/>
          </w:tcPr>
          <w:p w14:paraId="7965E0B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Chevron/Noble Energy (upstream); Cameroon and EG governments</w:t>
            </w:r>
          </w:p>
        </w:tc>
        <w:tc>
          <w:tcPr>
            <w:tcW w:w="0" w:type="auto"/>
            <w:hideMark/>
          </w:tcPr>
          <w:p w14:paraId="5469DF0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Post-</w:t>
            </w:r>
            <w:proofErr w:type="spellStart"/>
            <w:r w:rsidRPr="00CB1515">
              <w:rPr>
                <w:rFonts w:ascii="Times New Roman" w:hAnsi="Times New Roman" w:cs="Times New Roman"/>
                <w:b/>
                <w:bCs/>
                <w:sz w:val="22"/>
                <w:szCs w:val="22"/>
              </w:rPr>
              <w:t>unitisation</w:t>
            </w:r>
            <w:proofErr w:type="spellEnd"/>
            <w:r w:rsidRPr="00CB1515">
              <w:rPr>
                <w:rFonts w:ascii="Times New Roman" w:hAnsi="Times New Roman" w:cs="Times New Roman"/>
                <w:b/>
                <w:bCs/>
                <w:sz w:val="22"/>
                <w:szCs w:val="22"/>
              </w:rPr>
              <w:t>, pre-FID</w:t>
            </w:r>
          </w:p>
        </w:tc>
        <w:tc>
          <w:tcPr>
            <w:tcW w:w="0" w:type="auto"/>
            <w:hideMark/>
          </w:tcPr>
          <w:p w14:paraId="7C9D418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 likely IOC-led with government carried interests</w:t>
            </w:r>
          </w:p>
        </w:tc>
      </w:tr>
      <w:tr w:rsidR="00CB1515" w:rsidRPr="00CB1515" w14:paraId="788D0281" w14:textId="77777777" w:rsidTr="002B6FBC">
        <w:tc>
          <w:tcPr>
            <w:tcW w:w="0" w:type="auto"/>
            <w:hideMark/>
          </w:tcPr>
          <w:p w14:paraId="651D99E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Yoyo-Yolanda-to-Punta Europa pipeline segment</w:t>
            </w:r>
          </w:p>
        </w:tc>
        <w:tc>
          <w:tcPr>
            <w:tcW w:w="0" w:type="auto"/>
            <w:hideMark/>
          </w:tcPr>
          <w:p w14:paraId="3BA5540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Not disclosed; benchmark range </w:t>
            </w:r>
            <w:r w:rsidRPr="00CB1515">
              <w:rPr>
                <w:rFonts w:ascii="Times New Roman" w:hAnsi="Times New Roman" w:cs="Times New Roman"/>
                <w:b/>
                <w:bCs/>
                <w:sz w:val="22"/>
                <w:szCs w:val="22"/>
              </w:rPr>
              <w:t>$300m–$700m</w:t>
            </w:r>
            <w:r w:rsidRPr="00CB1515">
              <w:rPr>
                <w:rFonts w:ascii="Times New Roman" w:hAnsi="Times New Roman" w:cs="Times New Roman"/>
                <w:sz w:val="22"/>
                <w:szCs w:val="22"/>
              </w:rPr>
              <w:t xml:space="preserve"> (see Section 7)</w:t>
            </w:r>
          </w:p>
        </w:tc>
        <w:tc>
          <w:tcPr>
            <w:tcW w:w="0" w:type="auto"/>
            <w:hideMark/>
          </w:tcPr>
          <w:p w14:paraId="50969EF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 — likely a dedicated pipeline JV or EG LNG JV extension</w:t>
            </w:r>
          </w:p>
        </w:tc>
        <w:tc>
          <w:tcPr>
            <w:tcW w:w="0" w:type="auto"/>
            <w:hideMark/>
          </w:tcPr>
          <w:p w14:paraId="3D5C2EB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Conceptual (referenced in project scope, not costed publicly)</w:t>
            </w:r>
          </w:p>
        </w:tc>
        <w:tc>
          <w:tcPr>
            <w:tcW w:w="0" w:type="auto"/>
            <w:hideMark/>
          </w:tcPr>
          <w:p w14:paraId="1478C79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w:t>
            </w:r>
          </w:p>
        </w:tc>
      </w:tr>
      <w:tr w:rsidR="00CB1515" w:rsidRPr="00CB1515" w14:paraId="443F7BA3" w14:textId="77777777" w:rsidTr="002B6FBC">
        <w:tc>
          <w:tcPr>
            <w:tcW w:w="0" w:type="auto"/>
            <w:hideMark/>
          </w:tcPr>
          <w:p w14:paraId="54A6003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Nigeria Gulf of Guinea Pipeline</w:t>
            </w:r>
          </w:p>
        </w:tc>
        <w:tc>
          <w:tcPr>
            <w:tcW w:w="0" w:type="auto"/>
            <w:hideMark/>
          </w:tcPr>
          <w:p w14:paraId="7F63AA8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 — no public cost estimate identified</w:t>
            </w:r>
          </w:p>
        </w:tc>
        <w:tc>
          <w:tcPr>
            <w:tcW w:w="0" w:type="auto"/>
            <w:hideMark/>
          </w:tcPr>
          <w:p w14:paraId="2D91E7B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 — likely NNPC/IOC consortium plus EG counterpart</w:t>
            </w:r>
          </w:p>
        </w:tc>
        <w:tc>
          <w:tcPr>
            <w:tcW w:w="0" w:type="auto"/>
            <w:hideMark/>
          </w:tcPr>
          <w:p w14:paraId="517430A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Proposed/Conceptual</w:t>
            </w:r>
            <w:r w:rsidRPr="00CB1515">
              <w:rPr>
                <w:rFonts w:ascii="Times New Roman" w:hAnsi="Times New Roman" w:cs="Times New Roman"/>
                <w:sz w:val="22"/>
                <w:szCs w:val="22"/>
              </w:rPr>
              <w:t xml:space="preserve"> (framework agreement only)</w:t>
            </w:r>
          </w:p>
        </w:tc>
        <w:tc>
          <w:tcPr>
            <w:tcW w:w="0" w:type="auto"/>
            <w:hideMark/>
          </w:tcPr>
          <w:p w14:paraId="717C2FB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w:t>
            </w:r>
          </w:p>
        </w:tc>
      </w:tr>
      <w:tr w:rsidR="00CB1515" w:rsidRPr="00CB1515" w14:paraId="09BB2AA5" w14:textId="77777777" w:rsidTr="002B6FBC">
        <w:tc>
          <w:tcPr>
            <w:tcW w:w="0" w:type="auto"/>
            <w:hideMark/>
          </w:tcPr>
          <w:p w14:paraId="5276F54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Punta Europa modifications for regional-gas blending/treatment</w:t>
            </w:r>
          </w:p>
        </w:tc>
        <w:tc>
          <w:tcPr>
            <w:tcW w:w="0" w:type="auto"/>
            <w:hideMark/>
          </w:tcPr>
          <w:p w14:paraId="38AD8A0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disclosed; would scale with volume — no basis for a specific figure without a defined nominated stream composition and rate</w:t>
            </w:r>
          </w:p>
        </w:tc>
        <w:tc>
          <w:tcPr>
            <w:tcW w:w="0" w:type="auto"/>
            <w:hideMark/>
          </w:tcPr>
          <w:p w14:paraId="7495F0F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EG LNG JV / </w:t>
            </w:r>
            <w:proofErr w:type="spellStart"/>
            <w:r w:rsidRPr="00CB1515">
              <w:rPr>
                <w:rFonts w:ascii="Times New Roman" w:hAnsi="Times New Roman" w:cs="Times New Roman"/>
                <w:sz w:val="22"/>
                <w:szCs w:val="22"/>
              </w:rPr>
              <w:t>Sonagas</w:t>
            </w:r>
            <w:proofErr w:type="spellEnd"/>
          </w:p>
        </w:tc>
        <w:tc>
          <w:tcPr>
            <w:tcW w:w="0" w:type="auto"/>
            <w:hideMark/>
          </w:tcPr>
          <w:p w14:paraId="3749D7D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Not yet scoped publicly</w:t>
            </w:r>
          </w:p>
        </w:tc>
        <w:tc>
          <w:tcPr>
            <w:tcW w:w="0" w:type="auto"/>
            <w:hideMark/>
          </w:tcPr>
          <w:p w14:paraId="26EA689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Undetermined</w:t>
            </w:r>
          </w:p>
        </w:tc>
      </w:tr>
    </w:tbl>
    <w:p w14:paraId="714888AA" w14:textId="77777777" w:rsidR="002B6FBC" w:rsidRDefault="002B6FBC" w:rsidP="002B6FBC">
      <w:pPr>
        <w:spacing w:line="276" w:lineRule="auto"/>
        <w:jc w:val="both"/>
        <w:rPr>
          <w:rFonts w:ascii="Times New Roman" w:hAnsi="Times New Roman" w:cs="Times New Roman"/>
          <w:b/>
          <w:bCs/>
        </w:rPr>
      </w:pPr>
    </w:p>
    <w:p w14:paraId="309C8DBB" w14:textId="06AFC8F0" w:rsidR="00CB1515" w:rsidRPr="00CB1515" w:rsidRDefault="00CB1515" w:rsidP="002B6FBC">
      <w:pPr>
        <w:spacing w:line="276" w:lineRule="auto"/>
        <w:jc w:val="both"/>
        <w:rPr>
          <w:rFonts w:ascii="Times New Roman" w:hAnsi="Times New Roman" w:cs="Times New Roman"/>
        </w:rPr>
      </w:pPr>
    </w:p>
    <w:p w14:paraId="00F607FE"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lastRenderedPageBreak/>
        <w:t>13. LNG Feedstock Security</w:t>
      </w:r>
    </w:p>
    <w:p w14:paraId="799D5291"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13.1 Feedstock Security Index — methodology</w:t>
      </w:r>
    </w:p>
    <w:p w14:paraId="237586D4" w14:textId="7777777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rPr>
        <w:t xml:space="preserve">A simple </w:t>
      </w:r>
      <w:r w:rsidRPr="00CB1515">
        <w:rPr>
          <w:rFonts w:ascii="Times New Roman" w:hAnsi="Times New Roman" w:cs="Times New Roman"/>
          <w:b/>
          <w:bCs/>
        </w:rPr>
        <w:t>5-point composite index</w:t>
      </w:r>
      <w:r w:rsidRPr="00CB1515">
        <w:rPr>
          <w:rFonts w:ascii="Times New Roman" w:hAnsi="Times New Roman" w:cs="Times New Roman"/>
        </w:rPr>
        <w:t xml:space="preserve"> is constructed from four equally weighted sub-scores (1 = weak/high risk, 5 = strong/low risk): </w:t>
      </w:r>
      <w:r w:rsidRPr="00CB1515">
        <w:rPr>
          <w:rFonts w:ascii="Times New Roman" w:hAnsi="Times New Roman" w:cs="Times New Roman"/>
          <w:b/>
          <w:bCs/>
        </w:rPr>
        <w:t>domestic dependency</w:t>
      </w:r>
      <w:r w:rsidRPr="00CB1515">
        <w:rPr>
          <w:rFonts w:ascii="Times New Roman" w:hAnsi="Times New Roman" w:cs="Times New Roman"/>
        </w:rPr>
        <w:t xml:space="preserve"> (lower dependency on a single declining field scores higher), </w:t>
      </w:r>
      <w:r w:rsidRPr="00CB1515">
        <w:rPr>
          <w:rFonts w:ascii="Times New Roman" w:hAnsi="Times New Roman" w:cs="Times New Roman"/>
          <w:b/>
          <w:bCs/>
        </w:rPr>
        <w:t>contracted/coverage ratio</w:t>
      </w:r>
      <w:r w:rsidRPr="00CB1515">
        <w:rPr>
          <w:rFonts w:ascii="Times New Roman" w:hAnsi="Times New Roman" w:cs="Times New Roman"/>
        </w:rPr>
        <w:t xml:space="preserve"> (share of near-term feedstock requirement backed by sanctioned projects), </w:t>
      </w:r>
      <w:r w:rsidRPr="00CB1515">
        <w:rPr>
          <w:rFonts w:ascii="Times New Roman" w:hAnsi="Times New Roman" w:cs="Times New Roman"/>
          <w:b/>
          <w:bCs/>
        </w:rPr>
        <w:t>production decline exposure</w:t>
      </w:r>
      <w:r w:rsidRPr="00CB1515">
        <w:rPr>
          <w:rFonts w:ascii="Times New Roman" w:hAnsi="Times New Roman" w:cs="Times New Roman"/>
        </w:rPr>
        <w:t xml:space="preserve">, and </w:t>
      </w:r>
      <w:r w:rsidRPr="00CB1515">
        <w:rPr>
          <w:rFonts w:ascii="Times New Roman" w:hAnsi="Times New Roman" w:cs="Times New Roman"/>
          <w:b/>
          <w:bCs/>
        </w:rPr>
        <w:t>infrastructure reliability</w:t>
      </w:r>
      <w:r w:rsidRPr="00CB1515">
        <w:rPr>
          <w:rFonts w:ascii="Times New Roman" w:hAnsi="Times New Roman" w:cs="Times New Roman"/>
        </w:rPr>
        <w:t xml:space="preserve"> (single train/pipeline vs. redundant routes). This is an original framework for this note, not a published third-party methodology.</w:t>
      </w:r>
    </w:p>
    <w:tbl>
      <w:tblPr>
        <w:tblStyle w:val="TableGrid"/>
        <w:tblW w:w="0" w:type="auto"/>
        <w:tblLook w:val="04A0" w:firstRow="1" w:lastRow="0" w:firstColumn="1" w:lastColumn="0" w:noHBand="0" w:noVBand="1"/>
      </w:tblPr>
      <w:tblGrid>
        <w:gridCol w:w="1155"/>
        <w:gridCol w:w="2477"/>
        <w:gridCol w:w="1396"/>
        <w:gridCol w:w="1424"/>
        <w:gridCol w:w="1413"/>
        <w:gridCol w:w="1485"/>
      </w:tblGrid>
      <w:tr w:rsidR="00CB1515" w:rsidRPr="00CB1515" w14:paraId="35F191D7" w14:textId="77777777" w:rsidTr="002B6FBC">
        <w:tc>
          <w:tcPr>
            <w:tcW w:w="0" w:type="auto"/>
            <w:hideMark/>
          </w:tcPr>
          <w:p w14:paraId="6EC245A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Scenario</w:t>
            </w:r>
          </w:p>
        </w:tc>
        <w:tc>
          <w:tcPr>
            <w:tcW w:w="0" w:type="auto"/>
            <w:hideMark/>
          </w:tcPr>
          <w:p w14:paraId="2DF74BA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Domestic Dependency (score, 5=low dependency/diversified)</w:t>
            </w:r>
          </w:p>
        </w:tc>
        <w:tc>
          <w:tcPr>
            <w:tcW w:w="0" w:type="auto"/>
            <w:hideMark/>
          </w:tcPr>
          <w:p w14:paraId="031DDE79"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Regional Dependency (share of total feedstock, qualitative)</w:t>
            </w:r>
          </w:p>
        </w:tc>
        <w:tc>
          <w:tcPr>
            <w:tcW w:w="0" w:type="auto"/>
            <w:hideMark/>
          </w:tcPr>
          <w:p w14:paraId="2BEC8028"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Supply Coverage (share of 2030s requirement backed by sanctioned projects)</w:t>
            </w:r>
          </w:p>
        </w:tc>
        <w:tc>
          <w:tcPr>
            <w:tcW w:w="0" w:type="auto"/>
            <w:hideMark/>
          </w:tcPr>
          <w:p w14:paraId="2AFD3ADA"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Supply Risk (qualitative)</w:t>
            </w:r>
          </w:p>
        </w:tc>
        <w:tc>
          <w:tcPr>
            <w:tcW w:w="0" w:type="auto"/>
            <w:hideMark/>
          </w:tcPr>
          <w:p w14:paraId="4FC79024"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Security Score (avg./5)</w:t>
            </w:r>
          </w:p>
        </w:tc>
      </w:tr>
      <w:tr w:rsidR="00CB1515" w:rsidRPr="00CB1515" w14:paraId="364B9777" w14:textId="77777777" w:rsidTr="002B6FBC">
        <w:tc>
          <w:tcPr>
            <w:tcW w:w="0" w:type="auto"/>
            <w:hideMark/>
          </w:tcPr>
          <w:p w14:paraId="0F74BA0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Scenario 1: Domestic only</w:t>
            </w:r>
          </w:p>
        </w:tc>
        <w:tc>
          <w:tcPr>
            <w:tcW w:w="0" w:type="auto"/>
            <w:hideMark/>
          </w:tcPr>
          <w:p w14:paraId="0C10642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1 (fully dependent on Alba/Alen/Aseng)</w:t>
            </w:r>
          </w:p>
        </w:tc>
        <w:tc>
          <w:tcPr>
            <w:tcW w:w="0" w:type="auto"/>
            <w:hideMark/>
          </w:tcPr>
          <w:p w14:paraId="6BDDD61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0%</w:t>
            </w:r>
          </w:p>
        </w:tc>
        <w:tc>
          <w:tcPr>
            <w:tcW w:w="0" w:type="auto"/>
            <w:hideMark/>
          </w:tcPr>
          <w:p w14:paraId="386B58F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through ~2030 (Aseng sanctioned); low 2031+</w:t>
            </w:r>
          </w:p>
        </w:tc>
        <w:tc>
          <w:tcPr>
            <w:tcW w:w="0" w:type="auto"/>
            <w:hideMark/>
          </w:tcPr>
          <w:p w14:paraId="09400A1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post-2030</w:t>
            </w:r>
          </w:p>
        </w:tc>
        <w:tc>
          <w:tcPr>
            <w:tcW w:w="0" w:type="auto"/>
            <w:hideMark/>
          </w:tcPr>
          <w:p w14:paraId="78CEF2F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2.3 — deteriorating over the horizon</w:t>
            </w:r>
          </w:p>
        </w:tc>
      </w:tr>
      <w:tr w:rsidR="00CB1515" w:rsidRPr="00CB1515" w14:paraId="1982B1E8" w14:textId="77777777" w:rsidTr="002B6FBC">
        <w:tc>
          <w:tcPr>
            <w:tcW w:w="0" w:type="auto"/>
            <w:hideMark/>
          </w:tcPr>
          <w:p w14:paraId="0CFE90D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Scenario 2: Domestic + Cameroon</w:t>
            </w:r>
          </w:p>
        </w:tc>
        <w:tc>
          <w:tcPr>
            <w:tcW w:w="0" w:type="auto"/>
            <w:hideMark/>
          </w:tcPr>
          <w:p w14:paraId="1D065A9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3 (partial diversification)</w:t>
            </w:r>
          </w:p>
        </w:tc>
        <w:tc>
          <w:tcPr>
            <w:tcW w:w="0" w:type="auto"/>
            <w:hideMark/>
          </w:tcPr>
          <w:p w14:paraId="17CD792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Low–moderate (single external source)</w:t>
            </w:r>
          </w:p>
        </w:tc>
        <w:tc>
          <w:tcPr>
            <w:tcW w:w="0" w:type="auto"/>
            <w:hideMark/>
          </w:tcPr>
          <w:p w14:paraId="40AE303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Improved 2031+ if Yoyo-Yolanda reaches FID and schedule holds</w:t>
            </w:r>
          </w:p>
        </w:tc>
        <w:tc>
          <w:tcPr>
            <w:tcW w:w="0" w:type="auto"/>
            <w:hideMark/>
          </w:tcPr>
          <w:p w14:paraId="757BFC9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Moderate — concentrated in one unresolved project</w:t>
            </w:r>
          </w:p>
        </w:tc>
        <w:tc>
          <w:tcPr>
            <w:tcW w:w="0" w:type="auto"/>
            <w:hideMark/>
          </w:tcPr>
          <w:p w14:paraId="3096854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3.0</w:t>
            </w:r>
          </w:p>
        </w:tc>
      </w:tr>
      <w:tr w:rsidR="00CB1515" w:rsidRPr="00CB1515" w14:paraId="30DB0AA5" w14:textId="77777777" w:rsidTr="002B6FBC">
        <w:tc>
          <w:tcPr>
            <w:tcW w:w="0" w:type="auto"/>
            <w:hideMark/>
          </w:tcPr>
          <w:p w14:paraId="45EFD9F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Scenario 3: Domestic + Cameroon + Nigeria</w:t>
            </w:r>
          </w:p>
        </w:tc>
        <w:tc>
          <w:tcPr>
            <w:tcW w:w="0" w:type="auto"/>
            <w:hideMark/>
          </w:tcPr>
          <w:p w14:paraId="1D89938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4 (most diversified)</w:t>
            </w:r>
          </w:p>
        </w:tc>
        <w:tc>
          <w:tcPr>
            <w:tcW w:w="0" w:type="auto"/>
            <w:hideMark/>
          </w:tcPr>
          <w:p w14:paraId="41EE524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Moderate–high</w:t>
            </w:r>
          </w:p>
        </w:tc>
        <w:tc>
          <w:tcPr>
            <w:tcW w:w="0" w:type="auto"/>
            <w:hideMark/>
          </w:tcPr>
          <w:p w14:paraId="6ED64CC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Best potential coverage, but contingent on two unresolved projects reaching FID</w:t>
            </w:r>
          </w:p>
        </w:tc>
        <w:tc>
          <w:tcPr>
            <w:tcW w:w="0" w:type="auto"/>
            <w:hideMark/>
          </w:tcPr>
          <w:p w14:paraId="2E4C148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Moderate-to-high near-term execution risk, lower long-term structural risk if both succeed</w:t>
            </w:r>
          </w:p>
        </w:tc>
        <w:tc>
          <w:tcPr>
            <w:tcW w:w="0" w:type="auto"/>
            <w:hideMark/>
          </w:tcPr>
          <w:p w14:paraId="37BB8B4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3.3 — highest long-run security, highest near-term execution risk</w:t>
            </w:r>
          </w:p>
        </w:tc>
      </w:tr>
    </w:tbl>
    <w:p w14:paraId="48FFF27A" w14:textId="77777777" w:rsidR="002B6FBC" w:rsidRDefault="002B6FBC" w:rsidP="002B6FBC">
      <w:pPr>
        <w:spacing w:line="276" w:lineRule="auto"/>
        <w:jc w:val="both"/>
        <w:rPr>
          <w:rFonts w:ascii="Times New Roman" w:hAnsi="Times New Roman" w:cs="Times New Roman"/>
          <w:b/>
          <w:bCs/>
        </w:rPr>
      </w:pPr>
    </w:p>
    <w:p w14:paraId="5E342C57" w14:textId="6C09F02A"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lastRenderedPageBreak/>
        <w:t>Interpretation:</w:t>
      </w:r>
      <w:r w:rsidRPr="00CB1515">
        <w:rPr>
          <w:rFonts w:ascii="Times New Roman" w:hAnsi="Times New Roman" w:cs="Times New Roman"/>
        </w:rPr>
        <w:t xml:space="preserve"> diversification genuinely improves long-run feedstock security, but only once the underlying projects are actually sanctioned and built in the interim, pursuing multiple simultaneous cross-border projects concentrates </w:t>
      </w:r>
      <w:r w:rsidRPr="00CB1515">
        <w:rPr>
          <w:rFonts w:ascii="Times New Roman" w:hAnsi="Times New Roman" w:cs="Times New Roman"/>
          <w:i/>
          <w:iCs/>
        </w:rPr>
        <w:t>execution</w:t>
      </w:r>
      <w:r w:rsidRPr="00CB1515">
        <w:rPr>
          <w:rFonts w:ascii="Times New Roman" w:hAnsi="Times New Roman" w:cs="Times New Roman"/>
        </w:rPr>
        <w:t xml:space="preserve"> risk even as it reduces </w:t>
      </w:r>
      <w:r w:rsidRPr="00CB1515">
        <w:rPr>
          <w:rFonts w:ascii="Times New Roman" w:hAnsi="Times New Roman" w:cs="Times New Roman"/>
          <w:i/>
          <w:iCs/>
        </w:rPr>
        <w:t>structural</w:t>
      </w:r>
      <w:r w:rsidRPr="00CB1515">
        <w:rPr>
          <w:rFonts w:ascii="Times New Roman" w:hAnsi="Times New Roman" w:cs="Times New Roman"/>
        </w:rPr>
        <w:t xml:space="preserve"> risk. This tension is central to the strategic choice in Section 16.</w:t>
      </w:r>
    </w:p>
    <w:p w14:paraId="1295DBA0" w14:textId="544F64FB" w:rsidR="00CB1515" w:rsidRPr="00CB1515" w:rsidRDefault="00CB1515" w:rsidP="002B6FBC">
      <w:pPr>
        <w:spacing w:line="276" w:lineRule="auto"/>
        <w:jc w:val="both"/>
        <w:rPr>
          <w:rFonts w:ascii="Times New Roman" w:hAnsi="Times New Roman" w:cs="Times New Roman"/>
        </w:rPr>
      </w:pPr>
    </w:p>
    <w:p w14:paraId="1A1750AF"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14. Competition for Regional Gas</w:t>
      </w:r>
    </w:p>
    <w:tbl>
      <w:tblPr>
        <w:tblStyle w:val="TableGrid"/>
        <w:tblW w:w="0" w:type="auto"/>
        <w:tblLook w:val="04A0" w:firstRow="1" w:lastRow="0" w:firstColumn="1" w:lastColumn="0" w:noHBand="0" w:noVBand="1"/>
      </w:tblPr>
      <w:tblGrid>
        <w:gridCol w:w="2483"/>
        <w:gridCol w:w="3623"/>
        <w:gridCol w:w="3244"/>
      </w:tblGrid>
      <w:tr w:rsidR="00CB1515" w:rsidRPr="00CB1515" w14:paraId="07503552" w14:textId="77777777" w:rsidTr="002B6FBC">
        <w:tc>
          <w:tcPr>
            <w:tcW w:w="0" w:type="auto"/>
            <w:hideMark/>
          </w:tcPr>
          <w:p w14:paraId="0B7F0EF6"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Alternative Use</w:t>
            </w:r>
          </w:p>
        </w:tc>
        <w:tc>
          <w:tcPr>
            <w:tcW w:w="0" w:type="auto"/>
            <w:hideMark/>
          </w:tcPr>
          <w:p w14:paraId="246DAE7D"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Nature of Competition for the Same Gas</w:t>
            </w:r>
          </w:p>
        </w:tc>
        <w:tc>
          <w:tcPr>
            <w:tcW w:w="0" w:type="auto"/>
            <w:hideMark/>
          </w:tcPr>
          <w:p w14:paraId="1ECBB0F4"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Assessment vs. Punta Europa LNG</w:t>
            </w:r>
          </w:p>
        </w:tc>
      </w:tr>
      <w:tr w:rsidR="00CB1515" w:rsidRPr="00CB1515" w14:paraId="2A946318" w14:textId="77777777" w:rsidTr="002B6FBC">
        <w:tc>
          <w:tcPr>
            <w:tcW w:w="0" w:type="auto"/>
            <w:hideMark/>
          </w:tcPr>
          <w:p w14:paraId="2B1A328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Domestic power generation (Cameroon, Nigeria)</w:t>
            </w:r>
          </w:p>
        </w:tc>
        <w:tc>
          <w:tcPr>
            <w:tcW w:w="0" w:type="auto"/>
            <w:hideMark/>
          </w:tcPr>
          <w:p w14:paraId="27103CA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Politically </w:t>
            </w:r>
            <w:proofErr w:type="spellStart"/>
            <w:r w:rsidRPr="00CB1515">
              <w:rPr>
                <w:rFonts w:ascii="Times New Roman" w:hAnsi="Times New Roman" w:cs="Times New Roman"/>
                <w:sz w:val="22"/>
                <w:szCs w:val="22"/>
              </w:rPr>
              <w:t>prioritised</w:t>
            </w:r>
            <w:proofErr w:type="spellEnd"/>
            <w:r w:rsidRPr="00CB1515">
              <w:rPr>
                <w:rFonts w:ascii="Times New Roman" w:hAnsi="Times New Roman" w:cs="Times New Roman"/>
                <w:sz w:val="22"/>
                <w:szCs w:val="22"/>
              </w:rPr>
              <w:t xml:space="preserve"> in both countries given electrification deficits; gas earmarked for domestic power typically commands policy priority over export</w:t>
            </w:r>
          </w:p>
        </w:tc>
        <w:tc>
          <w:tcPr>
            <w:tcW w:w="0" w:type="auto"/>
            <w:hideMark/>
          </w:tcPr>
          <w:p w14:paraId="34F4B36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Likely to claim a share of Nigerian and Cameroonian gas ahead of export commitments in some scenarios, particularly for Nigeria given its Decade of Gas domestic-supply obligations</w:t>
            </w:r>
          </w:p>
        </w:tc>
      </w:tr>
      <w:tr w:rsidR="00CB1515" w:rsidRPr="00CB1515" w14:paraId="79B1380E" w14:textId="77777777" w:rsidTr="002B6FBC">
        <w:tc>
          <w:tcPr>
            <w:tcW w:w="0" w:type="auto"/>
            <w:hideMark/>
          </w:tcPr>
          <w:p w14:paraId="19AA6B4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Industrial demand (</w:t>
            </w:r>
            <w:proofErr w:type="spellStart"/>
            <w:r w:rsidRPr="00CB1515">
              <w:rPr>
                <w:rFonts w:ascii="Times New Roman" w:hAnsi="Times New Roman" w:cs="Times New Roman"/>
                <w:sz w:val="22"/>
                <w:szCs w:val="22"/>
              </w:rPr>
              <w:t>fertiliser</w:t>
            </w:r>
            <w:proofErr w:type="spellEnd"/>
            <w:r w:rsidRPr="00CB1515">
              <w:rPr>
                <w:rFonts w:ascii="Times New Roman" w:hAnsi="Times New Roman" w:cs="Times New Roman"/>
                <w:sz w:val="22"/>
                <w:szCs w:val="22"/>
              </w:rPr>
              <w:t>, methanol, gas-to-power) — Nigeria in particular</w:t>
            </w:r>
          </w:p>
        </w:tc>
        <w:tc>
          <w:tcPr>
            <w:tcW w:w="0" w:type="auto"/>
            <w:hideMark/>
          </w:tcPr>
          <w:p w14:paraId="39E281A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Nigeria has an established domestic gas-to-industry policy framework and existing </w:t>
            </w:r>
            <w:proofErr w:type="spellStart"/>
            <w:r w:rsidRPr="00CB1515">
              <w:rPr>
                <w:rFonts w:ascii="Times New Roman" w:hAnsi="Times New Roman" w:cs="Times New Roman"/>
                <w:sz w:val="22"/>
                <w:szCs w:val="22"/>
              </w:rPr>
              <w:t>fertiliser</w:t>
            </w:r>
            <w:proofErr w:type="spellEnd"/>
            <w:r w:rsidRPr="00CB1515">
              <w:rPr>
                <w:rFonts w:ascii="Times New Roman" w:hAnsi="Times New Roman" w:cs="Times New Roman"/>
                <w:sz w:val="22"/>
                <w:szCs w:val="22"/>
              </w:rPr>
              <w:t>/methanol capacity competing for feedstock</w:t>
            </w:r>
          </w:p>
        </w:tc>
        <w:tc>
          <w:tcPr>
            <w:tcW w:w="0" w:type="auto"/>
            <w:hideMark/>
          </w:tcPr>
          <w:p w14:paraId="419484A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Moderate competing pull; Nigeria's stranded/flared gas (much of the resource base cited for the EG pipeline) is less likely to be contested by existing industrial off-takers, which somewhat </w:t>
            </w:r>
            <w:proofErr w:type="spellStart"/>
            <w:r w:rsidRPr="00CB1515">
              <w:rPr>
                <w:rFonts w:ascii="Times New Roman" w:hAnsi="Times New Roman" w:cs="Times New Roman"/>
                <w:sz w:val="22"/>
                <w:szCs w:val="22"/>
              </w:rPr>
              <w:t>favours</w:t>
            </w:r>
            <w:proofErr w:type="spellEnd"/>
            <w:r w:rsidRPr="00CB1515">
              <w:rPr>
                <w:rFonts w:ascii="Times New Roman" w:hAnsi="Times New Roman" w:cs="Times New Roman"/>
                <w:sz w:val="22"/>
                <w:szCs w:val="22"/>
              </w:rPr>
              <w:t xml:space="preserve"> the EG option for genuinely stranded volumes</w:t>
            </w:r>
          </w:p>
        </w:tc>
      </w:tr>
      <w:tr w:rsidR="00CB1515" w:rsidRPr="00CB1515" w14:paraId="54F35426" w14:textId="77777777" w:rsidTr="002B6FBC">
        <w:tc>
          <w:tcPr>
            <w:tcW w:w="0" w:type="auto"/>
            <w:hideMark/>
          </w:tcPr>
          <w:p w14:paraId="1EC05EE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Competing LNG/export projects (Nigeria's NLNG, other West African LNG)</w:t>
            </w:r>
          </w:p>
        </w:tc>
        <w:tc>
          <w:tcPr>
            <w:tcW w:w="0" w:type="auto"/>
            <w:hideMark/>
          </w:tcPr>
          <w:p w14:paraId="5506B56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Nigeria's own NLNG facility (Bonny Island) and broader domestic gas </w:t>
            </w:r>
            <w:proofErr w:type="spellStart"/>
            <w:r w:rsidRPr="00CB1515">
              <w:rPr>
                <w:rFonts w:ascii="Times New Roman" w:hAnsi="Times New Roman" w:cs="Times New Roman"/>
                <w:sz w:val="22"/>
                <w:szCs w:val="22"/>
              </w:rPr>
              <w:t>monetisation</w:t>
            </w:r>
            <w:proofErr w:type="spellEnd"/>
            <w:r w:rsidRPr="00CB1515">
              <w:rPr>
                <w:rFonts w:ascii="Times New Roman" w:hAnsi="Times New Roman" w:cs="Times New Roman"/>
                <w:sz w:val="22"/>
                <w:szCs w:val="22"/>
              </w:rPr>
              <w:t xml:space="preserve"> priorities compete directly for the same upstream gas that could otherwise flow to EG</w:t>
            </w:r>
          </w:p>
        </w:tc>
        <w:tc>
          <w:tcPr>
            <w:tcW w:w="0" w:type="auto"/>
            <w:hideMark/>
          </w:tcPr>
          <w:p w14:paraId="7D698A8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Direct competition — Nigerian gas earmarked for EG export must be genuinely surplus to NLNG feedstock and domestic needs</w:t>
            </w:r>
          </w:p>
        </w:tc>
      </w:tr>
      <w:tr w:rsidR="00CB1515" w:rsidRPr="00CB1515" w14:paraId="6524A0D3" w14:textId="77777777" w:rsidTr="002B6FBC">
        <w:tc>
          <w:tcPr>
            <w:tcW w:w="0" w:type="auto"/>
            <w:hideMark/>
          </w:tcPr>
          <w:p w14:paraId="15F0153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Regional pipeline exports (West African Gas Pipeline, prospective Nigeria–Morocco/African Atlantic Gas Pipeline)</w:t>
            </w:r>
          </w:p>
        </w:tc>
        <w:tc>
          <w:tcPr>
            <w:tcW w:w="0" w:type="auto"/>
            <w:hideMark/>
          </w:tcPr>
          <w:p w14:paraId="3669B50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The proposed 5,660–6,900 km, 30 </w:t>
            </w:r>
            <w:proofErr w:type="spellStart"/>
            <w:r w:rsidRPr="00CB1515">
              <w:rPr>
                <w:rFonts w:ascii="Times New Roman" w:hAnsi="Times New Roman" w:cs="Times New Roman"/>
                <w:sz w:val="22"/>
                <w:szCs w:val="22"/>
              </w:rPr>
              <w:t>bcm</w:t>
            </w:r>
            <w:proofErr w:type="spellEnd"/>
            <w:r w:rsidRPr="00CB1515">
              <w:rPr>
                <w:rFonts w:ascii="Times New Roman" w:hAnsi="Times New Roman" w:cs="Times New Roman"/>
                <w:sz w:val="22"/>
                <w:szCs w:val="22"/>
              </w:rPr>
              <w:t>/yr Nigeria–Morocco pipeline would, if built, compete for the same category of "surplus" Nigerian gas, though its 2031+ target start and Atlantic-coast routing make near-term competition with the EG pipeline limited</w:t>
            </w:r>
          </w:p>
        </w:tc>
        <w:tc>
          <w:tcPr>
            <w:tcW w:w="0" w:type="auto"/>
            <w:hideMark/>
          </w:tcPr>
          <w:p w14:paraId="1053425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 near-term competition (different timeline and geography), moderate longer-term competition for capital and political attention within Nigeria's gas strategy</w:t>
            </w:r>
          </w:p>
        </w:tc>
      </w:tr>
      <w:tr w:rsidR="00CB1515" w:rsidRPr="00CB1515" w14:paraId="2D7D5D54" w14:textId="77777777" w:rsidTr="002B6FBC">
        <w:tc>
          <w:tcPr>
            <w:tcW w:w="0" w:type="auto"/>
            <w:hideMark/>
          </w:tcPr>
          <w:p w14:paraId="493AB8B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Other gas </w:t>
            </w:r>
            <w:proofErr w:type="spellStart"/>
            <w:r w:rsidRPr="00CB1515">
              <w:rPr>
                <w:rFonts w:ascii="Times New Roman" w:hAnsi="Times New Roman" w:cs="Times New Roman"/>
                <w:sz w:val="22"/>
                <w:szCs w:val="22"/>
              </w:rPr>
              <w:t>monetisation</w:t>
            </w:r>
            <w:proofErr w:type="spellEnd"/>
            <w:r w:rsidRPr="00CB1515">
              <w:rPr>
                <w:rFonts w:ascii="Times New Roman" w:hAnsi="Times New Roman" w:cs="Times New Roman"/>
                <w:sz w:val="22"/>
                <w:szCs w:val="22"/>
              </w:rPr>
              <w:t xml:space="preserve"> (Cameroon LNG import/export ambitions, </w:t>
            </w:r>
            <w:r w:rsidRPr="00CB1515">
              <w:rPr>
                <w:rFonts w:ascii="Times New Roman" w:hAnsi="Times New Roman" w:cs="Times New Roman"/>
                <w:sz w:val="22"/>
                <w:szCs w:val="22"/>
              </w:rPr>
              <w:lastRenderedPageBreak/>
              <w:t>domestic Cameroonian gas-to-power)</w:t>
            </w:r>
          </w:p>
        </w:tc>
        <w:tc>
          <w:tcPr>
            <w:tcW w:w="0" w:type="auto"/>
            <w:hideMark/>
          </w:tcPr>
          <w:p w14:paraId="6CCCF3D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Cameroon's own energy security needs may compete with the export-oriented Yoyo share of Yoyo-Yolanda</w:t>
            </w:r>
          </w:p>
        </w:tc>
        <w:tc>
          <w:tcPr>
            <w:tcW w:w="0" w:type="auto"/>
            <w:hideMark/>
          </w:tcPr>
          <w:p w14:paraId="0DB32AC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Real but secondary, given Yoyo-Yolanda's development plan is </w:t>
            </w:r>
            <w:proofErr w:type="spellStart"/>
            <w:r w:rsidRPr="00CB1515">
              <w:rPr>
                <w:rFonts w:ascii="Times New Roman" w:hAnsi="Times New Roman" w:cs="Times New Roman"/>
                <w:sz w:val="22"/>
                <w:szCs w:val="22"/>
              </w:rPr>
              <w:t>centred</w:t>
            </w:r>
            <w:proofErr w:type="spellEnd"/>
            <w:r w:rsidRPr="00CB1515">
              <w:rPr>
                <w:rFonts w:ascii="Times New Roman" w:hAnsi="Times New Roman" w:cs="Times New Roman"/>
                <w:sz w:val="22"/>
                <w:szCs w:val="22"/>
              </w:rPr>
              <w:t xml:space="preserve"> on the Cameroon-side </w:t>
            </w:r>
            <w:r w:rsidRPr="00CB1515">
              <w:rPr>
                <w:rFonts w:ascii="Times New Roman" w:hAnsi="Times New Roman" w:cs="Times New Roman"/>
                <w:sz w:val="22"/>
                <w:szCs w:val="22"/>
              </w:rPr>
              <w:lastRenderedPageBreak/>
              <w:t>Yoyo block with EG receiving a minority (16%) share</w:t>
            </w:r>
          </w:p>
        </w:tc>
      </w:tr>
    </w:tbl>
    <w:p w14:paraId="7144D34E" w14:textId="77777777" w:rsidR="002B6FBC" w:rsidRDefault="002B6FBC" w:rsidP="002B6FBC">
      <w:pPr>
        <w:spacing w:line="276" w:lineRule="auto"/>
        <w:jc w:val="both"/>
        <w:rPr>
          <w:rFonts w:ascii="Times New Roman" w:hAnsi="Times New Roman" w:cs="Times New Roman"/>
          <w:b/>
          <w:bCs/>
        </w:rPr>
      </w:pPr>
    </w:p>
    <w:p w14:paraId="3D72201B" w14:textId="34490B57" w:rsidR="00CB1515" w:rsidRPr="00CB1515" w:rsidRDefault="00CB1515" w:rsidP="002B6FBC">
      <w:pPr>
        <w:spacing w:line="276" w:lineRule="auto"/>
        <w:jc w:val="both"/>
        <w:rPr>
          <w:rFonts w:ascii="Times New Roman" w:hAnsi="Times New Roman" w:cs="Times New Roman"/>
        </w:rPr>
      </w:pPr>
      <w:r w:rsidRPr="00CB1515">
        <w:rPr>
          <w:rFonts w:ascii="Times New Roman" w:hAnsi="Times New Roman" w:cs="Times New Roman"/>
          <w:b/>
          <w:bCs/>
        </w:rPr>
        <w:t>Commercial incentive assessment:</w:t>
      </w:r>
      <w:r w:rsidRPr="00CB1515">
        <w:rPr>
          <w:rFonts w:ascii="Times New Roman" w:hAnsi="Times New Roman" w:cs="Times New Roman"/>
        </w:rPr>
        <w:t xml:space="preserve"> for Nigeria, gas producers likely have a stronger </w:t>
      </w:r>
      <w:r w:rsidRPr="00CB1515">
        <w:rPr>
          <w:rFonts w:ascii="Times New Roman" w:hAnsi="Times New Roman" w:cs="Times New Roman"/>
          <w:i/>
          <w:iCs/>
        </w:rPr>
        <w:t>near-term</w:t>
      </w:r>
      <w:r w:rsidRPr="00CB1515">
        <w:rPr>
          <w:rFonts w:ascii="Times New Roman" w:hAnsi="Times New Roman" w:cs="Times New Roman"/>
        </w:rPr>
        <w:t xml:space="preserve"> commercial incentive to </w:t>
      </w:r>
      <w:proofErr w:type="spellStart"/>
      <w:r w:rsidRPr="00CB1515">
        <w:rPr>
          <w:rFonts w:ascii="Times New Roman" w:hAnsi="Times New Roman" w:cs="Times New Roman"/>
        </w:rPr>
        <w:t>monetise</w:t>
      </w:r>
      <w:proofErr w:type="spellEnd"/>
      <w:r w:rsidRPr="00CB1515">
        <w:rPr>
          <w:rFonts w:ascii="Times New Roman" w:hAnsi="Times New Roman" w:cs="Times New Roman"/>
        </w:rPr>
        <w:t xml:space="preserve"> genuinely stranded/flared associated gas via the EG route (where NLNG or domestic pipeline access is unavailable) than to wait for domestic infrastructure, but a </w:t>
      </w:r>
      <w:r w:rsidRPr="00CB1515">
        <w:rPr>
          <w:rFonts w:ascii="Times New Roman" w:hAnsi="Times New Roman" w:cs="Times New Roman"/>
          <w:i/>
          <w:iCs/>
        </w:rPr>
        <w:t>weaker</w:t>
      </w:r>
      <w:r w:rsidRPr="00CB1515">
        <w:rPr>
          <w:rFonts w:ascii="Times New Roman" w:hAnsi="Times New Roman" w:cs="Times New Roman"/>
        </w:rPr>
        <w:t xml:space="preserve"> incentive where existing NLNG or WAGP access already exists. For Cameroon, the Yoyo-Yolanda development plan itself resolves much of this tension by concentrating infrastructure on the Cameroon-side Yoyo block, meaning EG's Yolanda share is somewhat dependent on Cameroon's own </w:t>
      </w:r>
      <w:proofErr w:type="spellStart"/>
      <w:r w:rsidRPr="00CB1515">
        <w:rPr>
          <w:rFonts w:ascii="Times New Roman" w:hAnsi="Times New Roman" w:cs="Times New Roman"/>
        </w:rPr>
        <w:t>monetisation</w:t>
      </w:r>
      <w:proofErr w:type="spellEnd"/>
      <w:r w:rsidRPr="00CB1515">
        <w:rPr>
          <w:rFonts w:ascii="Times New Roman" w:hAnsi="Times New Roman" w:cs="Times New Roman"/>
        </w:rPr>
        <w:t xml:space="preserve"> choices for the shared reservoir.</w:t>
      </w:r>
    </w:p>
    <w:p w14:paraId="5E467550" w14:textId="589A58AF" w:rsidR="00CB1515" w:rsidRPr="00CB1515" w:rsidRDefault="00CB1515" w:rsidP="002B6FBC">
      <w:pPr>
        <w:spacing w:line="276" w:lineRule="auto"/>
        <w:jc w:val="both"/>
        <w:rPr>
          <w:rFonts w:ascii="Times New Roman" w:hAnsi="Times New Roman" w:cs="Times New Roman"/>
        </w:rPr>
      </w:pPr>
    </w:p>
    <w:p w14:paraId="500F5F2B" w14:textId="77777777" w:rsidR="00CB1515" w:rsidRPr="00CB1515" w:rsidRDefault="00CB1515" w:rsidP="002B6FBC">
      <w:pPr>
        <w:spacing w:line="276" w:lineRule="auto"/>
        <w:jc w:val="both"/>
        <w:rPr>
          <w:rFonts w:ascii="Times New Roman" w:hAnsi="Times New Roman" w:cs="Times New Roman"/>
          <w:b/>
          <w:bCs/>
        </w:rPr>
      </w:pPr>
      <w:r w:rsidRPr="00CB1515">
        <w:rPr>
          <w:rFonts w:ascii="Times New Roman" w:hAnsi="Times New Roman" w:cs="Times New Roman"/>
          <w:b/>
          <w:bCs/>
        </w:rPr>
        <w:t>15. Risk Assessment</w:t>
      </w:r>
    </w:p>
    <w:tbl>
      <w:tblPr>
        <w:tblStyle w:val="TableGrid"/>
        <w:tblW w:w="0" w:type="auto"/>
        <w:tblLook w:val="04A0" w:firstRow="1" w:lastRow="0" w:firstColumn="1" w:lastColumn="0" w:noHBand="0" w:noVBand="1"/>
      </w:tblPr>
      <w:tblGrid>
        <w:gridCol w:w="1945"/>
        <w:gridCol w:w="1676"/>
        <w:gridCol w:w="1035"/>
        <w:gridCol w:w="1084"/>
        <w:gridCol w:w="1843"/>
        <w:gridCol w:w="1767"/>
      </w:tblGrid>
      <w:tr w:rsidR="00CB1515" w:rsidRPr="00CB1515" w14:paraId="1804E0A3" w14:textId="77777777" w:rsidTr="002B6FBC">
        <w:tc>
          <w:tcPr>
            <w:tcW w:w="0" w:type="auto"/>
            <w:hideMark/>
          </w:tcPr>
          <w:p w14:paraId="78C2DE0B"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Risk</w:t>
            </w:r>
          </w:p>
        </w:tc>
        <w:tc>
          <w:tcPr>
            <w:tcW w:w="0" w:type="auto"/>
            <w:hideMark/>
          </w:tcPr>
          <w:p w14:paraId="66CD3BA3"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Probability</w:t>
            </w:r>
          </w:p>
        </w:tc>
        <w:tc>
          <w:tcPr>
            <w:tcW w:w="0" w:type="auto"/>
            <w:hideMark/>
          </w:tcPr>
          <w:p w14:paraId="6A75CEEE"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Impact</w:t>
            </w:r>
          </w:p>
        </w:tc>
        <w:tc>
          <w:tcPr>
            <w:tcW w:w="0" w:type="auto"/>
            <w:hideMark/>
          </w:tcPr>
          <w:p w14:paraId="44905DD2"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Risk Rating</w:t>
            </w:r>
          </w:p>
        </w:tc>
        <w:tc>
          <w:tcPr>
            <w:tcW w:w="0" w:type="auto"/>
            <w:hideMark/>
          </w:tcPr>
          <w:p w14:paraId="716C2790"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Potential Effect</w:t>
            </w:r>
          </w:p>
        </w:tc>
        <w:tc>
          <w:tcPr>
            <w:tcW w:w="0" w:type="auto"/>
            <w:hideMark/>
          </w:tcPr>
          <w:p w14:paraId="5D36BD31" w14:textId="77777777" w:rsidR="00CB1515" w:rsidRPr="00CB1515" w:rsidRDefault="00CB1515" w:rsidP="002B6FBC">
            <w:pPr>
              <w:spacing w:after="160" w:line="276" w:lineRule="auto"/>
              <w:jc w:val="both"/>
              <w:rPr>
                <w:rFonts w:ascii="Times New Roman" w:hAnsi="Times New Roman" w:cs="Times New Roman"/>
                <w:b/>
                <w:bCs/>
                <w:sz w:val="22"/>
                <w:szCs w:val="22"/>
              </w:rPr>
            </w:pPr>
            <w:r w:rsidRPr="00CB1515">
              <w:rPr>
                <w:rFonts w:ascii="Times New Roman" w:hAnsi="Times New Roman" w:cs="Times New Roman"/>
                <w:b/>
                <w:bCs/>
                <w:sz w:val="22"/>
                <w:szCs w:val="22"/>
              </w:rPr>
              <w:t>Mitigation</w:t>
            </w:r>
          </w:p>
        </w:tc>
      </w:tr>
      <w:tr w:rsidR="00CB1515" w:rsidRPr="00CB1515" w14:paraId="5CB4C2B5" w14:textId="77777777" w:rsidTr="002B6FBC">
        <w:tc>
          <w:tcPr>
            <w:tcW w:w="0" w:type="auto"/>
            <w:hideMark/>
          </w:tcPr>
          <w:p w14:paraId="0E2A8CE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Feedstock availability shortfall post-2030 (domestic only)</w:t>
            </w:r>
          </w:p>
        </w:tc>
        <w:tc>
          <w:tcPr>
            <w:tcW w:w="0" w:type="auto"/>
            <w:hideMark/>
          </w:tcPr>
          <w:p w14:paraId="116C62E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Medium-High</w:t>
            </w:r>
          </w:p>
        </w:tc>
        <w:tc>
          <w:tcPr>
            <w:tcW w:w="0" w:type="auto"/>
            <w:hideMark/>
          </w:tcPr>
          <w:p w14:paraId="061AB10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w:t>
            </w:r>
          </w:p>
        </w:tc>
        <w:tc>
          <w:tcPr>
            <w:tcW w:w="0" w:type="auto"/>
            <w:hideMark/>
          </w:tcPr>
          <w:p w14:paraId="4906181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w:t>
            </w:r>
          </w:p>
        </w:tc>
        <w:tc>
          <w:tcPr>
            <w:tcW w:w="0" w:type="auto"/>
            <w:hideMark/>
          </w:tcPr>
          <w:p w14:paraId="09D7B75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EG LNG </w:t>
            </w:r>
            <w:proofErr w:type="spellStart"/>
            <w:r w:rsidRPr="00CB1515">
              <w:rPr>
                <w:rFonts w:ascii="Times New Roman" w:hAnsi="Times New Roman" w:cs="Times New Roman"/>
                <w:sz w:val="22"/>
                <w:szCs w:val="22"/>
              </w:rPr>
              <w:t>utilisation</w:t>
            </w:r>
            <w:proofErr w:type="spellEnd"/>
            <w:r w:rsidRPr="00CB1515">
              <w:rPr>
                <w:rFonts w:ascii="Times New Roman" w:hAnsi="Times New Roman" w:cs="Times New Roman"/>
                <w:sz w:val="22"/>
                <w:szCs w:val="22"/>
              </w:rPr>
              <w:t xml:space="preserve"> falls materially, threatening plant economics and government revenue</w:t>
            </w:r>
          </w:p>
        </w:tc>
        <w:tc>
          <w:tcPr>
            <w:tcW w:w="0" w:type="auto"/>
            <w:hideMark/>
          </w:tcPr>
          <w:p w14:paraId="33A1AE9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Accelerate Aseng ramp-up; pursue Alba Tail Gas FID; advance regional options in parallel</w:t>
            </w:r>
          </w:p>
        </w:tc>
      </w:tr>
      <w:tr w:rsidR="00CB1515" w:rsidRPr="00CB1515" w14:paraId="0621D5CD" w14:textId="77777777" w:rsidTr="002B6FBC">
        <w:tc>
          <w:tcPr>
            <w:tcW w:w="0" w:type="auto"/>
            <w:hideMark/>
          </w:tcPr>
          <w:p w14:paraId="1D9E756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Reservoir decline faster than assumed (Alba, Alen)</w:t>
            </w:r>
          </w:p>
        </w:tc>
        <w:tc>
          <w:tcPr>
            <w:tcW w:w="0" w:type="auto"/>
            <w:hideMark/>
          </w:tcPr>
          <w:p w14:paraId="630A5CC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1F96749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w:t>
            </w:r>
          </w:p>
        </w:tc>
        <w:tc>
          <w:tcPr>
            <w:tcW w:w="0" w:type="auto"/>
            <w:hideMark/>
          </w:tcPr>
          <w:p w14:paraId="6A03C26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w:t>
            </w:r>
          </w:p>
        </w:tc>
        <w:tc>
          <w:tcPr>
            <w:tcW w:w="0" w:type="auto"/>
            <w:hideMark/>
          </w:tcPr>
          <w:p w14:paraId="2D4706A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Compresses the "safe" window before regional gas is needed</w:t>
            </w:r>
          </w:p>
        </w:tc>
        <w:tc>
          <w:tcPr>
            <w:tcW w:w="0" w:type="auto"/>
            <w:hideMark/>
          </w:tcPr>
          <w:p w14:paraId="18D6DE7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Continued infill drilling (already under evaluation per S&amp;P Global reporting); conservative planning assumptions</w:t>
            </w:r>
          </w:p>
        </w:tc>
      </w:tr>
      <w:tr w:rsidR="00CB1515" w:rsidRPr="00CB1515" w14:paraId="4A1F2FC6" w14:textId="77777777" w:rsidTr="002B6FBC">
        <w:tc>
          <w:tcPr>
            <w:tcW w:w="0" w:type="auto"/>
            <w:hideMark/>
          </w:tcPr>
          <w:p w14:paraId="5B13C70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Gas price volatility (wellhead/regional)</w:t>
            </w:r>
          </w:p>
        </w:tc>
        <w:tc>
          <w:tcPr>
            <w:tcW w:w="0" w:type="auto"/>
            <w:hideMark/>
          </w:tcPr>
          <w:p w14:paraId="20C7422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1742314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616A545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Medium</w:t>
            </w:r>
          </w:p>
        </w:tc>
        <w:tc>
          <w:tcPr>
            <w:tcW w:w="0" w:type="auto"/>
            <w:hideMark/>
          </w:tcPr>
          <w:p w14:paraId="4731EFE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Could erode delivered-cost competitiveness of regional gas versus domestic</w:t>
            </w:r>
          </w:p>
        </w:tc>
        <w:tc>
          <w:tcPr>
            <w:tcW w:w="0" w:type="auto"/>
            <w:hideMark/>
          </w:tcPr>
          <w:p w14:paraId="61CE805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Index/formula-based GSAs with floor/ceiling mechanisms</w:t>
            </w:r>
          </w:p>
        </w:tc>
      </w:tr>
      <w:tr w:rsidR="00CB1515" w:rsidRPr="00CB1515" w14:paraId="3AA660D8" w14:textId="77777777" w:rsidTr="002B6FBC">
        <w:tc>
          <w:tcPr>
            <w:tcW w:w="0" w:type="auto"/>
            <w:hideMark/>
          </w:tcPr>
          <w:p w14:paraId="29789D6A"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Pipeline CAPEX overrun </w:t>
            </w:r>
            <w:r w:rsidRPr="00CB1515">
              <w:rPr>
                <w:rFonts w:ascii="Times New Roman" w:hAnsi="Times New Roman" w:cs="Times New Roman"/>
                <w:sz w:val="22"/>
                <w:szCs w:val="22"/>
              </w:rPr>
              <w:lastRenderedPageBreak/>
              <w:t>(Cameroon/Nigeria routes)</w:t>
            </w:r>
          </w:p>
        </w:tc>
        <w:tc>
          <w:tcPr>
            <w:tcW w:w="0" w:type="auto"/>
            <w:hideMark/>
          </w:tcPr>
          <w:p w14:paraId="133BC739"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Medium-High (typical for undefined, pre-</w:t>
            </w:r>
            <w:r w:rsidRPr="00CB1515">
              <w:rPr>
                <w:rFonts w:ascii="Times New Roman" w:hAnsi="Times New Roman" w:cs="Times New Roman"/>
                <w:sz w:val="22"/>
                <w:szCs w:val="22"/>
              </w:rPr>
              <w:lastRenderedPageBreak/>
              <w:t>FEED offshore projects)</w:t>
            </w:r>
          </w:p>
        </w:tc>
        <w:tc>
          <w:tcPr>
            <w:tcW w:w="0" w:type="auto"/>
            <w:hideMark/>
          </w:tcPr>
          <w:p w14:paraId="775695C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Medium-High</w:t>
            </w:r>
          </w:p>
        </w:tc>
        <w:tc>
          <w:tcPr>
            <w:tcW w:w="0" w:type="auto"/>
            <w:hideMark/>
          </w:tcPr>
          <w:p w14:paraId="4FBC8C0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w:t>
            </w:r>
          </w:p>
        </w:tc>
        <w:tc>
          <w:tcPr>
            <w:tcW w:w="0" w:type="auto"/>
            <w:hideMark/>
          </w:tcPr>
          <w:p w14:paraId="0F54739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Delays FID or worsens </w:t>
            </w:r>
            <w:r w:rsidRPr="00CB1515">
              <w:rPr>
                <w:rFonts w:ascii="Times New Roman" w:hAnsi="Times New Roman" w:cs="Times New Roman"/>
                <w:sz w:val="22"/>
                <w:szCs w:val="22"/>
              </w:rPr>
              <w:lastRenderedPageBreak/>
              <w:t>delivered-cost economics</w:t>
            </w:r>
          </w:p>
        </w:tc>
        <w:tc>
          <w:tcPr>
            <w:tcW w:w="0" w:type="auto"/>
            <w:hideMark/>
          </w:tcPr>
          <w:p w14:paraId="35E2035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 xml:space="preserve">Phased FEED, competitive EPC tendering, ship-or-pay </w:t>
            </w:r>
            <w:r w:rsidRPr="00CB1515">
              <w:rPr>
                <w:rFonts w:ascii="Times New Roman" w:hAnsi="Times New Roman" w:cs="Times New Roman"/>
                <w:sz w:val="22"/>
                <w:szCs w:val="22"/>
              </w:rPr>
              <w:lastRenderedPageBreak/>
              <w:t>structuring to de-risk sponsor economics</w:t>
            </w:r>
          </w:p>
        </w:tc>
      </w:tr>
      <w:tr w:rsidR="00CB1515" w:rsidRPr="00CB1515" w14:paraId="18652A66" w14:textId="77777777" w:rsidTr="002B6FBC">
        <w:tc>
          <w:tcPr>
            <w:tcW w:w="0" w:type="auto"/>
            <w:hideMark/>
          </w:tcPr>
          <w:p w14:paraId="1BDE023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Infrastructure delays (either cross-border route)</w:t>
            </w:r>
          </w:p>
        </w:tc>
        <w:tc>
          <w:tcPr>
            <w:tcW w:w="0" w:type="auto"/>
            <w:hideMark/>
          </w:tcPr>
          <w:p w14:paraId="2F07668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 (given current pre-FID/framework-only status)</w:t>
            </w:r>
          </w:p>
        </w:tc>
        <w:tc>
          <w:tcPr>
            <w:tcW w:w="0" w:type="auto"/>
            <w:hideMark/>
          </w:tcPr>
          <w:p w14:paraId="49F4F028"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54AE0153"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w:t>
            </w:r>
          </w:p>
        </w:tc>
        <w:tc>
          <w:tcPr>
            <w:tcW w:w="0" w:type="auto"/>
            <w:hideMark/>
          </w:tcPr>
          <w:p w14:paraId="3275C25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Extends the feedstock-gap window identified in Section 1.3</w:t>
            </w:r>
          </w:p>
        </w:tc>
        <w:tc>
          <w:tcPr>
            <w:tcW w:w="0" w:type="auto"/>
            <w:hideMark/>
          </w:tcPr>
          <w:p w14:paraId="6AAD60B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Realistic scheduling; do not treat regional gas as a near-term (pre-2030) solution in planning</w:t>
            </w:r>
          </w:p>
        </w:tc>
      </w:tr>
      <w:tr w:rsidR="00CB1515" w:rsidRPr="00CB1515" w14:paraId="46843839" w14:textId="77777777" w:rsidTr="002B6FBC">
        <w:tc>
          <w:tcPr>
            <w:tcW w:w="0" w:type="auto"/>
            <w:hideMark/>
          </w:tcPr>
          <w:p w14:paraId="7C18489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Cross-border regulatory risk (tariffs, access, measurement)</w:t>
            </w:r>
          </w:p>
        </w:tc>
        <w:tc>
          <w:tcPr>
            <w:tcW w:w="0" w:type="auto"/>
            <w:hideMark/>
          </w:tcPr>
          <w:p w14:paraId="4AA4E7C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Medium-High (regime not yet established)</w:t>
            </w:r>
          </w:p>
        </w:tc>
        <w:tc>
          <w:tcPr>
            <w:tcW w:w="0" w:type="auto"/>
            <w:hideMark/>
          </w:tcPr>
          <w:p w14:paraId="335B7B0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578AAF6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Medium-High</w:t>
            </w:r>
          </w:p>
        </w:tc>
        <w:tc>
          <w:tcPr>
            <w:tcW w:w="0" w:type="auto"/>
            <w:hideMark/>
          </w:tcPr>
          <w:p w14:paraId="7E78CF2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Could stall commercial close even after technical/FID milestones</w:t>
            </w:r>
          </w:p>
        </w:tc>
        <w:tc>
          <w:tcPr>
            <w:tcW w:w="0" w:type="auto"/>
            <w:hideMark/>
          </w:tcPr>
          <w:p w14:paraId="7BB0BE5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Establish EG third-party access and tariff regulations proactively, ahead of need</w:t>
            </w:r>
          </w:p>
        </w:tc>
      </w:tr>
      <w:tr w:rsidR="00CB1515" w:rsidRPr="00CB1515" w14:paraId="0C624E57" w14:textId="77777777" w:rsidTr="002B6FBC">
        <w:tc>
          <w:tcPr>
            <w:tcW w:w="0" w:type="auto"/>
            <w:hideMark/>
          </w:tcPr>
          <w:p w14:paraId="596DCA5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Political risk (Nigeria — Niger Delta security; Cameroon — domestic politics)</w:t>
            </w:r>
          </w:p>
        </w:tc>
        <w:tc>
          <w:tcPr>
            <w:tcW w:w="0" w:type="auto"/>
            <w:hideMark/>
          </w:tcPr>
          <w:p w14:paraId="63F800B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3C410EA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Medium-High</w:t>
            </w:r>
          </w:p>
        </w:tc>
        <w:tc>
          <w:tcPr>
            <w:tcW w:w="0" w:type="auto"/>
            <w:hideMark/>
          </w:tcPr>
          <w:p w14:paraId="26DCEFA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Medium-High</w:t>
            </w:r>
          </w:p>
        </w:tc>
        <w:tc>
          <w:tcPr>
            <w:tcW w:w="0" w:type="auto"/>
            <w:hideMark/>
          </w:tcPr>
          <w:p w14:paraId="04E25CE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Niger Delta security incidents have historically disrupted gas infrastructure projects; Cameroon-side project execution depends on continued political alignment</w:t>
            </w:r>
          </w:p>
        </w:tc>
        <w:tc>
          <w:tcPr>
            <w:tcW w:w="0" w:type="auto"/>
            <w:hideMark/>
          </w:tcPr>
          <w:p w14:paraId="7B12696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Route selection/security assessment; continued high-level bilateral engagement (evidenced by the February 2026 ministerial-level signing)</w:t>
            </w:r>
          </w:p>
        </w:tc>
      </w:tr>
      <w:tr w:rsidR="00CB1515" w:rsidRPr="00CB1515" w14:paraId="040B759B" w14:textId="77777777" w:rsidTr="002B6FBC">
        <w:tc>
          <w:tcPr>
            <w:tcW w:w="0" w:type="auto"/>
            <w:hideMark/>
          </w:tcPr>
          <w:p w14:paraId="326422D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Gas quality incompatibility</w:t>
            </w:r>
          </w:p>
        </w:tc>
        <w:tc>
          <w:tcPr>
            <w:tcW w:w="0" w:type="auto"/>
            <w:hideMark/>
          </w:tcPr>
          <w:p w14:paraId="4698832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Low-Medium (no adverse indication from basin analogues, but unconfirmed)</w:t>
            </w:r>
          </w:p>
        </w:tc>
        <w:tc>
          <w:tcPr>
            <w:tcW w:w="0" w:type="auto"/>
            <w:hideMark/>
          </w:tcPr>
          <w:p w14:paraId="63EBE666"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6BF2CD97"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Medium</w:t>
            </w:r>
          </w:p>
        </w:tc>
        <w:tc>
          <w:tcPr>
            <w:tcW w:w="0" w:type="auto"/>
            <w:hideMark/>
          </w:tcPr>
          <w:p w14:paraId="5CC6015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Could require unplanned treatment capex or limit blending ratios</w:t>
            </w:r>
          </w:p>
        </w:tc>
        <w:tc>
          <w:tcPr>
            <w:tcW w:w="0" w:type="auto"/>
            <w:hideMark/>
          </w:tcPr>
          <w:p w14:paraId="332DEDE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Commission field-specific gas assays before commercial commitment</w:t>
            </w:r>
          </w:p>
        </w:tc>
      </w:tr>
      <w:tr w:rsidR="00CB1515" w:rsidRPr="00CB1515" w14:paraId="7A3E46E9" w14:textId="77777777" w:rsidTr="002B6FBC">
        <w:tc>
          <w:tcPr>
            <w:tcW w:w="0" w:type="auto"/>
            <w:hideMark/>
          </w:tcPr>
          <w:p w14:paraId="46AB7CD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LNG price volatility (JKM/TTF cycle)</w:t>
            </w:r>
          </w:p>
        </w:tc>
        <w:tc>
          <w:tcPr>
            <w:tcW w:w="0" w:type="auto"/>
            <w:hideMark/>
          </w:tcPr>
          <w:p w14:paraId="3BE24E61"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Medium-High (inherent to LNG markets; current prices are cyclically elevated)</w:t>
            </w:r>
          </w:p>
        </w:tc>
        <w:tc>
          <w:tcPr>
            <w:tcW w:w="0" w:type="auto"/>
            <w:hideMark/>
          </w:tcPr>
          <w:p w14:paraId="73E5B12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w:t>
            </w:r>
          </w:p>
        </w:tc>
        <w:tc>
          <w:tcPr>
            <w:tcW w:w="0" w:type="auto"/>
            <w:hideMark/>
          </w:tcPr>
          <w:p w14:paraId="4DC953A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w:t>
            </w:r>
          </w:p>
        </w:tc>
        <w:tc>
          <w:tcPr>
            <w:tcW w:w="0" w:type="auto"/>
            <w:hideMark/>
          </w:tcPr>
          <w:p w14:paraId="3F9AC92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 reversion to $10–14/MMBtu range would compress margins available to absorb higher-cost regional gas</w:t>
            </w:r>
          </w:p>
        </w:tc>
        <w:tc>
          <w:tcPr>
            <w:tcW w:w="0" w:type="auto"/>
            <w:hideMark/>
          </w:tcPr>
          <w:p w14:paraId="3024438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 xml:space="preserve">Structure regional GSAs with cost-reflective, not fixed, pricing; stress-test economics at </w:t>
            </w:r>
            <w:r w:rsidRPr="00CB1515">
              <w:rPr>
                <w:rFonts w:ascii="Times New Roman" w:hAnsi="Times New Roman" w:cs="Times New Roman"/>
                <w:sz w:val="22"/>
                <w:szCs w:val="22"/>
              </w:rPr>
              <w:lastRenderedPageBreak/>
              <w:t>lower LNG price scenarios</w:t>
            </w:r>
          </w:p>
        </w:tc>
      </w:tr>
      <w:tr w:rsidR="00CB1515" w:rsidRPr="00CB1515" w14:paraId="2503A39D" w14:textId="77777777" w:rsidTr="002B6FBC">
        <w:tc>
          <w:tcPr>
            <w:tcW w:w="0" w:type="auto"/>
            <w:hideMark/>
          </w:tcPr>
          <w:p w14:paraId="4233487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lastRenderedPageBreak/>
              <w:t>Financing risk (EG-27's $4.5bn, cross-border pipelines)</w:t>
            </w:r>
          </w:p>
        </w:tc>
        <w:tc>
          <w:tcPr>
            <w:tcW w:w="0" w:type="auto"/>
            <w:hideMark/>
          </w:tcPr>
          <w:p w14:paraId="446ECAD4"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Medium-High</w:t>
            </w:r>
          </w:p>
        </w:tc>
        <w:tc>
          <w:tcPr>
            <w:tcW w:w="0" w:type="auto"/>
            <w:hideMark/>
          </w:tcPr>
          <w:p w14:paraId="6967EE3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w:t>
            </w:r>
          </w:p>
        </w:tc>
        <w:tc>
          <w:tcPr>
            <w:tcW w:w="0" w:type="auto"/>
            <w:hideMark/>
          </w:tcPr>
          <w:p w14:paraId="5329E36F"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High</w:t>
            </w:r>
          </w:p>
        </w:tc>
        <w:tc>
          <w:tcPr>
            <w:tcW w:w="0" w:type="auto"/>
            <w:hideMark/>
          </w:tcPr>
          <w:p w14:paraId="0906E90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Could stall the very projects (EG-27, Yoyo-Yolanda pipeline) needed to close the 2031+ gap</w:t>
            </w:r>
          </w:p>
        </w:tc>
        <w:tc>
          <w:tcPr>
            <w:tcW w:w="0" w:type="auto"/>
            <w:hideMark/>
          </w:tcPr>
          <w:p w14:paraId="69275563" w14:textId="77777777" w:rsidR="00CB1515" w:rsidRPr="00CB1515" w:rsidRDefault="00CB1515" w:rsidP="002B6FBC">
            <w:pPr>
              <w:spacing w:after="160" w:line="276" w:lineRule="auto"/>
              <w:jc w:val="both"/>
              <w:rPr>
                <w:rFonts w:ascii="Times New Roman" w:hAnsi="Times New Roman" w:cs="Times New Roman"/>
                <w:sz w:val="22"/>
                <w:szCs w:val="22"/>
              </w:rPr>
            </w:pPr>
            <w:proofErr w:type="spellStart"/>
            <w:r w:rsidRPr="00CB1515">
              <w:rPr>
                <w:rFonts w:ascii="Times New Roman" w:hAnsi="Times New Roman" w:cs="Times New Roman"/>
                <w:sz w:val="22"/>
                <w:szCs w:val="22"/>
              </w:rPr>
              <w:t>Afreximbank</w:t>
            </w:r>
            <w:proofErr w:type="spellEnd"/>
            <w:r w:rsidRPr="00CB1515">
              <w:rPr>
                <w:rFonts w:ascii="Times New Roman" w:hAnsi="Times New Roman" w:cs="Times New Roman"/>
                <w:sz w:val="22"/>
                <w:szCs w:val="22"/>
              </w:rPr>
              <w:t xml:space="preserve"> advisory mandate is a positive early signal; diversify financing sources (DFIs, IOC balance sheets)</w:t>
            </w:r>
          </w:p>
        </w:tc>
      </w:tr>
      <w:tr w:rsidR="00CB1515" w:rsidRPr="00CB1515" w14:paraId="7A492C00" w14:textId="77777777" w:rsidTr="002B6FBC">
        <w:tc>
          <w:tcPr>
            <w:tcW w:w="0" w:type="auto"/>
            <w:hideMark/>
          </w:tcPr>
          <w:p w14:paraId="17A8800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Contract risk (</w:t>
            </w:r>
            <w:proofErr w:type="spellStart"/>
            <w:r w:rsidRPr="00CB1515">
              <w:rPr>
                <w:rFonts w:ascii="Times New Roman" w:hAnsi="Times New Roman" w:cs="Times New Roman"/>
                <w:sz w:val="22"/>
                <w:szCs w:val="22"/>
              </w:rPr>
              <w:t>unitisation</w:t>
            </w:r>
            <w:proofErr w:type="spellEnd"/>
            <w:r w:rsidRPr="00CB1515">
              <w:rPr>
                <w:rFonts w:ascii="Times New Roman" w:hAnsi="Times New Roman" w:cs="Times New Roman"/>
                <w:sz w:val="22"/>
                <w:szCs w:val="22"/>
              </w:rPr>
              <w:t>/tolling enforcement across two sovereign states)</w:t>
            </w:r>
          </w:p>
        </w:tc>
        <w:tc>
          <w:tcPr>
            <w:tcW w:w="0" w:type="auto"/>
            <w:hideMark/>
          </w:tcPr>
          <w:p w14:paraId="3645272C"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15FCA28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Medium</w:t>
            </w:r>
          </w:p>
        </w:tc>
        <w:tc>
          <w:tcPr>
            <w:tcW w:w="0" w:type="auto"/>
            <w:hideMark/>
          </w:tcPr>
          <w:p w14:paraId="17F39280"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Medium</w:t>
            </w:r>
          </w:p>
        </w:tc>
        <w:tc>
          <w:tcPr>
            <w:tcW w:w="0" w:type="auto"/>
            <w:hideMark/>
          </w:tcPr>
          <w:p w14:paraId="7647E53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Disputes over allocation (e.g., the 84/16 Yoyo/Yolanda split) could delay development</w:t>
            </w:r>
          </w:p>
        </w:tc>
        <w:tc>
          <w:tcPr>
            <w:tcW w:w="0" w:type="auto"/>
            <w:hideMark/>
          </w:tcPr>
          <w:p w14:paraId="3F31F322"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UN-deposited treaty (Cameroon) provides a stronger enforcement basis than the Nigeria framework agreement currently offers</w:t>
            </w:r>
          </w:p>
        </w:tc>
      </w:tr>
      <w:tr w:rsidR="00CB1515" w:rsidRPr="00CB1515" w14:paraId="621DA0C5" w14:textId="77777777" w:rsidTr="002B6FBC">
        <w:tc>
          <w:tcPr>
            <w:tcW w:w="0" w:type="auto"/>
            <w:hideMark/>
          </w:tcPr>
          <w:p w14:paraId="6429F53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Infrastructure failure (single-train, single-pipeline concentration risk)</w:t>
            </w:r>
          </w:p>
        </w:tc>
        <w:tc>
          <w:tcPr>
            <w:tcW w:w="0" w:type="auto"/>
            <w:hideMark/>
          </w:tcPr>
          <w:p w14:paraId="38B1D4BE"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Low-Medium</w:t>
            </w:r>
          </w:p>
        </w:tc>
        <w:tc>
          <w:tcPr>
            <w:tcW w:w="0" w:type="auto"/>
            <w:hideMark/>
          </w:tcPr>
          <w:p w14:paraId="193B3D9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High</w:t>
            </w:r>
          </w:p>
        </w:tc>
        <w:tc>
          <w:tcPr>
            <w:tcW w:w="0" w:type="auto"/>
            <w:hideMark/>
          </w:tcPr>
          <w:p w14:paraId="10B7798B"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b/>
                <w:bCs/>
                <w:sz w:val="22"/>
                <w:szCs w:val="22"/>
              </w:rPr>
              <w:t>Medium-High</w:t>
            </w:r>
          </w:p>
        </w:tc>
        <w:tc>
          <w:tcPr>
            <w:tcW w:w="0" w:type="auto"/>
            <w:hideMark/>
          </w:tcPr>
          <w:p w14:paraId="69BE843D"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A single Alen-line or Train 1 outage disproportionately affects total EG LNG output given lack of redundancy</w:t>
            </w:r>
          </w:p>
        </w:tc>
        <w:tc>
          <w:tcPr>
            <w:tcW w:w="0" w:type="auto"/>
            <w:hideMark/>
          </w:tcPr>
          <w:p w14:paraId="4CE40195" w14:textId="77777777" w:rsidR="00CB1515" w:rsidRPr="00CB1515" w:rsidRDefault="00CB1515" w:rsidP="002B6FBC">
            <w:pPr>
              <w:spacing w:after="160" w:line="276" w:lineRule="auto"/>
              <w:jc w:val="both"/>
              <w:rPr>
                <w:rFonts w:ascii="Times New Roman" w:hAnsi="Times New Roman" w:cs="Times New Roman"/>
                <w:sz w:val="22"/>
                <w:szCs w:val="22"/>
              </w:rPr>
            </w:pPr>
            <w:r w:rsidRPr="00CB1515">
              <w:rPr>
                <w:rFonts w:ascii="Times New Roman" w:hAnsi="Times New Roman" w:cs="Times New Roman"/>
                <w:sz w:val="22"/>
                <w:szCs w:val="22"/>
              </w:rPr>
              <w:t>Diversifying supply routes (Section 16, Option 3) inherently improves resilience, an underappreciated benefit beyond volume alone</w:t>
            </w:r>
          </w:p>
        </w:tc>
      </w:tr>
    </w:tbl>
    <w:p w14:paraId="25AD9822" w14:textId="786B5B35" w:rsidR="00CB1515" w:rsidRPr="00CB1515" w:rsidRDefault="00CB1515" w:rsidP="002B6FBC">
      <w:pPr>
        <w:spacing w:line="276" w:lineRule="auto"/>
        <w:jc w:val="both"/>
        <w:rPr>
          <w:rFonts w:ascii="Times New Roman" w:hAnsi="Times New Roman" w:cs="Times New Roman"/>
        </w:rPr>
      </w:pPr>
    </w:p>
    <w:sectPr w:rsidR="00CB1515" w:rsidRPr="00CB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021C3"/>
    <w:multiLevelType w:val="hybridMultilevel"/>
    <w:tmpl w:val="19C26646"/>
    <w:lvl w:ilvl="0" w:tplc="3C32B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1F02D8"/>
    <w:multiLevelType w:val="multilevel"/>
    <w:tmpl w:val="9C90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629601">
    <w:abstractNumId w:val="1"/>
  </w:num>
  <w:num w:numId="2" w16cid:durableId="605621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515"/>
    <w:rsid w:val="00283D7D"/>
    <w:rsid w:val="002B6FBC"/>
    <w:rsid w:val="00737AAB"/>
    <w:rsid w:val="00BB0294"/>
    <w:rsid w:val="00CB1515"/>
    <w:rsid w:val="00D05741"/>
    <w:rsid w:val="00EA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F12EE"/>
  <w15:chartTrackingRefBased/>
  <w15:docId w15:val="{02BBC5A0-1811-448C-8A69-3E0B3070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5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B15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B15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15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15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1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5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B15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B15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15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15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1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515"/>
    <w:rPr>
      <w:rFonts w:eastAsiaTheme="majorEastAsia" w:cstheme="majorBidi"/>
      <w:color w:val="272727" w:themeColor="text1" w:themeTint="D8"/>
    </w:rPr>
  </w:style>
  <w:style w:type="paragraph" w:styleId="Title">
    <w:name w:val="Title"/>
    <w:basedOn w:val="Normal"/>
    <w:next w:val="Normal"/>
    <w:link w:val="TitleChar"/>
    <w:uiPriority w:val="10"/>
    <w:qFormat/>
    <w:rsid w:val="00CB1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5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515"/>
    <w:pPr>
      <w:spacing w:before="160"/>
      <w:jc w:val="center"/>
    </w:pPr>
    <w:rPr>
      <w:i/>
      <w:iCs/>
      <w:color w:val="404040" w:themeColor="text1" w:themeTint="BF"/>
    </w:rPr>
  </w:style>
  <w:style w:type="character" w:customStyle="1" w:styleId="QuoteChar">
    <w:name w:val="Quote Char"/>
    <w:basedOn w:val="DefaultParagraphFont"/>
    <w:link w:val="Quote"/>
    <w:uiPriority w:val="29"/>
    <w:rsid w:val="00CB1515"/>
    <w:rPr>
      <w:i/>
      <w:iCs/>
      <w:color w:val="404040" w:themeColor="text1" w:themeTint="BF"/>
    </w:rPr>
  </w:style>
  <w:style w:type="paragraph" w:styleId="ListParagraph">
    <w:name w:val="List Paragraph"/>
    <w:basedOn w:val="Normal"/>
    <w:uiPriority w:val="34"/>
    <w:qFormat/>
    <w:rsid w:val="00CB1515"/>
    <w:pPr>
      <w:ind w:left="720"/>
      <w:contextualSpacing/>
    </w:pPr>
  </w:style>
  <w:style w:type="character" w:styleId="IntenseEmphasis">
    <w:name w:val="Intense Emphasis"/>
    <w:basedOn w:val="DefaultParagraphFont"/>
    <w:uiPriority w:val="21"/>
    <w:qFormat/>
    <w:rsid w:val="00CB1515"/>
    <w:rPr>
      <w:i/>
      <w:iCs/>
      <w:color w:val="2F5496" w:themeColor="accent1" w:themeShade="BF"/>
    </w:rPr>
  </w:style>
  <w:style w:type="paragraph" w:styleId="IntenseQuote">
    <w:name w:val="Intense Quote"/>
    <w:basedOn w:val="Normal"/>
    <w:next w:val="Normal"/>
    <w:link w:val="IntenseQuoteChar"/>
    <w:uiPriority w:val="30"/>
    <w:qFormat/>
    <w:rsid w:val="00CB15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1515"/>
    <w:rPr>
      <w:i/>
      <w:iCs/>
      <w:color w:val="2F5496" w:themeColor="accent1" w:themeShade="BF"/>
    </w:rPr>
  </w:style>
  <w:style w:type="character" w:styleId="IntenseReference">
    <w:name w:val="Intense Reference"/>
    <w:basedOn w:val="DefaultParagraphFont"/>
    <w:uiPriority w:val="32"/>
    <w:qFormat/>
    <w:rsid w:val="00CB1515"/>
    <w:rPr>
      <w:b/>
      <w:bCs/>
      <w:smallCaps/>
      <w:color w:val="2F5496" w:themeColor="accent1" w:themeShade="BF"/>
      <w:spacing w:val="5"/>
    </w:rPr>
  </w:style>
  <w:style w:type="paragraph" w:customStyle="1" w:styleId="msonormal0">
    <w:name w:val="msonormal"/>
    <w:basedOn w:val="Normal"/>
    <w:rsid w:val="00CB151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B151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B1515"/>
    <w:rPr>
      <w:b/>
      <w:bCs/>
    </w:rPr>
  </w:style>
  <w:style w:type="character" w:styleId="Emphasis">
    <w:name w:val="Emphasis"/>
    <w:basedOn w:val="DefaultParagraphFont"/>
    <w:uiPriority w:val="20"/>
    <w:qFormat/>
    <w:rsid w:val="00CB1515"/>
    <w:rPr>
      <w:i/>
      <w:iCs/>
    </w:rPr>
  </w:style>
  <w:style w:type="table" w:styleId="TableGrid">
    <w:name w:val="Table Grid"/>
    <w:basedOn w:val="TableNormal"/>
    <w:uiPriority w:val="39"/>
    <w:rsid w:val="00CB1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29</Pages>
  <Words>7229</Words>
  <Characters>41208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2026-08-26T08:00:00Z</dcterms:created>
  <dcterms:modified xsi:type="dcterms:W3CDTF">2026-08-26T08:27:00Z</dcterms:modified>
</cp:coreProperties>
</file>