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A2D4E" w14:textId="35284A31"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Optimizing</w:t>
      </w:r>
      <w:r w:rsidRPr="004C6D6D">
        <w:rPr>
          <w:rFonts w:ascii="Times New Roman" w:hAnsi="Times New Roman" w:cs="Times New Roman"/>
          <w:b/>
          <w:bCs/>
        </w:rPr>
        <w:t xml:space="preserve"> Punta Europa for Regional Gas Aggregation and LNG Feedstock Security in Equatorial Guinea</w:t>
      </w:r>
    </w:p>
    <w:p w14:paraId="0E8C91B8"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Executive Summary</w:t>
      </w:r>
    </w:p>
    <w:p w14:paraId="41BF08E6"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rPr>
        <w:t xml:space="preserve">Equatorial Guinea's Punta Europa complex stands at an inflection point. With the Aseng Gas Project reaching Final Investment Decision (FID) on 31 March 2026, the Gas Mega Hub (GMH) is transitioning from a domestic backfill strategy toward a regional aggregation model. This note assesses whether Punta Europa can achieve long-term LNG feedstock security by aggregating domestic offshore gas and strategically integrating regional resources, and identifies the technical infrastructure, investment, and commercial framework required to establish it as a sustainable regional gas </w:t>
      </w:r>
      <w:proofErr w:type="spellStart"/>
      <w:r w:rsidRPr="004C6D6D">
        <w:rPr>
          <w:rFonts w:ascii="Times New Roman" w:hAnsi="Times New Roman" w:cs="Times New Roman"/>
        </w:rPr>
        <w:t>monetisation</w:t>
      </w:r>
      <w:proofErr w:type="spellEnd"/>
      <w:r w:rsidRPr="004C6D6D">
        <w:rPr>
          <w:rFonts w:ascii="Times New Roman" w:hAnsi="Times New Roman" w:cs="Times New Roman"/>
        </w:rPr>
        <w:t xml:space="preserve"> hub.</w:t>
      </w:r>
    </w:p>
    <w:p w14:paraId="58C53D37"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Key Findings:</w:t>
      </w:r>
    </w:p>
    <w:p w14:paraId="21CA42C5" w14:textId="77777777" w:rsidR="004C6D6D" w:rsidRPr="004C6D6D" w:rsidRDefault="004C6D6D" w:rsidP="004C6D6D">
      <w:pPr>
        <w:numPr>
          <w:ilvl w:val="0"/>
          <w:numId w:val="1"/>
        </w:numPr>
        <w:jc w:val="both"/>
        <w:rPr>
          <w:rFonts w:ascii="Times New Roman" w:hAnsi="Times New Roman" w:cs="Times New Roman"/>
        </w:rPr>
      </w:pPr>
      <w:r w:rsidRPr="004C6D6D">
        <w:rPr>
          <w:rFonts w:ascii="Times New Roman" w:hAnsi="Times New Roman" w:cs="Times New Roman"/>
        </w:rPr>
        <w:t xml:space="preserve">Punta Europa's existing infrastructure (EG LNG Train 1 at 3.7 </w:t>
      </w:r>
      <w:proofErr w:type="spellStart"/>
      <w:r w:rsidRPr="004C6D6D">
        <w:rPr>
          <w:rFonts w:ascii="Times New Roman" w:hAnsi="Times New Roman" w:cs="Times New Roman"/>
        </w:rPr>
        <w:t>mtpa</w:t>
      </w:r>
      <w:proofErr w:type="spellEnd"/>
      <w:r w:rsidRPr="004C6D6D">
        <w:rPr>
          <w:rFonts w:ascii="Times New Roman" w:hAnsi="Times New Roman" w:cs="Times New Roman"/>
        </w:rPr>
        <w:t xml:space="preserve">, Alba LPG plant, AMPCO methanol) requires approximately </w:t>
      </w:r>
      <w:r w:rsidRPr="004C6D6D">
        <w:rPr>
          <w:rFonts w:ascii="Times New Roman" w:hAnsi="Times New Roman" w:cs="Times New Roman"/>
          <w:b/>
          <w:bCs/>
        </w:rPr>
        <w:t xml:space="preserve">705 </w:t>
      </w:r>
      <w:proofErr w:type="spellStart"/>
      <w:r w:rsidRPr="004C6D6D">
        <w:rPr>
          <w:rFonts w:ascii="Times New Roman" w:hAnsi="Times New Roman" w:cs="Times New Roman"/>
          <w:b/>
          <w:bCs/>
        </w:rPr>
        <w:t>MMscf</w:t>
      </w:r>
      <w:proofErr w:type="spellEnd"/>
      <w:r w:rsidRPr="004C6D6D">
        <w:rPr>
          <w:rFonts w:ascii="Times New Roman" w:hAnsi="Times New Roman" w:cs="Times New Roman"/>
          <w:b/>
          <w:bCs/>
        </w:rPr>
        <w:t>/d</w:t>
      </w:r>
      <w:r w:rsidRPr="004C6D6D">
        <w:rPr>
          <w:rFonts w:ascii="Times New Roman" w:hAnsi="Times New Roman" w:cs="Times New Roman"/>
        </w:rPr>
        <w:t xml:space="preserve"> of total gas feed to operate at full </w:t>
      </w:r>
      <w:proofErr w:type="spellStart"/>
      <w:r w:rsidRPr="004C6D6D">
        <w:rPr>
          <w:rFonts w:ascii="Times New Roman" w:hAnsi="Times New Roman" w:cs="Times New Roman"/>
        </w:rPr>
        <w:t>utilisation</w:t>
      </w:r>
      <w:proofErr w:type="spellEnd"/>
      <w:r w:rsidRPr="004C6D6D">
        <w:rPr>
          <w:rFonts w:ascii="Times New Roman" w:hAnsi="Times New Roman" w:cs="Times New Roman"/>
        </w:rPr>
        <w:t>.</w:t>
      </w:r>
    </w:p>
    <w:p w14:paraId="67704699" w14:textId="77777777" w:rsidR="004C6D6D" w:rsidRPr="004C6D6D" w:rsidRDefault="004C6D6D" w:rsidP="004C6D6D">
      <w:pPr>
        <w:numPr>
          <w:ilvl w:val="0"/>
          <w:numId w:val="1"/>
        </w:numPr>
        <w:jc w:val="both"/>
        <w:rPr>
          <w:rFonts w:ascii="Times New Roman" w:hAnsi="Times New Roman" w:cs="Times New Roman"/>
        </w:rPr>
      </w:pPr>
      <w:r w:rsidRPr="004C6D6D">
        <w:rPr>
          <w:rFonts w:ascii="Times New Roman" w:hAnsi="Times New Roman" w:cs="Times New Roman"/>
        </w:rPr>
        <w:t xml:space="preserve">Confirmed domestic Gas Mega Hub phases (Alen, Alba infill, Aseng) provide approximately </w:t>
      </w:r>
      <w:r w:rsidRPr="004C6D6D">
        <w:rPr>
          <w:rFonts w:ascii="Times New Roman" w:hAnsi="Times New Roman" w:cs="Times New Roman"/>
          <w:b/>
          <w:bCs/>
        </w:rPr>
        <w:t xml:space="preserve">1.0–1.2 </w:t>
      </w:r>
      <w:proofErr w:type="spellStart"/>
      <w:r w:rsidRPr="004C6D6D">
        <w:rPr>
          <w:rFonts w:ascii="Times New Roman" w:hAnsi="Times New Roman" w:cs="Times New Roman"/>
          <w:b/>
          <w:bCs/>
        </w:rPr>
        <w:t>Tcf</w:t>
      </w:r>
      <w:proofErr w:type="spellEnd"/>
      <w:r w:rsidRPr="004C6D6D">
        <w:rPr>
          <w:rFonts w:ascii="Times New Roman" w:hAnsi="Times New Roman" w:cs="Times New Roman"/>
        </w:rPr>
        <w:t xml:space="preserve"> of recoverable gas over the next decade but are insufficient alone to sustain full LNG </w:t>
      </w:r>
      <w:proofErr w:type="spellStart"/>
      <w:r w:rsidRPr="004C6D6D">
        <w:rPr>
          <w:rFonts w:ascii="Times New Roman" w:hAnsi="Times New Roman" w:cs="Times New Roman"/>
        </w:rPr>
        <w:t>utilisation</w:t>
      </w:r>
      <w:proofErr w:type="spellEnd"/>
      <w:r w:rsidRPr="004C6D6D">
        <w:rPr>
          <w:rFonts w:ascii="Times New Roman" w:hAnsi="Times New Roman" w:cs="Times New Roman"/>
        </w:rPr>
        <w:t xml:space="preserve"> beyond the early 2030s.</w:t>
      </w:r>
    </w:p>
    <w:p w14:paraId="59513CEA" w14:textId="77777777" w:rsidR="004C6D6D" w:rsidRPr="004C6D6D" w:rsidRDefault="004C6D6D" w:rsidP="004C6D6D">
      <w:pPr>
        <w:numPr>
          <w:ilvl w:val="0"/>
          <w:numId w:val="1"/>
        </w:numPr>
        <w:jc w:val="both"/>
        <w:rPr>
          <w:rFonts w:ascii="Times New Roman" w:hAnsi="Times New Roman" w:cs="Times New Roman"/>
        </w:rPr>
      </w:pPr>
      <w:r w:rsidRPr="004C6D6D">
        <w:rPr>
          <w:rFonts w:ascii="Times New Roman" w:hAnsi="Times New Roman" w:cs="Times New Roman"/>
        </w:rPr>
        <w:t xml:space="preserve">A supply deficit of </w:t>
      </w:r>
      <w:r w:rsidRPr="004C6D6D">
        <w:rPr>
          <w:rFonts w:ascii="Times New Roman" w:hAnsi="Times New Roman" w:cs="Times New Roman"/>
          <w:b/>
          <w:bCs/>
        </w:rPr>
        <w:t xml:space="preserve">150–400 </w:t>
      </w:r>
      <w:proofErr w:type="spellStart"/>
      <w:r w:rsidRPr="004C6D6D">
        <w:rPr>
          <w:rFonts w:ascii="Times New Roman" w:hAnsi="Times New Roman" w:cs="Times New Roman"/>
          <w:b/>
          <w:bCs/>
        </w:rPr>
        <w:t>MMscf</w:t>
      </w:r>
      <w:proofErr w:type="spellEnd"/>
      <w:r w:rsidRPr="004C6D6D">
        <w:rPr>
          <w:rFonts w:ascii="Times New Roman" w:hAnsi="Times New Roman" w:cs="Times New Roman"/>
          <w:b/>
          <w:bCs/>
        </w:rPr>
        <w:t>/d</w:t>
      </w:r>
      <w:r w:rsidRPr="004C6D6D">
        <w:rPr>
          <w:rFonts w:ascii="Times New Roman" w:hAnsi="Times New Roman" w:cs="Times New Roman"/>
        </w:rPr>
        <w:t xml:space="preserve"> persists through 2035 under domestic-only scenarios, creating a structural requirement for regional feedstock.</w:t>
      </w:r>
    </w:p>
    <w:p w14:paraId="1C9AB4FA" w14:textId="77777777" w:rsidR="004C6D6D" w:rsidRPr="004C6D6D" w:rsidRDefault="004C6D6D" w:rsidP="004C6D6D">
      <w:pPr>
        <w:numPr>
          <w:ilvl w:val="0"/>
          <w:numId w:val="1"/>
        </w:numPr>
        <w:jc w:val="both"/>
        <w:rPr>
          <w:rFonts w:ascii="Times New Roman" w:hAnsi="Times New Roman" w:cs="Times New Roman"/>
        </w:rPr>
      </w:pPr>
      <w:r w:rsidRPr="004C6D6D">
        <w:rPr>
          <w:rFonts w:ascii="Times New Roman" w:hAnsi="Times New Roman" w:cs="Times New Roman"/>
        </w:rPr>
        <w:t xml:space="preserve">The </w:t>
      </w:r>
      <w:r w:rsidRPr="004C6D6D">
        <w:rPr>
          <w:rFonts w:ascii="Times New Roman" w:hAnsi="Times New Roman" w:cs="Times New Roman"/>
          <w:b/>
          <w:bCs/>
        </w:rPr>
        <w:t>Yoyo-Yolanda</w:t>
      </w:r>
      <w:r w:rsidRPr="004C6D6D">
        <w:rPr>
          <w:rFonts w:ascii="Times New Roman" w:hAnsi="Times New Roman" w:cs="Times New Roman"/>
        </w:rPr>
        <w:t xml:space="preserve"> cross-border fields (2.5 </w:t>
      </w:r>
      <w:proofErr w:type="spellStart"/>
      <w:r w:rsidRPr="004C6D6D">
        <w:rPr>
          <w:rFonts w:ascii="Times New Roman" w:hAnsi="Times New Roman" w:cs="Times New Roman"/>
        </w:rPr>
        <w:t>Tcf</w:t>
      </w:r>
      <w:proofErr w:type="spellEnd"/>
      <w:r w:rsidRPr="004C6D6D">
        <w:rPr>
          <w:rFonts w:ascii="Times New Roman" w:hAnsi="Times New Roman" w:cs="Times New Roman"/>
        </w:rPr>
        <w:t xml:space="preserve">), </w:t>
      </w:r>
      <w:r w:rsidRPr="004C6D6D">
        <w:rPr>
          <w:rFonts w:ascii="Times New Roman" w:hAnsi="Times New Roman" w:cs="Times New Roman"/>
          <w:b/>
          <w:bCs/>
        </w:rPr>
        <w:t>ConocoPhillips Blocks B/4 and EG-27</w:t>
      </w:r>
      <w:r w:rsidRPr="004C6D6D">
        <w:rPr>
          <w:rFonts w:ascii="Times New Roman" w:hAnsi="Times New Roman" w:cs="Times New Roman"/>
        </w:rPr>
        <w:t xml:space="preserve"> (3.5 </w:t>
      </w:r>
      <w:proofErr w:type="spellStart"/>
      <w:r w:rsidRPr="004C6D6D">
        <w:rPr>
          <w:rFonts w:ascii="Times New Roman" w:hAnsi="Times New Roman" w:cs="Times New Roman"/>
        </w:rPr>
        <w:t>Tcf</w:t>
      </w:r>
      <w:proofErr w:type="spellEnd"/>
      <w:r w:rsidRPr="004C6D6D">
        <w:rPr>
          <w:rFonts w:ascii="Times New Roman" w:hAnsi="Times New Roman" w:cs="Times New Roman"/>
        </w:rPr>
        <w:t xml:space="preserve"> combined), and potential </w:t>
      </w:r>
      <w:r w:rsidRPr="004C6D6D">
        <w:rPr>
          <w:rFonts w:ascii="Times New Roman" w:hAnsi="Times New Roman" w:cs="Times New Roman"/>
          <w:b/>
          <w:bCs/>
        </w:rPr>
        <w:t>Nigerian gas via the Gulf of Guinea Gas Pipeline</w:t>
      </w:r>
      <w:r w:rsidRPr="004C6D6D">
        <w:rPr>
          <w:rFonts w:ascii="Times New Roman" w:hAnsi="Times New Roman" w:cs="Times New Roman"/>
        </w:rPr>
        <w:t xml:space="preserve"> represent the most technically proximate regional sources.</w:t>
      </w:r>
    </w:p>
    <w:p w14:paraId="761D97BC" w14:textId="77777777" w:rsidR="004C6D6D" w:rsidRPr="004C6D6D" w:rsidRDefault="004C6D6D" w:rsidP="004C6D6D">
      <w:pPr>
        <w:numPr>
          <w:ilvl w:val="0"/>
          <w:numId w:val="1"/>
        </w:numPr>
        <w:jc w:val="both"/>
        <w:rPr>
          <w:rFonts w:ascii="Times New Roman" w:hAnsi="Times New Roman" w:cs="Times New Roman"/>
        </w:rPr>
      </w:pPr>
      <w:r w:rsidRPr="004C6D6D">
        <w:rPr>
          <w:rFonts w:ascii="Times New Roman" w:hAnsi="Times New Roman" w:cs="Times New Roman"/>
        </w:rPr>
        <w:t xml:space="preserve">Punta Europa can realistically evolve into a regional hub, but only if: (a) Yoyo-Yolanda reaches FID by 2028; (b) cross-border commercial frameworks are </w:t>
      </w:r>
      <w:proofErr w:type="spellStart"/>
      <w:r w:rsidRPr="004C6D6D">
        <w:rPr>
          <w:rFonts w:ascii="Times New Roman" w:hAnsi="Times New Roman" w:cs="Times New Roman"/>
        </w:rPr>
        <w:t>finalised</w:t>
      </w:r>
      <w:proofErr w:type="spellEnd"/>
      <w:r w:rsidRPr="004C6D6D">
        <w:rPr>
          <w:rFonts w:ascii="Times New Roman" w:hAnsi="Times New Roman" w:cs="Times New Roman"/>
        </w:rPr>
        <w:t>; and (c) $4–6 billion in incremental pipeline and compression infrastructure is deployed.</w:t>
      </w:r>
    </w:p>
    <w:p w14:paraId="6852FAFC" w14:textId="6A1F0DA9" w:rsidR="004C6D6D" w:rsidRPr="004C6D6D" w:rsidRDefault="004C6D6D" w:rsidP="004C6D6D">
      <w:pPr>
        <w:jc w:val="both"/>
        <w:rPr>
          <w:rFonts w:ascii="Times New Roman" w:hAnsi="Times New Roman" w:cs="Times New Roman"/>
        </w:rPr>
      </w:pPr>
    </w:p>
    <w:p w14:paraId="527380C5"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1. Punta Europa's Existing Gas Infrastructure</w:t>
      </w:r>
    </w:p>
    <w:p w14:paraId="341FDCA2"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1.1 Technical Configuration</w:t>
      </w:r>
    </w:p>
    <w:p w14:paraId="11356F94" w14:textId="197BE558" w:rsidR="004C6D6D" w:rsidRPr="004C6D6D" w:rsidRDefault="004C6D6D" w:rsidP="004C6D6D">
      <w:pPr>
        <w:jc w:val="both"/>
        <w:rPr>
          <w:rFonts w:ascii="Times New Roman" w:hAnsi="Times New Roman" w:cs="Times New Roman"/>
        </w:rPr>
      </w:pPr>
      <w:r w:rsidRPr="004C6D6D">
        <w:rPr>
          <w:rFonts w:ascii="Times New Roman" w:hAnsi="Times New Roman" w:cs="Times New Roman"/>
        </w:rPr>
        <w:t>The Punta Europa complex on Bioko Island is one of sub-Saharan Africa's most advanced gas processing and LNG export hubs. Its current configuration comprises:</w:t>
      </w:r>
    </w:p>
    <w:tbl>
      <w:tblPr>
        <w:tblStyle w:val="TableGrid"/>
        <w:tblW w:w="0" w:type="auto"/>
        <w:tblLook w:val="04A0" w:firstRow="1" w:lastRow="0" w:firstColumn="1" w:lastColumn="0" w:noHBand="0" w:noVBand="1"/>
      </w:tblPr>
      <w:tblGrid>
        <w:gridCol w:w="2155"/>
        <w:gridCol w:w="2610"/>
        <w:gridCol w:w="90"/>
        <w:gridCol w:w="1524"/>
        <w:gridCol w:w="2971"/>
      </w:tblGrid>
      <w:tr w:rsidR="004C6D6D" w:rsidRPr="004C6D6D" w14:paraId="793D7AA6" w14:textId="77777777" w:rsidTr="004C6D6D">
        <w:tc>
          <w:tcPr>
            <w:tcW w:w="2155" w:type="dxa"/>
            <w:hideMark/>
          </w:tcPr>
          <w:p w14:paraId="4A064121"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Facility</w:t>
            </w:r>
          </w:p>
        </w:tc>
        <w:tc>
          <w:tcPr>
            <w:tcW w:w="2700" w:type="dxa"/>
            <w:gridSpan w:val="2"/>
            <w:hideMark/>
          </w:tcPr>
          <w:p w14:paraId="6CFD69F3"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Capacity</w:t>
            </w:r>
          </w:p>
        </w:tc>
        <w:tc>
          <w:tcPr>
            <w:tcW w:w="1524" w:type="dxa"/>
            <w:hideMark/>
          </w:tcPr>
          <w:p w14:paraId="50D67CBF"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Status</w:t>
            </w:r>
          </w:p>
        </w:tc>
        <w:tc>
          <w:tcPr>
            <w:tcW w:w="2971" w:type="dxa"/>
            <w:hideMark/>
          </w:tcPr>
          <w:p w14:paraId="4F7C93C3"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Key Technical Parameters</w:t>
            </w:r>
          </w:p>
        </w:tc>
      </w:tr>
      <w:tr w:rsidR="004C6D6D" w:rsidRPr="004C6D6D" w14:paraId="53631914" w14:textId="77777777" w:rsidTr="004C6D6D">
        <w:tc>
          <w:tcPr>
            <w:tcW w:w="2155" w:type="dxa"/>
            <w:hideMark/>
          </w:tcPr>
          <w:p w14:paraId="4697383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lastRenderedPageBreak/>
              <w:t>EG LNG Train 1</w:t>
            </w:r>
          </w:p>
        </w:tc>
        <w:tc>
          <w:tcPr>
            <w:tcW w:w="2610" w:type="dxa"/>
            <w:hideMark/>
          </w:tcPr>
          <w:p w14:paraId="3253ED2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3.7 </w:t>
            </w:r>
            <w:proofErr w:type="spellStart"/>
            <w:r w:rsidRPr="004C6D6D">
              <w:rPr>
                <w:rFonts w:ascii="Times New Roman" w:hAnsi="Times New Roman" w:cs="Times New Roman"/>
              </w:rPr>
              <w:t>mtpa</w:t>
            </w:r>
            <w:proofErr w:type="spellEnd"/>
            <w:r w:rsidRPr="004C6D6D">
              <w:rPr>
                <w:rFonts w:ascii="Times New Roman" w:hAnsi="Times New Roman" w:cs="Times New Roman"/>
              </w:rPr>
              <w:t xml:space="preserve"> (nameplate); 3.4 </w:t>
            </w:r>
            <w:proofErr w:type="spellStart"/>
            <w:r w:rsidRPr="004C6D6D">
              <w:rPr>
                <w:rFonts w:ascii="Times New Roman" w:hAnsi="Times New Roman" w:cs="Times New Roman"/>
              </w:rPr>
              <w:t>mtpa</w:t>
            </w:r>
            <w:proofErr w:type="spellEnd"/>
            <w:r w:rsidRPr="004C6D6D">
              <w:rPr>
                <w:rFonts w:ascii="Times New Roman" w:hAnsi="Times New Roman" w:cs="Times New Roman"/>
              </w:rPr>
              <w:t xml:space="preserve"> contracted</w:t>
            </w:r>
          </w:p>
        </w:tc>
        <w:tc>
          <w:tcPr>
            <w:tcW w:w="1614" w:type="dxa"/>
            <w:gridSpan w:val="2"/>
            <w:hideMark/>
          </w:tcPr>
          <w:p w14:paraId="58BD7E8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Operating since 2007</w:t>
            </w:r>
          </w:p>
        </w:tc>
        <w:tc>
          <w:tcPr>
            <w:tcW w:w="2971" w:type="dxa"/>
            <w:hideMark/>
          </w:tcPr>
          <w:p w14:paraId="78AB017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ConocoPhillips Optimized Cascade process; 0.53 Bcf/d (530 </w:t>
            </w:r>
            <w:proofErr w:type="spellStart"/>
            <w:r w:rsidRPr="004C6D6D">
              <w:rPr>
                <w:rFonts w:ascii="Times New Roman" w:hAnsi="Times New Roman" w:cs="Times New Roman"/>
              </w:rPr>
              <w:t>MMscf</w:t>
            </w:r>
            <w:proofErr w:type="spellEnd"/>
            <w:r w:rsidRPr="004C6D6D">
              <w:rPr>
                <w:rFonts w:ascii="Times New Roman" w:hAnsi="Times New Roman" w:cs="Times New Roman"/>
              </w:rPr>
              <w:t>/d) feed gas requirement; two LNG storage tanks; marine loading for 90,000–160,000 m³ vessels</w:t>
            </w:r>
          </w:p>
        </w:tc>
      </w:tr>
      <w:tr w:rsidR="004C6D6D" w:rsidRPr="004C6D6D" w14:paraId="28A2C815" w14:textId="77777777" w:rsidTr="004C6D6D">
        <w:tc>
          <w:tcPr>
            <w:tcW w:w="2155" w:type="dxa"/>
            <w:hideMark/>
          </w:tcPr>
          <w:p w14:paraId="1BC5E39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Alba LPG Plant</w:t>
            </w:r>
          </w:p>
        </w:tc>
        <w:tc>
          <w:tcPr>
            <w:tcW w:w="2610" w:type="dxa"/>
            <w:hideMark/>
          </w:tcPr>
          <w:p w14:paraId="11B9E59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2,400 bpd LPG</w:t>
            </w:r>
          </w:p>
        </w:tc>
        <w:tc>
          <w:tcPr>
            <w:tcW w:w="1614" w:type="dxa"/>
            <w:gridSpan w:val="2"/>
            <w:hideMark/>
          </w:tcPr>
          <w:p w14:paraId="23A9866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Operating</w:t>
            </w:r>
          </w:p>
        </w:tc>
        <w:tc>
          <w:tcPr>
            <w:tcW w:w="2971" w:type="dxa"/>
            <w:hideMark/>
          </w:tcPr>
          <w:p w14:paraId="39951DB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Processes wet gas from Alba field; five NGL separation trains (butane, propane); operated by Marathon Oil (now ConocoPhillips)</w:t>
            </w:r>
          </w:p>
        </w:tc>
      </w:tr>
      <w:tr w:rsidR="004C6D6D" w:rsidRPr="004C6D6D" w14:paraId="7958CD4C" w14:textId="77777777" w:rsidTr="004C6D6D">
        <w:tc>
          <w:tcPr>
            <w:tcW w:w="2155" w:type="dxa"/>
            <w:hideMark/>
          </w:tcPr>
          <w:p w14:paraId="07E2A11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Alba Gas Processing (B3 Platform)</w:t>
            </w:r>
          </w:p>
        </w:tc>
        <w:tc>
          <w:tcPr>
            <w:tcW w:w="2610" w:type="dxa"/>
            <w:hideMark/>
          </w:tcPr>
          <w:p w14:paraId="1C4B234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990 </w:t>
            </w:r>
            <w:proofErr w:type="spellStart"/>
            <w:r w:rsidRPr="004C6D6D">
              <w:rPr>
                <w:rFonts w:ascii="Times New Roman" w:hAnsi="Times New Roman" w:cs="Times New Roman"/>
              </w:rPr>
              <w:t>MMscf</w:t>
            </w:r>
            <w:proofErr w:type="spellEnd"/>
            <w:r w:rsidRPr="004C6D6D">
              <w:rPr>
                <w:rFonts w:ascii="Times New Roman" w:hAnsi="Times New Roman" w:cs="Times New Roman"/>
              </w:rPr>
              <w:t>/d gas; 75,240 b/d condensate</w:t>
            </w:r>
          </w:p>
        </w:tc>
        <w:tc>
          <w:tcPr>
            <w:tcW w:w="1614" w:type="dxa"/>
            <w:gridSpan w:val="2"/>
            <w:hideMark/>
          </w:tcPr>
          <w:p w14:paraId="0994796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Operating</w:t>
            </w:r>
          </w:p>
        </w:tc>
        <w:tc>
          <w:tcPr>
            <w:tcW w:w="2971" w:type="dxa"/>
            <w:hideMark/>
          </w:tcPr>
          <w:p w14:paraId="20019FB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Bridge-linked to B2 platform; 6,000-ton topsides; 81-m jacket legs; designed to sustain Alba field pressure</w:t>
            </w:r>
          </w:p>
        </w:tc>
      </w:tr>
      <w:tr w:rsidR="004C6D6D" w:rsidRPr="004C6D6D" w14:paraId="3AB2C623" w14:textId="77777777" w:rsidTr="004C6D6D">
        <w:tc>
          <w:tcPr>
            <w:tcW w:w="2155" w:type="dxa"/>
            <w:hideMark/>
          </w:tcPr>
          <w:p w14:paraId="5EC8E80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AMPCO Methanol Plant</w:t>
            </w:r>
          </w:p>
        </w:tc>
        <w:tc>
          <w:tcPr>
            <w:tcW w:w="2610" w:type="dxa"/>
            <w:hideMark/>
          </w:tcPr>
          <w:p w14:paraId="5C7B15E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~1.0 million </w:t>
            </w:r>
            <w:proofErr w:type="spellStart"/>
            <w:r w:rsidRPr="004C6D6D">
              <w:rPr>
                <w:rFonts w:ascii="Times New Roman" w:hAnsi="Times New Roman" w:cs="Times New Roman"/>
              </w:rPr>
              <w:t>tpa</w:t>
            </w:r>
            <w:proofErr w:type="spellEnd"/>
            <w:r w:rsidRPr="004C6D6D">
              <w:rPr>
                <w:rFonts w:ascii="Times New Roman" w:hAnsi="Times New Roman" w:cs="Times New Roman"/>
              </w:rPr>
              <w:t xml:space="preserve"> methanol</w:t>
            </w:r>
          </w:p>
        </w:tc>
        <w:tc>
          <w:tcPr>
            <w:tcW w:w="1614" w:type="dxa"/>
            <w:gridSpan w:val="2"/>
            <w:hideMark/>
          </w:tcPr>
          <w:p w14:paraId="790467A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Operating</w:t>
            </w:r>
          </w:p>
        </w:tc>
        <w:tc>
          <w:tcPr>
            <w:tcW w:w="2971" w:type="dxa"/>
            <w:hideMark/>
          </w:tcPr>
          <w:p w14:paraId="390973F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Original design 2,500 MTD; debottlenecked to &gt;3,000 MTD; consumes ~125 </w:t>
            </w:r>
            <w:proofErr w:type="spellStart"/>
            <w:r w:rsidRPr="004C6D6D">
              <w:rPr>
                <w:rFonts w:ascii="Times New Roman" w:hAnsi="Times New Roman" w:cs="Times New Roman"/>
              </w:rPr>
              <w:t>MMscf</w:t>
            </w:r>
            <w:proofErr w:type="spellEnd"/>
            <w:r w:rsidRPr="004C6D6D">
              <w:rPr>
                <w:rFonts w:ascii="Times New Roman" w:hAnsi="Times New Roman" w:cs="Times New Roman"/>
              </w:rPr>
              <w:t>/d</w:t>
            </w:r>
          </w:p>
        </w:tc>
      </w:tr>
      <w:tr w:rsidR="004C6D6D" w:rsidRPr="004C6D6D" w14:paraId="7413E803" w14:textId="77777777" w:rsidTr="004C6D6D">
        <w:tc>
          <w:tcPr>
            <w:tcW w:w="2155" w:type="dxa"/>
            <w:hideMark/>
          </w:tcPr>
          <w:p w14:paraId="77680CC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Alen-Punta Europa Pipeline</w:t>
            </w:r>
          </w:p>
        </w:tc>
        <w:tc>
          <w:tcPr>
            <w:tcW w:w="2610" w:type="dxa"/>
            <w:hideMark/>
          </w:tcPr>
          <w:p w14:paraId="6DBEDC8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~950 </w:t>
            </w:r>
            <w:proofErr w:type="spellStart"/>
            <w:r w:rsidRPr="004C6D6D">
              <w:rPr>
                <w:rFonts w:ascii="Times New Roman" w:hAnsi="Times New Roman" w:cs="Times New Roman"/>
              </w:rPr>
              <w:t>MMscf</w:t>
            </w:r>
            <w:proofErr w:type="spellEnd"/>
            <w:r w:rsidRPr="004C6D6D">
              <w:rPr>
                <w:rFonts w:ascii="Times New Roman" w:hAnsi="Times New Roman" w:cs="Times New Roman"/>
              </w:rPr>
              <w:t>/d</w:t>
            </w:r>
          </w:p>
        </w:tc>
        <w:tc>
          <w:tcPr>
            <w:tcW w:w="1614" w:type="dxa"/>
            <w:gridSpan w:val="2"/>
            <w:hideMark/>
          </w:tcPr>
          <w:p w14:paraId="4E1EDD5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Operating since 2021</w:t>
            </w:r>
          </w:p>
        </w:tc>
        <w:tc>
          <w:tcPr>
            <w:tcW w:w="2971" w:type="dxa"/>
            <w:hideMark/>
          </w:tcPr>
          <w:p w14:paraId="111F2D2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70 km, 24-inch subsea pipeline; tie-back from Alen platform to Punta Europa</w:t>
            </w:r>
          </w:p>
        </w:tc>
      </w:tr>
    </w:tbl>
    <w:p w14:paraId="0F4C55E4" w14:textId="77777777" w:rsidR="004C6D6D" w:rsidRDefault="004C6D6D" w:rsidP="004C6D6D">
      <w:pPr>
        <w:jc w:val="both"/>
        <w:rPr>
          <w:rFonts w:ascii="Times New Roman" w:hAnsi="Times New Roman" w:cs="Times New Roman"/>
          <w:b/>
          <w:bCs/>
        </w:rPr>
      </w:pPr>
    </w:p>
    <w:p w14:paraId="3AB8B9CB" w14:textId="167E88A1"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Ownership Structure (EG LNG):</w:t>
      </w:r>
      <w:r w:rsidRPr="004C6D6D">
        <w:rPr>
          <w:rFonts w:ascii="Times New Roman" w:hAnsi="Times New Roman" w:cs="Times New Roman"/>
        </w:rPr>
        <w:t xml:space="preserve"> Marathon Oil (now ConocoPhillips via acquisition) 60%; </w:t>
      </w:r>
      <w:proofErr w:type="spellStart"/>
      <w:r w:rsidRPr="004C6D6D">
        <w:rPr>
          <w:rFonts w:ascii="Times New Roman" w:hAnsi="Times New Roman" w:cs="Times New Roman"/>
        </w:rPr>
        <w:t>Sonagas</w:t>
      </w:r>
      <w:proofErr w:type="spellEnd"/>
      <w:r w:rsidRPr="004C6D6D">
        <w:rPr>
          <w:rFonts w:ascii="Times New Roman" w:hAnsi="Times New Roman" w:cs="Times New Roman"/>
        </w:rPr>
        <w:t xml:space="preserve"> (national gas company) 25%; Mitsui 8.5%; Marubeni 6.5%. The EG LNG facility cost approximately $1.5 billion and was completed ahead of schedule in May 2007.</w:t>
      </w:r>
    </w:p>
    <w:p w14:paraId="3C691AFA" w14:textId="77777777" w:rsidR="004C6D6D" w:rsidRDefault="004C6D6D" w:rsidP="004C6D6D">
      <w:pPr>
        <w:jc w:val="both"/>
        <w:rPr>
          <w:rFonts w:ascii="Times New Roman" w:hAnsi="Times New Roman" w:cs="Times New Roman"/>
          <w:b/>
          <w:bCs/>
        </w:rPr>
      </w:pPr>
    </w:p>
    <w:p w14:paraId="5BBC8094" w14:textId="7E87D7A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1.2 Feed-Gas Sources and Spare Capacity</w:t>
      </w:r>
    </w:p>
    <w:p w14:paraId="699D93D1"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Current Feed-Gas Sources:</w:t>
      </w:r>
    </w:p>
    <w:p w14:paraId="5D3CA1E6" w14:textId="77777777" w:rsidR="004C6D6D" w:rsidRPr="004C6D6D" w:rsidRDefault="004C6D6D" w:rsidP="004C6D6D">
      <w:pPr>
        <w:numPr>
          <w:ilvl w:val="0"/>
          <w:numId w:val="2"/>
        </w:numPr>
        <w:jc w:val="both"/>
        <w:rPr>
          <w:rFonts w:ascii="Times New Roman" w:hAnsi="Times New Roman" w:cs="Times New Roman"/>
        </w:rPr>
      </w:pPr>
      <w:r w:rsidRPr="004C6D6D">
        <w:rPr>
          <w:rFonts w:ascii="Times New Roman" w:hAnsi="Times New Roman" w:cs="Times New Roman"/>
          <w:b/>
          <w:bCs/>
        </w:rPr>
        <w:t>Alba Field:</w:t>
      </w:r>
      <w:r w:rsidRPr="004C6D6D">
        <w:rPr>
          <w:rFonts w:ascii="Times New Roman" w:hAnsi="Times New Roman" w:cs="Times New Roman"/>
        </w:rPr>
        <w:t xml:space="preserve"> Historically the sole feedstock. Proven gas reserves of ~1.3 </w:t>
      </w:r>
      <w:proofErr w:type="spellStart"/>
      <w:r w:rsidRPr="004C6D6D">
        <w:rPr>
          <w:rFonts w:ascii="Times New Roman" w:hAnsi="Times New Roman" w:cs="Times New Roman"/>
        </w:rPr>
        <w:t>Tcf</w:t>
      </w:r>
      <w:proofErr w:type="spellEnd"/>
      <w:r w:rsidRPr="004C6D6D">
        <w:rPr>
          <w:rFonts w:ascii="Times New Roman" w:hAnsi="Times New Roman" w:cs="Times New Roman"/>
        </w:rPr>
        <w:t xml:space="preserve"> (probable up to 4.4 </w:t>
      </w:r>
      <w:proofErr w:type="spellStart"/>
      <w:r w:rsidRPr="004C6D6D">
        <w:rPr>
          <w:rFonts w:ascii="Times New Roman" w:hAnsi="Times New Roman" w:cs="Times New Roman"/>
        </w:rPr>
        <w:t>Tcf</w:t>
      </w:r>
      <w:proofErr w:type="spellEnd"/>
      <w:r w:rsidRPr="004C6D6D">
        <w:rPr>
          <w:rFonts w:ascii="Times New Roman" w:hAnsi="Times New Roman" w:cs="Times New Roman"/>
        </w:rPr>
        <w:t xml:space="preserve">). Peak production reached ~240 </w:t>
      </w:r>
      <w:proofErr w:type="spellStart"/>
      <w:r w:rsidRPr="004C6D6D">
        <w:rPr>
          <w:rFonts w:ascii="Times New Roman" w:hAnsi="Times New Roman" w:cs="Times New Roman"/>
        </w:rPr>
        <w:t>MMscf</w:t>
      </w:r>
      <w:proofErr w:type="spellEnd"/>
      <w:r w:rsidRPr="004C6D6D">
        <w:rPr>
          <w:rFonts w:ascii="Times New Roman" w:hAnsi="Times New Roman" w:cs="Times New Roman"/>
        </w:rPr>
        <w:t>/d gas plus 70,000 b/d condensate. The field is mature and in decline, necessitating the B3 compression platform to sustain pressure.</w:t>
      </w:r>
    </w:p>
    <w:p w14:paraId="7A1BE0BF" w14:textId="77777777" w:rsidR="004C6D6D" w:rsidRPr="004C6D6D" w:rsidRDefault="004C6D6D" w:rsidP="004C6D6D">
      <w:pPr>
        <w:numPr>
          <w:ilvl w:val="0"/>
          <w:numId w:val="2"/>
        </w:numPr>
        <w:jc w:val="both"/>
        <w:rPr>
          <w:rFonts w:ascii="Times New Roman" w:hAnsi="Times New Roman" w:cs="Times New Roman"/>
        </w:rPr>
      </w:pPr>
      <w:r w:rsidRPr="004C6D6D">
        <w:rPr>
          <w:rFonts w:ascii="Times New Roman" w:hAnsi="Times New Roman" w:cs="Times New Roman"/>
          <w:b/>
          <w:bCs/>
        </w:rPr>
        <w:lastRenderedPageBreak/>
        <w:t>Alen Field:</w:t>
      </w:r>
      <w:r w:rsidRPr="004C6D6D">
        <w:rPr>
          <w:rFonts w:ascii="Times New Roman" w:hAnsi="Times New Roman" w:cs="Times New Roman"/>
        </w:rPr>
        <w:t xml:space="preserve"> First gas February 2021. Initial sales of 200–300 </w:t>
      </w:r>
      <w:proofErr w:type="spellStart"/>
      <w:r w:rsidRPr="004C6D6D">
        <w:rPr>
          <w:rFonts w:ascii="Times New Roman" w:hAnsi="Times New Roman" w:cs="Times New Roman"/>
        </w:rPr>
        <w:t>MMscf</w:t>
      </w:r>
      <w:proofErr w:type="spellEnd"/>
      <w:r w:rsidRPr="004C6D6D">
        <w:rPr>
          <w:rFonts w:ascii="Times New Roman" w:hAnsi="Times New Roman" w:cs="Times New Roman"/>
        </w:rPr>
        <w:t xml:space="preserve">/d gross. Gross recoverable resources of ~600 </w:t>
      </w:r>
      <w:proofErr w:type="spellStart"/>
      <w:r w:rsidRPr="004C6D6D">
        <w:rPr>
          <w:rFonts w:ascii="Times New Roman" w:hAnsi="Times New Roman" w:cs="Times New Roman"/>
        </w:rPr>
        <w:t>Bcfe</w:t>
      </w:r>
      <w:proofErr w:type="spellEnd"/>
      <w:r w:rsidRPr="004C6D6D">
        <w:rPr>
          <w:rFonts w:ascii="Times New Roman" w:hAnsi="Times New Roman" w:cs="Times New Roman"/>
        </w:rPr>
        <w:t xml:space="preserve">. Gas is </w:t>
      </w:r>
      <w:proofErr w:type="spellStart"/>
      <w:r w:rsidRPr="004C6D6D">
        <w:rPr>
          <w:rFonts w:ascii="Times New Roman" w:hAnsi="Times New Roman" w:cs="Times New Roman"/>
        </w:rPr>
        <w:t>tolled</w:t>
      </w:r>
      <w:proofErr w:type="spellEnd"/>
      <w:r w:rsidRPr="004C6D6D">
        <w:rPr>
          <w:rFonts w:ascii="Times New Roman" w:hAnsi="Times New Roman" w:cs="Times New Roman"/>
        </w:rPr>
        <w:t xml:space="preserve"> through the Alba LPG plant before LNG liquefaction.</w:t>
      </w:r>
    </w:p>
    <w:p w14:paraId="1A8A0AAE" w14:textId="77777777" w:rsidR="004C6D6D" w:rsidRPr="004C6D6D" w:rsidRDefault="004C6D6D" w:rsidP="004C6D6D">
      <w:pPr>
        <w:numPr>
          <w:ilvl w:val="0"/>
          <w:numId w:val="2"/>
        </w:numPr>
        <w:jc w:val="both"/>
        <w:rPr>
          <w:rFonts w:ascii="Times New Roman" w:hAnsi="Times New Roman" w:cs="Times New Roman"/>
        </w:rPr>
      </w:pPr>
      <w:r w:rsidRPr="004C6D6D">
        <w:rPr>
          <w:rFonts w:ascii="Times New Roman" w:hAnsi="Times New Roman" w:cs="Times New Roman"/>
          <w:b/>
          <w:bCs/>
        </w:rPr>
        <w:t>Aseng Field:</w:t>
      </w:r>
      <w:r w:rsidRPr="004C6D6D">
        <w:rPr>
          <w:rFonts w:ascii="Times New Roman" w:hAnsi="Times New Roman" w:cs="Times New Roman"/>
        </w:rPr>
        <w:t xml:space="preserve"> Oil production since 2011 with gas reinjection for pressure maintenance. Gas </w:t>
      </w:r>
      <w:proofErr w:type="spellStart"/>
      <w:r w:rsidRPr="004C6D6D">
        <w:rPr>
          <w:rFonts w:ascii="Times New Roman" w:hAnsi="Times New Roman" w:cs="Times New Roman"/>
        </w:rPr>
        <w:t>monetisation</w:t>
      </w:r>
      <w:proofErr w:type="spellEnd"/>
      <w:r w:rsidRPr="004C6D6D">
        <w:rPr>
          <w:rFonts w:ascii="Times New Roman" w:hAnsi="Times New Roman" w:cs="Times New Roman"/>
        </w:rPr>
        <w:t xml:space="preserve"> FID achieved March 2026.</w:t>
      </w:r>
    </w:p>
    <w:p w14:paraId="3CC88276"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Available Spare Capacity:</w:t>
      </w:r>
    </w:p>
    <w:p w14:paraId="7341CD1E" w14:textId="77777777" w:rsidR="004C6D6D" w:rsidRPr="004C6D6D" w:rsidRDefault="004C6D6D" w:rsidP="004C6D6D">
      <w:pPr>
        <w:numPr>
          <w:ilvl w:val="0"/>
          <w:numId w:val="3"/>
        </w:numPr>
        <w:jc w:val="both"/>
        <w:rPr>
          <w:rFonts w:ascii="Times New Roman" w:hAnsi="Times New Roman" w:cs="Times New Roman"/>
        </w:rPr>
      </w:pPr>
      <w:r w:rsidRPr="004C6D6D">
        <w:rPr>
          <w:rFonts w:ascii="Times New Roman" w:hAnsi="Times New Roman" w:cs="Times New Roman"/>
        </w:rPr>
        <w:t xml:space="preserve">The Alen pipeline (950 </w:t>
      </w:r>
      <w:proofErr w:type="spellStart"/>
      <w:r w:rsidRPr="004C6D6D">
        <w:rPr>
          <w:rFonts w:ascii="Times New Roman" w:hAnsi="Times New Roman" w:cs="Times New Roman"/>
        </w:rPr>
        <w:t>MMscf</w:t>
      </w:r>
      <w:proofErr w:type="spellEnd"/>
      <w:r w:rsidRPr="004C6D6D">
        <w:rPr>
          <w:rFonts w:ascii="Times New Roman" w:hAnsi="Times New Roman" w:cs="Times New Roman"/>
        </w:rPr>
        <w:t>/d) currently operates well below nameplate, providing significant headroom for Aseng tie-back and future regional volumes.</w:t>
      </w:r>
    </w:p>
    <w:p w14:paraId="3E66F973" w14:textId="77777777" w:rsidR="004C6D6D" w:rsidRPr="004C6D6D" w:rsidRDefault="004C6D6D" w:rsidP="004C6D6D">
      <w:pPr>
        <w:numPr>
          <w:ilvl w:val="0"/>
          <w:numId w:val="3"/>
        </w:numPr>
        <w:jc w:val="both"/>
        <w:rPr>
          <w:rFonts w:ascii="Times New Roman" w:hAnsi="Times New Roman" w:cs="Times New Roman"/>
        </w:rPr>
      </w:pPr>
      <w:r w:rsidRPr="004C6D6D">
        <w:rPr>
          <w:rFonts w:ascii="Times New Roman" w:hAnsi="Times New Roman" w:cs="Times New Roman"/>
        </w:rPr>
        <w:t xml:space="preserve">EG LNG Train 1 can theoretically process 530 </w:t>
      </w:r>
      <w:proofErr w:type="spellStart"/>
      <w:r w:rsidRPr="004C6D6D">
        <w:rPr>
          <w:rFonts w:ascii="Times New Roman" w:hAnsi="Times New Roman" w:cs="Times New Roman"/>
        </w:rPr>
        <w:t>MMscf</w:t>
      </w:r>
      <w:proofErr w:type="spellEnd"/>
      <w:r w:rsidRPr="004C6D6D">
        <w:rPr>
          <w:rFonts w:ascii="Times New Roman" w:hAnsi="Times New Roman" w:cs="Times New Roman"/>
        </w:rPr>
        <w:t xml:space="preserve">/d; actual feed gas availability has constrained </w:t>
      </w:r>
      <w:proofErr w:type="spellStart"/>
      <w:r w:rsidRPr="004C6D6D">
        <w:rPr>
          <w:rFonts w:ascii="Times New Roman" w:hAnsi="Times New Roman" w:cs="Times New Roman"/>
        </w:rPr>
        <w:t>utilisation</w:t>
      </w:r>
      <w:proofErr w:type="spellEnd"/>
      <w:r w:rsidRPr="004C6D6D">
        <w:rPr>
          <w:rFonts w:ascii="Times New Roman" w:hAnsi="Times New Roman" w:cs="Times New Roman"/>
        </w:rPr>
        <w:t xml:space="preserve"> in recent years.</w:t>
      </w:r>
    </w:p>
    <w:p w14:paraId="0F7C8CDE" w14:textId="77777777" w:rsidR="004C6D6D" w:rsidRPr="004C6D6D" w:rsidRDefault="004C6D6D" w:rsidP="004C6D6D">
      <w:pPr>
        <w:numPr>
          <w:ilvl w:val="0"/>
          <w:numId w:val="3"/>
        </w:numPr>
        <w:jc w:val="both"/>
        <w:rPr>
          <w:rFonts w:ascii="Times New Roman" w:hAnsi="Times New Roman" w:cs="Times New Roman"/>
        </w:rPr>
      </w:pPr>
      <w:r w:rsidRPr="004C6D6D">
        <w:rPr>
          <w:rFonts w:ascii="Times New Roman" w:hAnsi="Times New Roman" w:cs="Times New Roman"/>
        </w:rPr>
        <w:t xml:space="preserve">Train 2 (4.4 </w:t>
      </w:r>
      <w:proofErr w:type="spellStart"/>
      <w:r w:rsidRPr="004C6D6D">
        <w:rPr>
          <w:rFonts w:ascii="Times New Roman" w:hAnsi="Times New Roman" w:cs="Times New Roman"/>
        </w:rPr>
        <w:t>mtpa</w:t>
      </w:r>
      <w:proofErr w:type="spellEnd"/>
      <w:r w:rsidRPr="004C6D6D">
        <w:rPr>
          <w:rFonts w:ascii="Times New Roman" w:hAnsi="Times New Roman" w:cs="Times New Roman"/>
        </w:rPr>
        <w:t>) was planned but inferred cancelled in 2021 due to insufficient reserves. No brownfield expansion of liquefaction capacity is currently viable without secured long-term feedstock.</w:t>
      </w:r>
    </w:p>
    <w:p w14:paraId="3834DD31"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Assessment:</w:t>
      </w:r>
      <w:r w:rsidRPr="004C6D6D">
        <w:rPr>
          <w:rFonts w:ascii="Times New Roman" w:hAnsi="Times New Roman" w:cs="Times New Roman"/>
        </w:rPr>
        <w:t xml:space="preserve"> Existing infrastructure can accommodate additional gas volumes through the Alen pipeline corridor without major brownfield expansion. The constraint is not processing capacity but feed-gas supply.</w:t>
      </w:r>
    </w:p>
    <w:p w14:paraId="5F1671A6" w14:textId="273CC5A9" w:rsidR="004C6D6D" w:rsidRPr="004C6D6D" w:rsidRDefault="004C6D6D" w:rsidP="004C6D6D">
      <w:pPr>
        <w:jc w:val="both"/>
        <w:rPr>
          <w:rFonts w:ascii="Times New Roman" w:hAnsi="Times New Roman" w:cs="Times New Roman"/>
        </w:rPr>
      </w:pPr>
    </w:p>
    <w:p w14:paraId="7B12C6C4"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2. Gas Mega Hub Development</w:t>
      </w:r>
    </w:p>
    <w:p w14:paraId="7AD4288B" w14:textId="4457B431" w:rsidR="004C6D6D" w:rsidRPr="004C6D6D" w:rsidRDefault="004C6D6D" w:rsidP="004C6D6D">
      <w:pPr>
        <w:jc w:val="both"/>
        <w:rPr>
          <w:rFonts w:ascii="Times New Roman" w:hAnsi="Times New Roman" w:cs="Times New Roman"/>
        </w:rPr>
      </w:pPr>
      <w:r w:rsidRPr="004C6D6D">
        <w:rPr>
          <w:rFonts w:ascii="Times New Roman" w:hAnsi="Times New Roman" w:cs="Times New Roman"/>
        </w:rPr>
        <w:t>The Gas Mega Hub has evolved from a single-field backfill concept (Alen) to a multi-phase regional aggregation strategy.</w:t>
      </w:r>
    </w:p>
    <w:tbl>
      <w:tblPr>
        <w:tblStyle w:val="TableGrid"/>
        <w:tblW w:w="9810" w:type="dxa"/>
        <w:tblInd w:w="-185" w:type="dxa"/>
        <w:tblLayout w:type="fixed"/>
        <w:tblLook w:val="04A0" w:firstRow="1" w:lastRow="0" w:firstColumn="1" w:lastColumn="0" w:noHBand="0" w:noVBand="1"/>
      </w:tblPr>
      <w:tblGrid>
        <w:gridCol w:w="816"/>
        <w:gridCol w:w="1697"/>
        <w:gridCol w:w="1402"/>
        <w:gridCol w:w="1163"/>
        <w:gridCol w:w="1692"/>
        <w:gridCol w:w="1420"/>
        <w:gridCol w:w="1620"/>
      </w:tblGrid>
      <w:tr w:rsidR="004C6D6D" w:rsidRPr="004C6D6D" w14:paraId="32FF90FC" w14:textId="77777777" w:rsidTr="004C6D6D">
        <w:tc>
          <w:tcPr>
            <w:tcW w:w="816" w:type="dxa"/>
            <w:hideMark/>
          </w:tcPr>
          <w:p w14:paraId="3824562E"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Phase</w:t>
            </w:r>
          </w:p>
        </w:tc>
        <w:tc>
          <w:tcPr>
            <w:tcW w:w="1697" w:type="dxa"/>
            <w:hideMark/>
          </w:tcPr>
          <w:p w14:paraId="650AFBF3"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Project</w:t>
            </w:r>
          </w:p>
        </w:tc>
        <w:tc>
          <w:tcPr>
            <w:tcW w:w="1402" w:type="dxa"/>
            <w:hideMark/>
          </w:tcPr>
          <w:p w14:paraId="71707FED"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Gas Resource</w:t>
            </w:r>
          </w:p>
        </w:tc>
        <w:tc>
          <w:tcPr>
            <w:tcW w:w="1163" w:type="dxa"/>
            <w:hideMark/>
          </w:tcPr>
          <w:p w14:paraId="03E8A176"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Expected Supply</w:t>
            </w:r>
          </w:p>
        </w:tc>
        <w:tc>
          <w:tcPr>
            <w:tcW w:w="1692" w:type="dxa"/>
            <w:hideMark/>
          </w:tcPr>
          <w:p w14:paraId="0E86D0CF"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Infrastructure</w:t>
            </w:r>
          </w:p>
        </w:tc>
        <w:tc>
          <w:tcPr>
            <w:tcW w:w="1420" w:type="dxa"/>
            <w:hideMark/>
          </w:tcPr>
          <w:p w14:paraId="65055DBA"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Status</w:t>
            </w:r>
          </w:p>
        </w:tc>
        <w:tc>
          <w:tcPr>
            <w:tcW w:w="1620" w:type="dxa"/>
            <w:hideMark/>
          </w:tcPr>
          <w:p w14:paraId="19E9A22E"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Target Start</w:t>
            </w:r>
          </w:p>
        </w:tc>
      </w:tr>
      <w:tr w:rsidR="004C6D6D" w:rsidRPr="004C6D6D" w14:paraId="28DF0385" w14:textId="77777777" w:rsidTr="004C6D6D">
        <w:tc>
          <w:tcPr>
            <w:tcW w:w="816" w:type="dxa"/>
            <w:hideMark/>
          </w:tcPr>
          <w:p w14:paraId="1169D7F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I</w:t>
            </w:r>
          </w:p>
        </w:tc>
        <w:tc>
          <w:tcPr>
            <w:tcW w:w="1697" w:type="dxa"/>
            <w:hideMark/>
          </w:tcPr>
          <w:p w14:paraId="248EA5A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Alen Gas </w:t>
            </w:r>
            <w:proofErr w:type="spellStart"/>
            <w:r w:rsidRPr="004C6D6D">
              <w:rPr>
                <w:rFonts w:ascii="Times New Roman" w:hAnsi="Times New Roman" w:cs="Times New Roman"/>
              </w:rPr>
              <w:t>Monetisation</w:t>
            </w:r>
            <w:proofErr w:type="spellEnd"/>
          </w:p>
        </w:tc>
        <w:tc>
          <w:tcPr>
            <w:tcW w:w="1402" w:type="dxa"/>
            <w:hideMark/>
          </w:tcPr>
          <w:p w14:paraId="0F74B9E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~600 </w:t>
            </w:r>
            <w:proofErr w:type="spellStart"/>
            <w:r w:rsidRPr="004C6D6D">
              <w:rPr>
                <w:rFonts w:ascii="Times New Roman" w:hAnsi="Times New Roman" w:cs="Times New Roman"/>
              </w:rPr>
              <w:t>Bcfe</w:t>
            </w:r>
            <w:proofErr w:type="spellEnd"/>
            <w:r w:rsidRPr="004C6D6D">
              <w:rPr>
                <w:rFonts w:ascii="Times New Roman" w:hAnsi="Times New Roman" w:cs="Times New Roman"/>
              </w:rPr>
              <w:t xml:space="preserve"> recoverable; 3 </w:t>
            </w:r>
            <w:proofErr w:type="spellStart"/>
            <w:r w:rsidRPr="004C6D6D">
              <w:rPr>
                <w:rFonts w:ascii="Times New Roman" w:hAnsi="Times New Roman" w:cs="Times New Roman"/>
              </w:rPr>
              <w:t>Tcf</w:t>
            </w:r>
            <w:proofErr w:type="spellEnd"/>
            <w:r w:rsidRPr="004C6D6D">
              <w:rPr>
                <w:rFonts w:ascii="Times New Roman" w:hAnsi="Times New Roman" w:cs="Times New Roman"/>
              </w:rPr>
              <w:t xml:space="preserve"> gross Douala Basin</w:t>
            </w:r>
          </w:p>
        </w:tc>
        <w:tc>
          <w:tcPr>
            <w:tcW w:w="1163" w:type="dxa"/>
            <w:hideMark/>
          </w:tcPr>
          <w:p w14:paraId="0C0B9C8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200–300 </w:t>
            </w:r>
            <w:proofErr w:type="spellStart"/>
            <w:r w:rsidRPr="004C6D6D">
              <w:rPr>
                <w:rFonts w:ascii="Times New Roman" w:hAnsi="Times New Roman" w:cs="Times New Roman"/>
              </w:rPr>
              <w:t>MMscf</w:t>
            </w:r>
            <w:proofErr w:type="spellEnd"/>
            <w:r w:rsidRPr="004C6D6D">
              <w:rPr>
                <w:rFonts w:ascii="Times New Roman" w:hAnsi="Times New Roman" w:cs="Times New Roman"/>
              </w:rPr>
              <w:t>/d initially</w:t>
            </w:r>
          </w:p>
        </w:tc>
        <w:tc>
          <w:tcPr>
            <w:tcW w:w="1692" w:type="dxa"/>
            <w:hideMark/>
          </w:tcPr>
          <w:p w14:paraId="348155F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70 km subsea pipeline to Punta Europa</w:t>
            </w:r>
          </w:p>
        </w:tc>
        <w:tc>
          <w:tcPr>
            <w:tcW w:w="1420" w:type="dxa"/>
            <w:hideMark/>
          </w:tcPr>
          <w:p w14:paraId="60CCAE6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Operating</w:t>
            </w:r>
            <w:r w:rsidRPr="004C6D6D">
              <w:rPr>
                <w:rFonts w:ascii="Times New Roman" w:hAnsi="Times New Roman" w:cs="Times New Roman"/>
              </w:rPr>
              <w:t xml:space="preserve"> since Feb 2021</w:t>
            </w:r>
          </w:p>
        </w:tc>
        <w:tc>
          <w:tcPr>
            <w:tcW w:w="1620" w:type="dxa"/>
            <w:hideMark/>
          </w:tcPr>
          <w:p w14:paraId="274BFAB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2021 (achieved)</w:t>
            </w:r>
          </w:p>
        </w:tc>
      </w:tr>
      <w:tr w:rsidR="004C6D6D" w:rsidRPr="004C6D6D" w14:paraId="2DE01015" w14:textId="77777777" w:rsidTr="004C6D6D">
        <w:tc>
          <w:tcPr>
            <w:tcW w:w="816" w:type="dxa"/>
            <w:hideMark/>
          </w:tcPr>
          <w:p w14:paraId="0E96DD8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II</w:t>
            </w:r>
          </w:p>
        </w:tc>
        <w:tc>
          <w:tcPr>
            <w:tcW w:w="1697" w:type="dxa"/>
            <w:hideMark/>
          </w:tcPr>
          <w:p w14:paraId="4CBC960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Alba Infill / Tail Gas</w:t>
            </w:r>
          </w:p>
        </w:tc>
        <w:tc>
          <w:tcPr>
            <w:tcW w:w="1402" w:type="dxa"/>
            <w:hideMark/>
          </w:tcPr>
          <w:p w14:paraId="79D531A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Alba field remaining reserves</w:t>
            </w:r>
          </w:p>
        </w:tc>
        <w:tc>
          <w:tcPr>
            <w:tcW w:w="1163" w:type="dxa"/>
            <w:hideMark/>
          </w:tcPr>
          <w:p w14:paraId="02DFF2E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100–180 </w:t>
            </w:r>
            <w:proofErr w:type="spellStart"/>
            <w:r w:rsidRPr="004C6D6D">
              <w:rPr>
                <w:rFonts w:ascii="Times New Roman" w:hAnsi="Times New Roman" w:cs="Times New Roman"/>
              </w:rPr>
              <w:t>MMscf</w:t>
            </w:r>
            <w:proofErr w:type="spellEnd"/>
            <w:r w:rsidRPr="004C6D6D">
              <w:rPr>
                <w:rFonts w:ascii="Times New Roman" w:hAnsi="Times New Roman" w:cs="Times New Roman"/>
              </w:rPr>
              <w:t>/d declining</w:t>
            </w:r>
          </w:p>
        </w:tc>
        <w:tc>
          <w:tcPr>
            <w:tcW w:w="1692" w:type="dxa"/>
            <w:hideMark/>
          </w:tcPr>
          <w:p w14:paraId="6477146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B3 compression; modified processing terms</w:t>
            </w:r>
          </w:p>
        </w:tc>
        <w:tc>
          <w:tcPr>
            <w:tcW w:w="1420" w:type="dxa"/>
            <w:hideMark/>
          </w:tcPr>
          <w:p w14:paraId="4755ECD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Operating</w:t>
            </w:r>
            <w:r w:rsidRPr="004C6D6D">
              <w:rPr>
                <w:rFonts w:ascii="Times New Roman" w:hAnsi="Times New Roman" w:cs="Times New Roman"/>
              </w:rPr>
              <w:t xml:space="preserve"> under new contractual terms from 2024</w:t>
            </w:r>
          </w:p>
        </w:tc>
        <w:tc>
          <w:tcPr>
            <w:tcW w:w="1620" w:type="dxa"/>
            <w:hideMark/>
          </w:tcPr>
          <w:p w14:paraId="466BBA8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2024 (achieved)</w:t>
            </w:r>
          </w:p>
        </w:tc>
      </w:tr>
      <w:tr w:rsidR="004C6D6D" w:rsidRPr="004C6D6D" w14:paraId="7C929493" w14:textId="77777777" w:rsidTr="004C6D6D">
        <w:tc>
          <w:tcPr>
            <w:tcW w:w="816" w:type="dxa"/>
            <w:hideMark/>
          </w:tcPr>
          <w:p w14:paraId="07D5C83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lastRenderedPageBreak/>
              <w:t>III</w:t>
            </w:r>
          </w:p>
        </w:tc>
        <w:tc>
          <w:tcPr>
            <w:tcW w:w="1697" w:type="dxa"/>
            <w:hideMark/>
          </w:tcPr>
          <w:p w14:paraId="2F6E2CD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Aseng Gas Project</w:t>
            </w:r>
          </w:p>
        </w:tc>
        <w:tc>
          <w:tcPr>
            <w:tcW w:w="1402" w:type="dxa"/>
            <w:hideMark/>
          </w:tcPr>
          <w:p w14:paraId="30B9EAB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550 Bcf gas in Block I</w:t>
            </w:r>
          </w:p>
        </w:tc>
        <w:tc>
          <w:tcPr>
            <w:tcW w:w="1163" w:type="dxa"/>
            <w:hideMark/>
          </w:tcPr>
          <w:p w14:paraId="676DA54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150–200 </w:t>
            </w:r>
            <w:proofErr w:type="spellStart"/>
            <w:r w:rsidRPr="004C6D6D">
              <w:rPr>
                <w:rFonts w:ascii="Times New Roman" w:hAnsi="Times New Roman" w:cs="Times New Roman"/>
              </w:rPr>
              <w:t>MMscf</w:t>
            </w:r>
            <w:proofErr w:type="spellEnd"/>
            <w:r w:rsidRPr="004C6D6D">
              <w:rPr>
                <w:rFonts w:ascii="Times New Roman" w:hAnsi="Times New Roman" w:cs="Times New Roman"/>
              </w:rPr>
              <w:t>/d peak</w:t>
            </w:r>
          </w:p>
        </w:tc>
        <w:tc>
          <w:tcPr>
            <w:tcW w:w="1692" w:type="dxa"/>
            <w:hideMark/>
          </w:tcPr>
          <w:p w14:paraId="746A5CD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Subsea tie-back to Alen platform; 19 km flowline; 800 m water depth</w:t>
            </w:r>
          </w:p>
        </w:tc>
        <w:tc>
          <w:tcPr>
            <w:tcW w:w="1420" w:type="dxa"/>
            <w:hideMark/>
          </w:tcPr>
          <w:p w14:paraId="2F79CD2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FID March 2026</w:t>
            </w:r>
          </w:p>
        </w:tc>
        <w:tc>
          <w:tcPr>
            <w:tcW w:w="1620" w:type="dxa"/>
            <w:hideMark/>
          </w:tcPr>
          <w:p w14:paraId="6EC0FC0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~2028–2029</w:t>
            </w:r>
          </w:p>
        </w:tc>
      </w:tr>
      <w:tr w:rsidR="004C6D6D" w:rsidRPr="004C6D6D" w14:paraId="30A09B13" w14:textId="77777777" w:rsidTr="004C6D6D">
        <w:tc>
          <w:tcPr>
            <w:tcW w:w="816" w:type="dxa"/>
            <w:hideMark/>
          </w:tcPr>
          <w:p w14:paraId="1E5AD66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IV</w:t>
            </w:r>
          </w:p>
        </w:tc>
        <w:tc>
          <w:tcPr>
            <w:tcW w:w="1697" w:type="dxa"/>
            <w:hideMark/>
          </w:tcPr>
          <w:p w14:paraId="1DDFB86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Yoyo-Yolanda</w:t>
            </w:r>
          </w:p>
        </w:tc>
        <w:tc>
          <w:tcPr>
            <w:tcW w:w="1402" w:type="dxa"/>
            <w:hideMark/>
          </w:tcPr>
          <w:p w14:paraId="2AB348B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2.5 </w:t>
            </w:r>
            <w:proofErr w:type="spellStart"/>
            <w:r w:rsidRPr="004C6D6D">
              <w:rPr>
                <w:rFonts w:ascii="Times New Roman" w:hAnsi="Times New Roman" w:cs="Times New Roman"/>
              </w:rPr>
              <w:t>Tcf</w:t>
            </w:r>
            <w:proofErr w:type="spellEnd"/>
            <w:r w:rsidRPr="004C6D6D">
              <w:rPr>
                <w:rFonts w:ascii="Times New Roman" w:hAnsi="Times New Roman" w:cs="Times New Roman"/>
              </w:rPr>
              <w:t xml:space="preserve"> in place (16% EG = ~0.4 </w:t>
            </w:r>
            <w:proofErr w:type="spellStart"/>
            <w:r w:rsidRPr="004C6D6D">
              <w:rPr>
                <w:rFonts w:ascii="Times New Roman" w:hAnsi="Times New Roman" w:cs="Times New Roman"/>
              </w:rPr>
              <w:t>Tcf</w:t>
            </w:r>
            <w:proofErr w:type="spellEnd"/>
            <w:r w:rsidRPr="004C6D6D">
              <w:rPr>
                <w:rFonts w:ascii="Times New Roman" w:hAnsi="Times New Roman" w:cs="Times New Roman"/>
              </w:rPr>
              <w:t xml:space="preserve"> EG share)</w:t>
            </w:r>
          </w:p>
        </w:tc>
        <w:tc>
          <w:tcPr>
            <w:tcW w:w="1163" w:type="dxa"/>
            <w:hideMark/>
          </w:tcPr>
          <w:p w14:paraId="3AF8D4B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100–150 </w:t>
            </w:r>
            <w:proofErr w:type="spellStart"/>
            <w:r w:rsidRPr="004C6D6D">
              <w:rPr>
                <w:rFonts w:ascii="Times New Roman" w:hAnsi="Times New Roman" w:cs="Times New Roman"/>
              </w:rPr>
              <w:t>MMscf</w:t>
            </w:r>
            <w:proofErr w:type="spellEnd"/>
            <w:r w:rsidRPr="004C6D6D">
              <w:rPr>
                <w:rFonts w:ascii="Times New Roman" w:hAnsi="Times New Roman" w:cs="Times New Roman"/>
              </w:rPr>
              <w:t>/d to Punta Europa</w:t>
            </w:r>
          </w:p>
        </w:tc>
        <w:tc>
          <w:tcPr>
            <w:tcW w:w="1692" w:type="dxa"/>
            <w:hideMark/>
          </w:tcPr>
          <w:p w14:paraId="77055A9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Subsea tie-back to Alen; potential dual pipeline to Cameroon </w:t>
            </w:r>
            <w:proofErr w:type="spellStart"/>
            <w:r w:rsidRPr="004C6D6D">
              <w:rPr>
                <w:rFonts w:ascii="Times New Roman" w:hAnsi="Times New Roman" w:cs="Times New Roman"/>
              </w:rPr>
              <w:t>Bipaga</w:t>
            </w:r>
            <w:proofErr w:type="spellEnd"/>
          </w:p>
        </w:tc>
        <w:tc>
          <w:tcPr>
            <w:tcW w:w="1420" w:type="dxa"/>
            <w:hideMark/>
          </w:tcPr>
          <w:p w14:paraId="2370C16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Unitization agreement signed Feb 2026</w:t>
            </w:r>
          </w:p>
        </w:tc>
        <w:tc>
          <w:tcPr>
            <w:tcW w:w="1620" w:type="dxa"/>
            <w:hideMark/>
          </w:tcPr>
          <w:p w14:paraId="37B8339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~2031–2032</w:t>
            </w:r>
          </w:p>
        </w:tc>
      </w:tr>
      <w:tr w:rsidR="004C6D6D" w:rsidRPr="004C6D6D" w14:paraId="6613EB6A" w14:textId="77777777" w:rsidTr="004C6D6D">
        <w:tc>
          <w:tcPr>
            <w:tcW w:w="816" w:type="dxa"/>
            <w:hideMark/>
          </w:tcPr>
          <w:p w14:paraId="1C69F29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V</w:t>
            </w:r>
          </w:p>
        </w:tc>
        <w:tc>
          <w:tcPr>
            <w:tcW w:w="1697" w:type="dxa"/>
            <w:hideMark/>
          </w:tcPr>
          <w:p w14:paraId="278D01D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ConocoPhillips Blocks</w:t>
            </w:r>
          </w:p>
        </w:tc>
        <w:tc>
          <w:tcPr>
            <w:tcW w:w="1402" w:type="dxa"/>
            <w:hideMark/>
          </w:tcPr>
          <w:p w14:paraId="678BA32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3.5 </w:t>
            </w:r>
            <w:proofErr w:type="spellStart"/>
            <w:r w:rsidRPr="004C6D6D">
              <w:rPr>
                <w:rFonts w:ascii="Times New Roman" w:hAnsi="Times New Roman" w:cs="Times New Roman"/>
              </w:rPr>
              <w:t>Tcf</w:t>
            </w:r>
            <w:proofErr w:type="spellEnd"/>
            <w:r w:rsidRPr="004C6D6D">
              <w:rPr>
                <w:rFonts w:ascii="Times New Roman" w:hAnsi="Times New Roman" w:cs="Times New Roman"/>
              </w:rPr>
              <w:t xml:space="preserve"> (EG-27: 2.8 </w:t>
            </w:r>
            <w:proofErr w:type="spellStart"/>
            <w:r w:rsidRPr="004C6D6D">
              <w:rPr>
                <w:rFonts w:ascii="Times New Roman" w:hAnsi="Times New Roman" w:cs="Times New Roman"/>
              </w:rPr>
              <w:t>Tcf</w:t>
            </w:r>
            <w:proofErr w:type="spellEnd"/>
            <w:r w:rsidRPr="004C6D6D">
              <w:rPr>
                <w:rFonts w:ascii="Times New Roman" w:hAnsi="Times New Roman" w:cs="Times New Roman"/>
              </w:rPr>
              <w:t xml:space="preserve">; B/4: 0.7 </w:t>
            </w:r>
            <w:proofErr w:type="spellStart"/>
            <w:r w:rsidRPr="004C6D6D">
              <w:rPr>
                <w:rFonts w:ascii="Times New Roman" w:hAnsi="Times New Roman" w:cs="Times New Roman"/>
              </w:rPr>
              <w:t>Tcf</w:t>
            </w:r>
            <w:proofErr w:type="spellEnd"/>
            <w:r w:rsidRPr="004C6D6D">
              <w:rPr>
                <w:rFonts w:ascii="Times New Roman" w:hAnsi="Times New Roman" w:cs="Times New Roman"/>
              </w:rPr>
              <w:t>)</w:t>
            </w:r>
          </w:p>
        </w:tc>
        <w:tc>
          <w:tcPr>
            <w:tcW w:w="1163" w:type="dxa"/>
            <w:hideMark/>
          </w:tcPr>
          <w:p w14:paraId="72FE6B5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TBD</w:t>
            </w:r>
          </w:p>
        </w:tc>
        <w:tc>
          <w:tcPr>
            <w:tcW w:w="1692" w:type="dxa"/>
            <w:hideMark/>
          </w:tcPr>
          <w:p w14:paraId="25693C4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New offshore infrastructure; pipeline to Punta Europa</w:t>
            </w:r>
          </w:p>
        </w:tc>
        <w:tc>
          <w:tcPr>
            <w:tcW w:w="1420" w:type="dxa"/>
            <w:hideMark/>
          </w:tcPr>
          <w:p w14:paraId="513A4EE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HOA signed Sept 2025; PSC negotiation ongoing</w:t>
            </w:r>
          </w:p>
        </w:tc>
        <w:tc>
          <w:tcPr>
            <w:tcW w:w="1620" w:type="dxa"/>
            <w:hideMark/>
          </w:tcPr>
          <w:p w14:paraId="44F0D47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2032+</w:t>
            </w:r>
          </w:p>
        </w:tc>
      </w:tr>
      <w:tr w:rsidR="004C6D6D" w:rsidRPr="004C6D6D" w14:paraId="1C376E7F" w14:textId="77777777" w:rsidTr="004C6D6D">
        <w:tc>
          <w:tcPr>
            <w:tcW w:w="816" w:type="dxa"/>
            <w:hideMark/>
          </w:tcPr>
          <w:p w14:paraId="253B29F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VI</w:t>
            </w:r>
          </w:p>
        </w:tc>
        <w:tc>
          <w:tcPr>
            <w:tcW w:w="1697" w:type="dxa"/>
            <w:hideMark/>
          </w:tcPr>
          <w:p w14:paraId="69C57DC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Other Domestic</w:t>
            </w:r>
          </w:p>
        </w:tc>
        <w:tc>
          <w:tcPr>
            <w:tcW w:w="1402" w:type="dxa"/>
            <w:hideMark/>
          </w:tcPr>
          <w:p w14:paraId="5877636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EG-23, EG-08, </w:t>
            </w:r>
            <w:proofErr w:type="spellStart"/>
            <w:r w:rsidRPr="004C6D6D">
              <w:rPr>
                <w:rFonts w:ascii="Times New Roman" w:hAnsi="Times New Roman" w:cs="Times New Roman"/>
              </w:rPr>
              <w:t>Ebano</w:t>
            </w:r>
            <w:proofErr w:type="spellEnd"/>
            <w:r w:rsidRPr="004C6D6D">
              <w:rPr>
                <w:rFonts w:ascii="Times New Roman" w:hAnsi="Times New Roman" w:cs="Times New Roman"/>
              </w:rPr>
              <w:t>, infill drilling</w:t>
            </w:r>
          </w:p>
        </w:tc>
        <w:tc>
          <w:tcPr>
            <w:tcW w:w="1163" w:type="dxa"/>
            <w:hideMark/>
          </w:tcPr>
          <w:p w14:paraId="772E63E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50–100 </w:t>
            </w:r>
            <w:proofErr w:type="spellStart"/>
            <w:r w:rsidRPr="004C6D6D">
              <w:rPr>
                <w:rFonts w:ascii="Times New Roman" w:hAnsi="Times New Roman" w:cs="Times New Roman"/>
              </w:rPr>
              <w:t>MMscf</w:t>
            </w:r>
            <w:proofErr w:type="spellEnd"/>
            <w:r w:rsidRPr="004C6D6D">
              <w:rPr>
                <w:rFonts w:ascii="Times New Roman" w:hAnsi="Times New Roman" w:cs="Times New Roman"/>
              </w:rPr>
              <w:t>/d aggregate</w:t>
            </w:r>
          </w:p>
        </w:tc>
        <w:tc>
          <w:tcPr>
            <w:tcW w:w="1692" w:type="dxa"/>
            <w:hideMark/>
          </w:tcPr>
          <w:p w14:paraId="49BA7E5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Tie-backs to existing infrastructure</w:t>
            </w:r>
          </w:p>
        </w:tc>
        <w:tc>
          <w:tcPr>
            <w:tcW w:w="1420" w:type="dxa"/>
            <w:hideMark/>
          </w:tcPr>
          <w:p w14:paraId="128C994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Exploration/appraisal</w:t>
            </w:r>
          </w:p>
        </w:tc>
        <w:tc>
          <w:tcPr>
            <w:tcW w:w="1620" w:type="dxa"/>
            <w:hideMark/>
          </w:tcPr>
          <w:p w14:paraId="36E221C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2030+</w:t>
            </w:r>
          </w:p>
        </w:tc>
      </w:tr>
    </w:tbl>
    <w:p w14:paraId="6643EB65" w14:textId="77777777" w:rsidR="004C6D6D" w:rsidRDefault="004C6D6D" w:rsidP="004C6D6D">
      <w:pPr>
        <w:jc w:val="both"/>
        <w:rPr>
          <w:rFonts w:ascii="Times New Roman" w:hAnsi="Times New Roman" w:cs="Times New Roman"/>
          <w:b/>
          <w:bCs/>
        </w:rPr>
      </w:pPr>
    </w:p>
    <w:p w14:paraId="1596BA62" w14:textId="70A432F6"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Feedstock Sufficiency Assessment:</w:t>
      </w:r>
      <w:r w:rsidRPr="004C6D6D">
        <w:rPr>
          <w:rFonts w:ascii="Times New Roman" w:hAnsi="Times New Roman" w:cs="Times New Roman"/>
        </w:rPr>
        <w:t xml:space="preserve"> Confirmed GMH phases (Alen + Alba + Aseng) provide approximately 1.0–1.2 </w:t>
      </w:r>
      <w:proofErr w:type="spellStart"/>
      <w:r w:rsidRPr="004C6D6D">
        <w:rPr>
          <w:rFonts w:ascii="Times New Roman" w:hAnsi="Times New Roman" w:cs="Times New Roman"/>
        </w:rPr>
        <w:t>Tcf</w:t>
      </w:r>
      <w:proofErr w:type="spellEnd"/>
      <w:r w:rsidRPr="004C6D6D">
        <w:rPr>
          <w:rFonts w:ascii="Times New Roman" w:hAnsi="Times New Roman" w:cs="Times New Roman"/>
        </w:rPr>
        <w:t xml:space="preserve"> of recoverable gas. At a combined average production rate of 400–500 </w:t>
      </w:r>
      <w:proofErr w:type="spellStart"/>
      <w:r w:rsidRPr="004C6D6D">
        <w:rPr>
          <w:rFonts w:ascii="Times New Roman" w:hAnsi="Times New Roman" w:cs="Times New Roman"/>
        </w:rPr>
        <w:t>MMscf</w:t>
      </w:r>
      <w:proofErr w:type="spellEnd"/>
      <w:r w:rsidRPr="004C6D6D">
        <w:rPr>
          <w:rFonts w:ascii="Times New Roman" w:hAnsi="Times New Roman" w:cs="Times New Roman"/>
        </w:rPr>
        <w:t xml:space="preserve">/d, this sustains partial LNG </w:t>
      </w:r>
      <w:proofErr w:type="spellStart"/>
      <w:r w:rsidRPr="004C6D6D">
        <w:rPr>
          <w:rFonts w:ascii="Times New Roman" w:hAnsi="Times New Roman" w:cs="Times New Roman"/>
        </w:rPr>
        <w:t>utilisation</w:t>
      </w:r>
      <w:proofErr w:type="spellEnd"/>
      <w:r w:rsidRPr="004C6D6D">
        <w:rPr>
          <w:rFonts w:ascii="Times New Roman" w:hAnsi="Times New Roman" w:cs="Times New Roman"/>
        </w:rPr>
        <w:t xml:space="preserve"> for approximately 6–8 years. However, to achieve sustained high </w:t>
      </w:r>
      <w:proofErr w:type="spellStart"/>
      <w:r w:rsidRPr="004C6D6D">
        <w:rPr>
          <w:rFonts w:ascii="Times New Roman" w:hAnsi="Times New Roman" w:cs="Times New Roman"/>
        </w:rPr>
        <w:t>utilisation</w:t>
      </w:r>
      <w:proofErr w:type="spellEnd"/>
      <w:r w:rsidRPr="004C6D6D">
        <w:rPr>
          <w:rFonts w:ascii="Times New Roman" w:hAnsi="Times New Roman" w:cs="Times New Roman"/>
        </w:rPr>
        <w:t xml:space="preserve"> of EG LNG (530 </w:t>
      </w:r>
      <w:proofErr w:type="spellStart"/>
      <w:r w:rsidRPr="004C6D6D">
        <w:rPr>
          <w:rFonts w:ascii="Times New Roman" w:hAnsi="Times New Roman" w:cs="Times New Roman"/>
        </w:rPr>
        <w:t>MMscf</w:t>
      </w:r>
      <w:proofErr w:type="spellEnd"/>
      <w:r w:rsidRPr="004C6D6D">
        <w:rPr>
          <w:rFonts w:ascii="Times New Roman" w:hAnsi="Times New Roman" w:cs="Times New Roman"/>
        </w:rPr>
        <w:t xml:space="preserve">/d) plus methanol and LPG (175 </w:t>
      </w:r>
      <w:proofErr w:type="spellStart"/>
      <w:r w:rsidRPr="004C6D6D">
        <w:rPr>
          <w:rFonts w:ascii="Times New Roman" w:hAnsi="Times New Roman" w:cs="Times New Roman"/>
        </w:rPr>
        <w:t>MMscf</w:t>
      </w:r>
      <w:proofErr w:type="spellEnd"/>
      <w:r w:rsidRPr="004C6D6D">
        <w:rPr>
          <w:rFonts w:ascii="Times New Roman" w:hAnsi="Times New Roman" w:cs="Times New Roman"/>
        </w:rPr>
        <w:t xml:space="preserve">/d), a total of ~705 </w:t>
      </w:r>
      <w:proofErr w:type="spellStart"/>
      <w:r w:rsidRPr="004C6D6D">
        <w:rPr>
          <w:rFonts w:ascii="Times New Roman" w:hAnsi="Times New Roman" w:cs="Times New Roman"/>
        </w:rPr>
        <w:t>MMscf</w:t>
      </w:r>
      <w:proofErr w:type="spellEnd"/>
      <w:r w:rsidRPr="004C6D6D">
        <w:rPr>
          <w:rFonts w:ascii="Times New Roman" w:hAnsi="Times New Roman" w:cs="Times New Roman"/>
        </w:rPr>
        <w:t>/d is required. Domestic sources alone cannot meet this requirement beyond the late 2020s, creating a structural need for Phase IV and beyond.</w:t>
      </w:r>
    </w:p>
    <w:p w14:paraId="5278F693" w14:textId="56AA6E69" w:rsidR="004C6D6D" w:rsidRPr="004C6D6D" w:rsidRDefault="004C6D6D" w:rsidP="004C6D6D">
      <w:pPr>
        <w:jc w:val="both"/>
        <w:rPr>
          <w:rFonts w:ascii="Times New Roman" w:hAnsi="Times New Roman" w:cs="Times New Roman"/>
        </w:rPr>
      </w:pPr>
    </w:p>
    <w:p w14:paraId="05984F5B"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3. Aseng Gas Project and Feedstock Security</w:t>
      </w:r>
    </w:p>
    <w:p w14:paraId="3F290364"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3.1 Project Overview</w:t>
      </w:r>
    </w:p>
    <w:p w14:paraId="2373E90C"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rPr>
        <w:t>The Aseng Gas Project represents the most significant near-term feedstock addition to Punta Europa.</w:t>
      </w:r>
    </w:p>
    <w:p w14:paraId="30C04368"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lastRenderedPageBreak/>
        <w:t>Resource Base:</w:t>
      </w:r>
      <w:r w:rsidRPr="004C6D6D">
        <w:rPr>
          <w:rFonts w:ascii="Times New Roman" w:hAnsi="Times New Roman" w:cs="Times New Roman"/>
        </w:rPr>
        <w:t xml:space="preserve"> Approximately 550 Bcf of natural gas in Block I, offshore Bioko Island. The Aseng field has produced oil since 2011, with gas historically reinjected for reservoir pressure maintenance.</w:t>
      </w:r>
    </w:p>
    <w:p w14:paraId="5AE6C2A6"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Development Concept:</w:t>
      </w:r>
      <w:r w:rsidRPr="004C6D6D">
        <w:rPr>
          <w:rFonts w:ascii="Times New Roman" w:hAnsi="Times New Roman" w:cs="Times New Roman"/>
        </w:rPr>
        <w:t xml:space="preserve"> Capital-efficient subsea tie-back to the existing Alen platform, rather than standalone infrastructure. This approach </w:t>
      </w:r>
      <w:proofErr w:type="spellStart"/>
      <w:r w:rsidRPr="004C6D6D">
        <w:rPr>
          <w:rFonts w:ascii="Times New Roman" w:hAnsi="Times New Roman" w:cs="Times New Roman"/>
        </w:rPr>
        <w:t>minimises</w:t>
      </w:r>
      <w:proofErr w:type="spellEnd"/>
      <w:r w:rsidRPr="004C6D6D">
        <w:rPr>
          <w:rFonts w:ascii="Times New Roman" w:hAnsi="Times New Roman" w:cs="Times New Roman"/>
        </w:rPr>
        <w:t xml:space="preserve"> CAPEX and accelerates first gas.</w:t>
      </w:r>
    </w:p>
    <w:p w14:paraId="61C63A49"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Infrastructure:</w:t>
      </w:r>
    </w:p>
    <w:p w14:paraId="0CB6F683" w14:textId="77777777" w:rsidR="004C6D6D" w:rsidRPr="004C6D6D" w:rsidRDefault="004C6D6D" w:rsidP="004C6D6D">
      <w:pPr>
        <w:numPr>
          <w:ilvl w:val="0"/>
          <w:numId w:val="4"/>
        </w:numPr>
        <w:jc w:val="both"/>
        <w:rPr>
          <w:rFonts w:ascii="Times New Roman" w:hAnsi="Times New Roman" w:cs="Times New Roman"/>
        </w:rPr>
      </w:pPr>
      <w:r w:rsidRPr="004C6D6D">
        <w:rPr>
          <w:rFonts w:ascii="Times New Roman" w:hAnsi="Times New Roman" w:cs="Times New Roman"/>
        </w:rPr>
        <w:t>19 km rigid production flowline</w:t>
      </w:r>
    </w:p>
    <w:p w14:paraId="621BB9F5" w14:textId="77777777" w:rsidR="004C6D6D" w:rsidRPr="004C6D6D" w:rsidRDefault="004C6D6D" w:rsidP="004C6D6D">
      <w:pPr>
        <w:numPr>
          <w:ilvl w:val="0"/>
          <w:numId w:val="4"/>
        </w:numPr>
        <w:jc w:val="both"/>
        <w:rPr>
          <w:rFonts w:ascii="Times New Roman" w:hAnsi="Times New Roman" w:cs="Times New Roman"/>
        </w:rPr>
      </w:pPr>
      <w:r w:rsidRPr="004C6D6D">
        <w:rPr>
          <w:rFonts w:ascii="Times New Roman" w:hAnsi="Times New Roman" w:cs="Times New Roman"/>
        </w:rPr>
        <w:t xml:space="preserve">20 km subsea </w:t>
      </w:r>
      <w:proofErr w:type="spellStart"/>
      <w:r w:rsidRPr="004C6D6D">
        <w:rPr>
          <w:rFonts w:ascii="Times New Roman" w:hAnsi="Times New Roman" w:cs="Times New Roman"/>
        </w:rPr>
        <w:t>umbilicals</w:t>
      </w:r>
      <w:proofErr w:type="spellEnd"/>
    </w:p>
    <w:p w14:paraId="5CB9D8F3" w14:textId="77777777" w:rsidR="004C6D6D" w:rsidRPr="004C6D6D" w:rsidRDefault="004C6D6D" w:rsidP="004C6D6D">
      <w:pPr>
        <w:numPr>
          <w:ilvl w:val="0"/>
          <w:numId w:val="4"/>
        </w:numPr>
        <w:jc w:val="both"/>
        <w:rPr>
          <w:rFonts w:ascii="Times New Roman" w:hAnsi="Times New Roman" w:cs="Times New Roman"/>
        </w:rPr>
      </w:pPr>
      <w:r w:rsidRPr="004C6D6D">
        <w:rPr>
          <w:rFonts w:ascii="Times New Roman" w:hAnsi="Times New Roman" w:cs="Times New Roman"/>
        </w:rPr>
        <w:t xml:space="preserve">Water depth: ~800 </w:t>
      </w:r>
      <w:proofErr w:type="spellStart"/>
      <w:r w:rsidRPr="004C6D6D">
        <w:rPr>
          <w:rFonts w:ascii="Times New Roman" w:hAnsi="Times New Roman" w:cs="Times New Roman"/>
        </w:rPr>
        <w:t>metres</w:t>
      </w:r>
      <w:proofErr w:type="spellEnd"/>
    </w:p>
    <w:p w14:paraId="60C4C029" w14:textId="77777777" w:rsidR="004C6D6D" w:rsidRPr="004C6D6D" w:rsidRDefault="004C6D6D" w:rsidP="004C6D6D">
      <w:pPr>
        <w:numPr>
          <w:ilvl w:val="0"/>
          <w:numId w:val="4"/>
        </w:numPr>
        <w:jc w:val="both"/>
        <w:rPr>
          <w:rFonts w:ascii="Times New Roman" w:hAnsi="Times New Roman" w:cs="Times New Roman"/>
        </w:rPr>
      </w:pPr>
      <w:r w:rsidRPr="004C6D6D">
        <w:rPr>
          <w:rFonts w:ascii="Times New Roman" w:hAnsi="Times New Roman" w:cs="Times New Roman"/>
        </w:rPr>
        <w:t>Subsea installation contract awarded to Subsea7 ($150–300 million)</w:t>
      </w:r>
    </w:p>
    <w:p w14:paraId="770CD595" w14:textId="77777777" w:rsidR="004C6D6D" w:rsidRPr="004C6D6D" w:rsidRDefault="004C6D6D" w:rsidP="004C6D6D">
      <w:pPr>
        <w:numPr>
          <w:ilvl w:val="0"/>
          <w:numId w:val="4"/>
        </w:numPr>
        <w:jc w:val="both"/>
        <w:rPr>
          <w:rFonts w:ascii="Times New Roman" w:hAnsi="Times New Roman" w:cs="Times New Roman"/>
        </w:rPr>
      </w:pPr>
      <w:r w:rsidRPr="004C6D6D">
        <w:rPr>
          <w:rFonts w:ascii="Times New Roman" w:hAnsi="Times New Roman" w:cs="Times New Roman"/>
        </w:rPr>
        <w:t>Engineering managed from Paris, with Lisbon support</w:t>
      </w:r>
    </w:p>
    <w:p w14:paraId="426ABC86"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Commercial Framework:</w:t>
      </w:r>
    </w:p>
    <w:p w14:paraId="13CF4337" w14:textId="77777777" w:rsidR="004C6D6D" w:rsidRPr="004C6D6D" w:rsidRDefault="004C6D6D" w:rsidP="004C6D6D">
      <w:pPr>
        <w:numPr>
          <w:ilvl w:val="0"/>
          <w:numId w:val="5"/>
        </w:numPr>
        <w:jc w:val="both"/>
        <w:rPr>
          <w:rFonts w:ascii="Times New Roman" w:hAnsi="Times New Roman" w:cs="Times New Roman"/>
        </w:rPr>
      </w:pPr>
      <w:r w:rsidRPr="004C6D6D">
        <w:rPr>
          <w:rFonts w:ascii="Times New Roman" w:hAnsi="Times New Roman" w:cs="Times New Roman"/>
        </w:rPr>
        <w:t>FID achieved 31 March 2026</w:t>
      </w:r>
    </w:p>
    <w:p w14:paraId="115242FD" w14:textId="77777777" w:rsidR="004C6D6D" w:rsidRPr="004C6D6D" w:rsidRDefault="004C6D6D" w:rsidP="004C6D6D">
      <w:pPr>
        <w:numPr>
          <w:ilvl w:val="0"/>
          <w:numId w:val="5"/>
        </w:numPr>
        <w:jc w:val="both"/>
        <w:rPr>
          <w:rFonts w:ascii="Times New Roman" w:hAnsi="Times New Roman" w:cs="Times New Roman"/>
        </w:rPr>
      </w:pPr>
      <w:r w:rsidRPr="004C6D6D">
        <w:rPr>
          <w:rFonts w:ascii="Times New Roman" w:hAnsi="Times New Roman" w:cs="Times New Roman"/>
        </w:rPr>
        <w:t>Initial investment framework: ~$690 million</w:t>
      </w:r>
    </w:p>
    <w:p w14:paraId="1BE0AB9E" w14:textId="77777777" w:rsidR="004C6D6D" w:rsidRPr="004C6D6D" w:rsidRDefault="004C6D6D" w:rsidP="004C6D6D">
      <w:pPr>
        <w:numPr>
          <w:ilvl w:val="0"/>
          <w:numId w:val="5"/>
        </w:numPr>
        <w:jc w:val="both"/>
        <w:rPr>
          <w:rFonts w:ascii="Times New Roman" w:hAnsi="Times New Roman" w:cs="Times New Roman"/>
        </w:rPr>
      </w:pPr>
      <w:r w:rsidRPr="004C6D6D">
        <w:rPr>
          <w:rFonts w:ascii="Times New Roman" w:hAnsi="Times New Roman" w:cs="Times New Roman"/>
        </w:rPr>
        <w:t>Chevron (operator, via Noble Energy EG Ltd.)</w:t>
      </w:r>
    </w:p>
    <w:p w14:paraId="15249FB9" w14:textId="77777777" w:rsidR="004C6D6D" w:rsidRPr="004C6D6D" w:rsidRDefault="004C6D6D" w:rsidP="004C6D6D">
      <w:pPr>
        <w:numPr>
          <w:ilvl w:val="0"/>
          <w:numId w:val="5"/>
        </w:numPr>
        <w:jc w:val="both"/>
        <w:rPr>
          <w:rFonts w:ascii="Times New Roman" w:hAnsi="Times New Roman" w:cs="Times New Roman"/>
        </w:rPr>
      </w:pPr>
      <w:r w:rsidRPr="004C6D6D">
        <w:rPr>
          <w:rFonts w:ascii="Times New Roman" w:hAnsi="Times New Roman" w:cs="Times New Roman"/>
        </w:rPr>
        <w:t xml:space="preserve">Partners: </w:t>
      </w:r>
      <w:proofErr w:type="spellStart"/>
      <w:r w:rsidRPr="004C6D6D">
        <w:rPr>
          <w:rFonts w:ascii="Times New Roman" w:hAnsi="Times New Roman" w:cs="Times New Roman"/>
        </w:rPr>
        <w:t>GEPetrol</w:t>
      </w:r>
      <w:proofErr w:type="spellEnd"/>
      <w:r w:rsidRPr="004C6D6D">
        <w:rPr>
          <w:rFonts w:ascii="Times New Roman" w:hAnsi="Times New Roman" w:cs="Times New Roman"/>
        </w:rPr>
        <w:t xml:space="preserve"> (32.55%, increased from 5% in February 2026), Glencore, Gunvor</w:t>
      </w:r>
    </w:p>
    <w:p w14:paraId="39102F16"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Timeline:</w:t>
      </w:r>
      <w:r w:rsidRPr="004C6D6D">
        <w:rPr>
          <w:rFonts w:ascii="Times New Roman" w:hAnsi="Times New Roman" w:cs="Times New Roman"/>
        </w:rPr>
        <w:t xml:space="preserve"> Offshore operations commence 2026; first gas expected 2028–2029.</w:t>
      </w:r>
    </w:p>
    <w:p w14:paraId="26F20F1B" w14:textId="77777777" w:rsidR="004C6D6D" w:rsidRDefault="004C6D6D" w:rsidP="004C6D6D">
      <w:pPr>
        <w:jc w:val="both"/>
        <w:rPr>
          <w:rFonts w:ascii="Times New Roman" w:hAnsi="Times New Roman" w:cs="Times New Roman"/>
          <w:b/>
          <w:bCs/>
        </w:rPr>
      </w:pPr>
    </w:p>
    <w:p w14:paraId="3CEB1F48" w14:textId="635AA17C"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3.2 Contribution to Punta Europa</w:t>
      </w:r>
    </w:p>
    <w:p w14:paraId="7F996064" w14:textId="6790C1B7" w:rsidR="004C6D6D" w:rsidRDefault="004C6D6D" w:rsidP="004C6D6D">
      <w:pPr>
        <w:jc w:val="both"/>
        <w:rPr>
          <w:rFonts w:ascii="Times New Roman" w:hAnsi="Times New Roman" w:cs="Times New Roman"/>
        </w:rPr>
      </w:pPr>
      <w:r w:rsidRPr="004C6D6D">
        <w:rPr>
          <w:rFonts w:ascii="Times New Roman" w:hAnsi="Times New Roman" w:cs="Times New Roman"/>
        </w:rPr>
        <w:t xml:space="preserve">Aseng gas will flow through the Alen platform and existing 70 km pipeline to Punta Europa. At peak production of 150–200 </w:t>
      </w:r>
      <w:proofErr w:type="spellStart"/>
      <w:r w:rsidRPr="004C6D6D">
        <w:rPr>
          <w:rFonts w:ascii="Times New Roman" w:hAnsi="Times New Roman" w:cs="Times New Roman"/>
        </w:rPr>
        <w:t>MMscf</w:t>
      </w:r>
      <w:proofErr w:type="spellEnd"/>
      <w:r w:rsidRPr="004C6D6D">
        <w:rPr>
          <w:rFonts w:ascii="Times New Roman" w:hAnsi="Times New Roman" w:cs="Times New Roman"/>
        </w:rPr>
        <w:t>/d, Aseng will offset Alba decline and extend the operational life of EG LNG into the mid-2030s. The project is explicitly designed to "sustain LNG exports from Equatorial Guinea into the mid-2030s" and serves as a catalyst for the broader Gas Mega Hub.</w:t>
      </w:r>
    </w:p>
    <w:p w14:paraId="22E99F74" w14:textId="77777777" w:rsidR="004C6D6D" w:rsidRPr="004C6D6D" w:rsidRDefault="004C6D6D" w:rsidP="004C6D6D">
      <w:pPr>
        <w:jc w:val="both"/>
        <w:rPr>
          <w:rFonts w:ascii="Times New Roman" w:hAnsi="Times New Roman" w:cs="Times New Roman"/>
        </w:rPr>
      </w:pPr>
    </w:p>
    <w:p w14:paraId="3A13EA9E"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4. Regional Gas Aggregation Potential</w:t>
      </w:r>
    </w:p>
    <w:p w14:paraId="291C86D7"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4.1 Domestic and Near-Domestic Sources</w:t>
      </w:r>
    </w:p>
    <w:p w14:paraId="466DBEF8" w14:textId="7796E02E" w:rsidR="004C6D6D" w:rsidRPr="004C6D6D" w:rsidRDefault="004C6D6D" w:rsidP="004C6D6D">
      <w:pPr>
        <w:jc w:val="both"/>
        <w:rPr>
          <w:rFonts w:ascii="Times New Roman" w:hAnsi="Times New Roman" w:cs="Times New Roman"/>
        </w:rPr>
      </w:pPr>
    </w:p>
    <w:tbl>
      <w:tblPr>
        <w:tblStyle w:val="TableGrid"/>
        <w:tblW w:w="0" w:type="auto"/>
        <w:tblLook w:val="04A0" w:firstRow="1" w:lastRow="0" w:firstColumn="1" w:lastColumn="0" w:noHBand="0" w:noVBand="1"/>
      </w:tblPr>
      <w:tblGrid>
        <w:gridCol w:w="1329"/>
        <w:gridCol w:w="2200"/>
        <w:gridCol w:w="1914"/>
        <w:gridCol w:w="2253"/>
        <w:gridCol w:w="1654"/>
      </w:tblGrid>
      <w:tr w:rsidR="004C6D6D" w:rsidRPr="004C6D6D" w14:paraId="77720EC2" w14:textId="77777777" w:rsidTr="004C6D6D">
        <w:tc>
          <w:tcPr>
            <w:tcW w:w="0" w:type="auto"/>
            <w:hideMark/>
          </w:tcPr>
          <w:p w14:paraId="7B441A44"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lastRenderedPageBreak/>
              <w:t>Source</w:t>
            </w:r>
          </w:p>
        </w:tc>
        <w:tc>
          <w:tcPr>
            <w:tcW w:w="0" w:type="auto"/>
            <w:hideMark/>
          </w:tcPr>
          <w:p w14:paraId="7EB08B4D"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Resource</w:t>
            </w:r>
          </w:p>
        </w:tc>
        <w:tc>
          <w:tcPr>
            <w:tcW w:w="0" w:type="auto"/>
            <w:hideMark/>
          </w:tcPr>
          <w:p w14:paraId="55DCF8B1"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Distance to Punta Europa</w:t>
            </w:r>
          </w:p>
        </w:tc>
        <w:tc>
          <w:tcPr>
            <w:tcW w:w="0" w:type="auto"/>
            <w:hideMark/>
          </w:tcPr>
          <w:p w14:paraId="193D718C"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Pipeline Requirement</w:t>
            </w:r>
          </w:p>
        </w:tc>
        <w:tc>
          <w:tcPr>
            <w:tcW w:w="0" w:type="auto"/>
            <w:hideMark/>
          </w:tcPr>
          <w:p w14:paraId="6539DA21"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Status</w:t>
            </w:r>
          </w:p>
        </w:tc>
      </w:tr>
      <w:tr w:rsidR="004C6D6D" w:rsidRPr="004C6D6D" w14:paraId="6EF3050E" w14:textId="77777777" w:rsidTr="004C6D6D">
        <w:tc>
          <w:tcPr>
            <w:tcW w:w="0" w:type="auto"/>
            <w:hideMark/>
          </w:tcPr>
          <w:p w14:paraId="6DAD227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Alba</w:t>
            </w:r>
          </w:p>
        </w:tc>
        <w:tc>
          <w:tcPr>
            <w:tcW w:w="0" w:type="auto"/>
            <w:hideMark/>
          </w:tcPr>
          <w:p w14:paraId="260FD79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~1.3 </w:t>
            </w:r>
            <w:proofErr w:type="spellStart"/>
            <w:r w:rsidRPr="004C6D6D">
              <w:rPr>
                <w:rFonts w:ascii="Times New Roman" w:hAnsi="Times New Roman" w:cs="Times New Roman"/>
              </w:rPr>
              <w:t>Tcf</w:t>
            </w:r>
            <w:proofErr w:type="spellEnd"/>
            <w:r w:rsidRPr="004C6D6D">
              <w:rPr>
                <w:rFonts w:ascii="Times New Roman" w:hAnsi="Times New Roman" w:cs="Times New Roman"/>
              </w:rPr>
              <w:t xml:space="preserve"> proven</w:t>
            </w:r>
          </w:p>
        </w:tc>
        <w:tc>
          <w:tcPr>
            <w:tcW w:w="0" w:type="auto"/>
            <w:hideMark/>
          </w:tcPr>
          <w:p w14:paraId="48CF9EA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 km offshore</w:t>
            </w:r>
          </w:p>
        </w:tc>
        <w:tc>
          <w:tcPr>
            <w:tcW w:w="0" w:type="auto"/>
            <w:hideMark/>
          </w:tcPr>
          <w:p w14:paraId="6005D60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Existing</w:t>
            </w:r>
          </w:p>
        </w:tc>
        <w:tc>
          <w:tcPr>
            <w:tcW w:w="0" w:type="auto"/>
            <w:hideMark/>
          </w:tcPr>
          <w:p w14:paraId="5AF11D0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Mature, declining</w:t>
            </w:r>
          </w:p>
        </w:tc>
      </w:tr>
      <w:tr w:rsidR="004C6D6D" w:rsidRPr="004C6D6D" w14:paraId="7E30FF1A" w14:textId="77777777" w:rsidTr="004C6D6D">
        <w:tc>
          <w:tcPr>
            <w:tcW w:w="0" w:type="auto"/>
            <w:hideMark/>
          </w:tcPr>
          <w:p w14:paraId="7C15EBC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Alen</w:t>
            </w:r>
          </w:p>
        </w:tc>
        <w:tc>
          <w:tcPr>
            <w:tcW w:w="0" w:type="auto"/>
            <w:hideMark/>
          </w:tcPr>
          <w:p w14:paraId="7003680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~600 </w:t>
            </w:r>
            <w:proofErr w:type="spellStart"/>
            <w:r w:rsidRPr="004C6D6D">
              <w:rPr>
                <w:rFonts w:ascii="Times New Roman" w:hAnsi="Times New Roman" w:cs="Times New Roman"/>
              </w:rPr>
              <w:t>Bcfe</w:t>
            </w:r>
            <w:proofErr w:type="spellEnd"/>
          </w:p>
        </w:tc>
        <w:tc>
          <w:tcPr>
            <w:tcW w:w="0" w:type="auto"/>
            <w:hideMark/>
          </w:tcPr>
          <w:p w14:paraId="4DBB48B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70 km</w:t>
            </w:r>
          </w:p>
        </w:tc>
        <w:tc>
          <w:tcPr>
            <w:tcW w:w="0" w:type="auto"/>
            <w:hideMark/>
          </w:tcPr>
          <w:p w14:paraId="24E22CF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Operating (950 </w:t>
            </w:r>
            <w:proofErr w:type="spellStart"/>
            <w:r w:rsidRPr="004C6D6D">
              <w:rPr>
                <w:rFonts w:ascii="Times New Roman" w:hAnsi="Times New Roman" w:cs="Times New Roman"/>
              </w:rPr>
              <w:t>MMscf</w:t>
            </w:r>
            <w:proofErr w:type="spellEnd"/>
            <w:r w:rsidRPr="004C6D6D">
              <w:rPr>
                <w:rFonts w:ascii="Times New Roman" w:hAnsi="Times New Roman" w:cs="Times New Roman"/>
              </w:rPr>
              <w:t>/d)</w:t>
            </w:r>
          </w:p>
        </w:tc>
        <w:tc>
          <w:tcPr>
            <w:tcW w:w="0" w:type="auto"/>
            <w:hideMark/>
          </w:tcPr>
          <w:p w14:paraId="13E2C87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Producing</w:t>
            </w:r>
          </w:p>
        </w:tc>
      </w:tr>
      <w:tr w:rsidR="004C6D6D" w:rsidRPr="004C6D6D" w14:paraId="1520C774" w14:textId="77777777" w:rsidTr="004C6D6D">
        <w:tc>
          <w:tcPr>
            <w:tcW w:w="0" w:type="auto"/>
            <w:hideMark/>
          </w:tcPr>
          <w:p w14:paraId="38B7770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Aseng</w:t>
            </w:r>
          </w:p>
        </w:tc>
        <w:tc>
          <w:tcPr>
            <w:tcW w:w="0" w:type="auto"/>
            <w:hideMark/>
          </w:tcPr>
          <w:p w14:paraId="715E985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550 Bcf</w:t>
            </w:r>
          </w:p>
        </w:tc>
        <w:tc>
          <w:tcPr>
            <w:tcW w:w="0" w:type="auto"/>
            <w:hideMark/>
          </w:tcPr>
          <w:p w14:paraId="550830E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70 km via Alen</w:t>
            </w:r>
          </w:p>
        </w:tc>
        <w:tc>
          <w:tcPr>
            <w:tcW w:w="0" w:type="auto"/>
            <w:hideMark/>
          </w:tcPr>
          <w:p w14:paraId="3648F75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Under construction (tie-back)</w:t>
            </w:r>
          </w:p>
        </w:tc>
        <w:tc>
          <w:tcPr>
            <w:tcW w:w="0" w:type="auto"/>
            <w:hideMark/>
          </w:tcPr>
          <w:p w14:paraId="2845B44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FID 2026</w:t>
            </w:r>
          </w:p>
        </w:tc>
      </w:tr>
      <w:tr w:rsidR="004C6D6D" w:rsidRPr="004C6D6D" w14:paraId="715CEB61" w14:textId="77777777" w:rsidTr="004C6D6D">
        <w:tc>
          <w:tcPr>
            <w:tcW w:w="0" w:type="auto"/>
            <w:hideMark/>
          </w:tcPr>
          <w:p w14:paraId="25907C9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Yoyo-Yolanda</w:t>
            </w:r>
          </w:p>
        </w:tc>
        <w:tc>
          <w:tcPr>
            <w:tcW w:w="0" w:type="auto"/>
            <w:hideMark/>
          </w:tcPr>
          <w:p w14:paraId="33078ED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2.5 </w:t>
            </w:r>
            <w:proofErr w:type="spellStart"/>
            <w:r w:rsidRPr="004C6D6D">
              <w:rPr>
                <w:rFonts w:ascii="Times New Roman" w:hAnsi="Times New Roman" w:cs="Times New Roman"/>
              </w:rPr>
              <w:t>Tcf</w:t>
            </w:r>
            <w:proofErr w:type="spellEnd"/>
            <w:r w:rsidRPr="004C6D6D">
              <w:rPr>
                <w:rFonts w:ascii="Times New Roman" w:hAnsi="Times New Roman" w:cs="Times New Roman"/>
              </w:rPr>
              <w:t xml:space="preserve"> total (0.4 </w:t>
            </w:r>
            <w:proofErr w:type="spellStart"/>
            <w:r w:rsidRPr="004C6D6D">
              <w:rPr>
                <w:rFonts w:ascii="Times New Roman" w:hAnsi="Times New Roman" w:cs="Times New Roman"/>
              </w:rPr>
              <w:t>Tcf</w:t>
            </w:r>
            <w:proofErr w:type="spellEnd"/>
            <w:r w:rsidRPr="004C6D6D">
              <w:rPr>
                <w:rFonts w:ascii="Times New Roman" w:hAnsi="Times New Roman" w:cs="Times New Roman"/>
              </w:rPr>
              <w:t xml:space="preserve"> EG share)</w:t>
            </w:r>
          </w:p>
        </w:tc>
        <w:tc>
          <w:tcPr>
            <w:tcW w:w="0" w:type="auto"/>
            <w:hideMark/>
          </w:tcPr>
          <w:p w14:paraId="43FF582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~50 km east of Bioko</w:t>
            </w:r>
          </w:p>
        </w:tc>
        <w:tc>
          <w:tcPr>
            <w:tcW w:w="0" w:type="auto"/>
            <w:hideMark/>
          </w:tcPr>
          <w:p w14:paraId="35E56A5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Subsea tie-back to Alen</w:t>
            </w:r>
          </w:p>
        </w:tc>
        <w:tc>
          <w:tcPr>
            <w:tcW w:w="0" w:type="auto"/>
            <w:hideMark/>
          </w:tcPr>
          <w:p w14:paraId="3D2C8E5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Unitized Feb 2026</w:t>
            </w:r>
          </w:p>
        </w:tc>
      </w:tr>
      <w:tr w:rsidR="004C6D6D" w:rsidRPr="004C6D6D" w14:paraId="78F9E20B" w14:textId="77777777" w:rsidTr="004C6D6D">
        <w:tc>
          <w:tcPr>
            <w:tcW w:w="0" w:type="auto"/>
            <w:hideMark/>
          </w:tcPr>
          <w:p w14:paraId="14BED14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EG-27</w:t>
            </w:r>
          </w:p>
        </w:tc>
        <w:tc>
          <w:tcPr>
            <w:tcW w:w="0" w:type="auto"/>
            <w:hideMark/>
          </w:tcPr>
          <w:p w14:paraId="776FD0D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Up to 2.8 </w:t>
            </w:r>
            <w:proofErr w:type="spellStart"/>
            <w:r w:rsidRPr="004C6D6D">
              <w:rPr>
                <w:rFonts w:ascii="Times New Roman" w:hAnsi="Times New Roman" w:cs="Times New Roman"/>
              </w:rPr>
              <w:t>Tcf</w:t>
            </w:r>
            <w:proofErr w:type="spellEnd"/>
          </w:p>
        </w:tc>
        <w:tc>
          <w:tcPr>
            <w:tcW w:w="0" w:type="auto"/>
            <w:hideMark/>
          </w:tcPr>
          <w:p w14:paraId="17AB6A2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TBD</w:t>
            </w:r>
          </w:p>
        </w:tc>
        <w:tc>
          <w:tcPr>
            <w:tcW w:w="0" w:type="auto"/>
            <w:hideMark/>
          </w:tcPr>
          <w:p w14:paraId="2613131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New pipeline required</w:t>
            </w:r>
          </w:p>
        </w:tc>
        <w:tc>
          <w:tcPr>
            <w:tcW w:w="0" w:type="auto"/>
            <w:hideMark/>
          </w:tcPr>
          <w:p w14:paraId="44CFF51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HOA signed</w:t>
            </w:r>
          </w:p>
        </w:tc>
      </w:tr>
      <w:tr w:rsidR="004C6D6D" w:rsidRPr="004C6D6D" w14:paraId="480DD542" w14:textId="77777777" w:rsidTr="004C6D6D">
        <w:tc>
          <w:tcPr>
            <w:tcW w:w="0" w:type="auto"/>
            <w:hideMark/>
          </w:tcPr>
          <w:p w14:paraId="2561C1C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B/4</w:t>
            </w:r>
          </w:p>
        </w:tc>
        <w:tc>
          <w:tcPr>
            <w:tcW w:w="0" w:type="auto"/>
            <w:hideMark/>
          </w:tcPr>
          <w:p w14:paraId="3253937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~0.7 </w:t>
            </w:r>
            <w:proofErr w:type="spellStart"/>
            <w:r w:rsidRPr="004C6D6D">
              <w:rPr>
                <w:rFonts w:ascii="Times New Roman" w:hAnsi="Times New Roman" w:cs="Times New Roman"/>
              </w:rPr>
              <w:t>Tcf</w:t>
            </w:r>
            <w:proofErr w:type="spellEnd"/>
          </w:p>
        </w:tc>
        <w:tc>
          <w:tcPr>
            <w:tcW w:w="0" w:type="auto"/>
            <w:hideMark/>
          </w:tcPr>
          <w:p w14:paraId="4B4DCB9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TBD</w:t>
            </w:r>
          </w:p>
        </w:tc>
        <w:tc>
          <w:tcPr>
            <w:tcW w:w="0" w:type="auto"/>
            <w:hideMark/>
          </w:tcPr>
          <w:p w14:paraId="028968D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New pipeline required</w:t>
            </w:r>
          </w:p>
        </w:tc>
        <w:tc>
          <w:tcPr>
            <w:tcW w:w="0" w:type="auto"/>
            <w:hideMark/>
          </w:tcPr>
          <w:p w14:paraId="6C88681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HOA signed</w:t>
            </w:r>
          </w:p>
        </w:tc>
      </w:tr>
      <w:tr w:rsidR="004C6D6D" w:rsidRPr="004C6D6D" w14:paraId="72215BA9" w14:textId="77777777" w:rsidTr="004C6D6D">
        <w:tc>
          <w:tcPr>
            <w:tcW w:w="0" w:type="auto"/>
            <w:hideMark/>
          </w:tcPr>
          <w:p w14:paraId="55BB177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EG-23</w:t>
            </w:r>
          </w:p>
        </w:tc>
        <w:tc>
          <w:tcPr>
            <w:tcW w:w="0" w:type="auto"/>
            <w:hideMark/>
          </w:tcPr>
          <w:p w14:paraId="0580564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215 Bcf contingent</w:t>
            </w:r>
          </w:p>
        </w:tc>
        <w:tc>
          <w:tcPr>
            <w:tcW w:w="0" w:type="auto"/>
            <w:hideMark/>
          </w:tcPr>
          <w:p w14:paraId="277A82B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Near Alba</w:t>
            </w:r>
          </w:p>
        </w:tc>
        <w:tc>
          <w:tcPr>
            <w:tcW w:w="0" w:type="auto"/>
            <w:hideMark/>
          </w:tcPr>
          <w:p w14:paraId="21F469D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Tie-back possible</w:t>
            </w:r>
          </w:p>
        </w:tc>
        <w:tc>
          <w:tcPr>
            <w:tcW w:w="0" w:type="auto"/>
            <w:hideMark/>
          </w:tcPr>
          <w:p w14:paraId="388C1C2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Exploration</w:t>
            </w:r>
          </w:p>
        </w:tc>
      </w:tr>
      <w:tr w:rsidR="004C6D6D" w:rsidRPr="004C6D6D" w14:paraId="4206D0B5" w14:textId="77777777" w:rsidTr="004C6D6D">
        <w:tc>
          <w:tcPr>
            <w:tcW w:w="0" w:type="auto"/>
            <w:hideMark/>
          </w:tcPr>
          <w:p w14:paraId="04C64B8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EG-08</w:t>
            </w:r>
          </w:p>
        </w:tc>
        <w:tc>
          <w:tcPr>
            <w:tcW w:w="0" w:type="auto"/>
            <w:hideMark/>
          </w:tcPr>
          <w:p w14:paraId="464C012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1.3–2.2 TCFE prospective</w:t>
            </w:r>
          </w:p>
        </w:tc>
        <w:tc>
          <w:tcPr>
            <w:tcW w:w="0" w:type="auto"/>
            <w:hideMark/>
          </w:tcPr>
          <w:p w14:paraId="6CD5658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9 km from Alen platform</w:t>
            </w:r>
          </w:p>
        </w:tc>
        <w:tc>
          <w:tcPr>
            <w:tcW w:w="0" w:type="auto"/>
            <w:hideMark/>
          </w:tcPr>
          <w:p w14:paraId="51A59C0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Tie-back to Alen possible</w:t>
            </w:r>
          </w:p>
        </w:tc>
        <w:tc>
          <w:tcPr>
            <w:tcW w:w="0" w:type="auto"/>
            <w:hideMark/>
          </w:tcPr>
          <w:p w14:paraId="595F8F3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Drill-or-drop 2026</w:t>
            </w:r>
          </w:p>
        </w:tc>
      </w:tr>
    </w:tbl>
    <w:p w14:paraId="363E8A88" w14:textId="77777777" w:rsidR="004C6D6D" w:rsidRDefault="004C6D6D" w:rsidP="004C6D6D">
      <w:pPr>
        <w:jc w:val="both"/>
        <w:rPr>
          <w:rFonts w:ascii="Times New Roman" w:hAnsi="Times New Roman" w:cs="Times New Roman"/>
          <w:b/>
          <w:bCs/>
        </w:rPr>
      </w:pPr>
    </w:p>
    <w:p w14:paraId="1A81766A" w14:textId="0F2C6C2C"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4.2 Cameroon Supply</w:t>
      </w:r>
    </w:p>
    <w:p w14:paraId="73A87EFF"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Yoyo-Yolanda:</w:t>
      </w:r>
      <w:r w:rsidRPr="004C6D6D">
        <w:rPr>
          <w:rFonts w:ascii="Times New Roman" w:hAnsi="Times New Roman" w:cs="Times New Roman"/>
        </w:rPr>
        <w:t xml:space="preserve"> The most advanced cross-border opportunity. The February 2026 unitization agreement allocates reserves 84% to Cameroon (Yoyo block) and 16% to Equatorial Guinea (Yolanda block). Chevron's $4 billion development plan includes a subsea tie-back to the Alen platform for routing to Punta Europa, alongside a separate pipeline to Cameroon's </w:t>
      </w:r>
      <w:proofErr w:type="spellStart"/>
      <w:r w:rsidRPr="004C6D6D">
        <w:rPr>
          <w:rFonts w:ascii="Times New Roman" w:hAnsi="Times New Roman" w:cs="Times New Roman"/>
        </w:rPr>
        <w:t>Bipaga</w:t>
      </w:r>
      <w:proofErr w:type="spellEnd"/>
      <w:r w:rsidRPr="004C6D6D">
        <w:rPr>
          <w:rFonts w:ascii="Times New Roman" w:hAnsi="Times New Roman" w:cs="Times New Roman"/>
        </w:rPr>
        <w:t xml:space="preserve"> processing </w:t>
      </w:r>
      <w:proofErr w:type="spellStart"/>
      <w:r w:rsidRPr="004C6D6D">
        <w:rPr>
          <w:rFonts w:ascii="Times New Roman" w:hAnsi="Times New Roman" w:cs="Times New Roman"/>
        </w:rPr>
        <w:t>centre</w:t>
      </w:r>
      <w:proofErr w:type="spellEnd"/>
      <w:r w:rsidRPr="004C6D6D">
        <w:rPr>
          <w:rFonts w:ascii="Times New Roman" w:hAnsi="Times New Roman" w:cs="Times New Roman"/>
        </w:rPr>
        <w:t>. The fields lie at approximately 896 m water depth, roughly 50 km east of Bioko Island.</w:t>
      </w:r>
    </w:p>
    <w:p w14:paraId="221CE936"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Etinde Field:</w:t>
      </w:r>
      <w:r w:rsidRPr="004C6D6D">
        <w:rPr>
          <w:rFonts w:ascii="Times New Roman" w:hAnsi="Times New Roman" w:cs="Times New Roman"/>
        </w:rPr>
        <w:t xml:space="preserve"> Offshore Cameroon in the Rio del Rey Basin. Multiple proven reservoirs (Pliocene Biafra, Miocene Isongo). Operatorship transition from New Age to Perenco is pending. Etinde has been considered for standalone FLNG, but inclusion in the bilateral treaty framework could enable Punta Europa processing at lower capital intensity.</w:t>
      </w:r>
    </w:p>
    <w:p w14:paraId="1F3FFC0B" w14:textId="77777777" w:rsidR="004C6D6D" w:rsidRDefault="004C6D6D" w:rsidP="004C6D6D">
      <w:pPr>
        <w:jc w:val="both"/>
        <w:rPr>
          <w:rFonts w:ascii="Times New Roman" w:hAnsi="Times New Roman" w:cs="Times New Roman"/>
          <w:b/>
          <w:bCs/>
        </w:rPr>
      </w:pPr>
    </w:p>
    <w:p w14:paraId="5B63DE29" w14:textId="77777777" w:rsidR="004C6D6D" w:rsidRDefault="004C6D6D" w:rsidP="004C6D6D">
      <w:pPr>
        <w:jc w:val="both"/>
        <w:rPr>
          <w:rFonts w:ascii="Times New Roman" w:hAnsi="Times New Roman" w:cs="Times New Roman"/>
          <w:b/>
          <w:bCs/>
        </w:rPr>
      </w:pPr>
    </w:p>
    <w:p w14:paraId="649EE91A" w14:textId="77777777" w:rsidR="004C6D6D" w:rsidRDefault="004C6D6D" w:rsidP="004C6D6D">
      <w:pPr>
        <w:jc w:val="both"/>
        <w:rPr>
          <w:rFonts w:ascii="Times New Roman" w:hAnsi="Times New Roman" w:cs="Times New Roman"/>
          <w:b/>
          <w:bCs/>
        </w:rPr>
      </w:pPr>
    </w:p>
    <w:p w14:paraId="4A2B77BC" w14:textId="214EBC6A"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lastRenderedPageBreak/>
        <w:t>4.3 Nigerian Supply</w:t>
      </w:r>
    </w:p>
    <w:p w14:paraId="009D4D34"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rPr>
        <w:t xml:space="preserve">The </w:t>
      </w:r>
      <w:r w:rsidRPr="004C6D6D">
        <w:rPr>
          <w:rFonts w:ascii="Times New Roman" w:hAnsi="Times New Roman" w:cs="Times New Roman"/>
          <w:b/>
          <w:bCs/>
        </w:rPr>
        <w:t>Gulf of Guinea Gas Pipeline (GOGGP)</w:t>
      </w:r>
      <w:r w:rsidRPr="004C6D6D">
        <w:rPr>
          <w:rFonts w:ascii="Times New Roman" w:hAnsi="Times New Roman" w:cs="Times New Roman"/>
        </w:rPr>
        <w:t xml:space="preserve"> project was advanced through a bilateral agreement signed by Presidents Tinubu and Obiang in August 2024, with a joint communiqué in June 2025. The pipeline is envisaged to transport Nigerian gas to Punta Europa for processing.</w:t>
      </w:r>
    </w:p>
    <w:tbl>
      <w:tblPr>
        <w:tblStyle w:val="TableGrid"/>
        <w:tblW w:w="0" w:type="auto"/>
        <w:tblLook w:val="04A0" w:firstRow="1" w:lastRow="0" w:firstColumn="1" w:lastColumn="0" w:noHBand="0" w:noVBand="1"/>
      </w:tblPr>
      <w:tblGrid>
        <w:gridCol w:w="2206"/>
        <w:gridCol w:w="7144"/>
      </w:tblGrid>
      <w:tr w:rsidR="004C6D6D" w:rsidRPr="004C6D6D" w14:paraId="10AC3FD5" w14:textId="77777777" w:rsidTr="004C6D6D">
        <w:tc>
          <w:tcPr>
            <w:tcW w:w="0" w:type="auto"/>
            <w:hideMark/>
          </w:tcPr>
          <w:p w14:paraId="0CC920C1"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Parameter</w:t>
            </w:r>
          </w:p>
        </w:tc>
        <w:tc>
          <w:tcPr>
            <w:tcW w:w="0" w:type="auto"/>
            <w:hideMark/>
          </w:tcPr>
          <w:p w14:paraId="1AFA556F"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Assessment</w:t>
            </w:r>
          </w:p>
        </w:tc>
      </w:tr>
      <w:tr w:rsidR="004C6D6D" w:rsidRPr="004C6D6D" w14:paraId="48BD3600" w14:textId="77777777" w:rsidTr="004C6D6D">
        <w:tc>
          <w:tcPr>
            <w:tcW w:w="0" w:type="auto"/>
            <w:hideMark/>
          </w:tcPr>
          <w:p w14:paraId="3B19889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Estimated cost</w:t>
            </w:r>
          </w:p>
        </w:tc>
        <w:tc>
          <w:tcPr>
            <w:tcW w:w="0" w:type="auto"/>
            <w:hideMark/>
          </w:tcPr>
          <w:p w14:paraId="5D98C4A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$25 billion</w:t>
            </w:r>
          </w:p>
        </w:tc>
      </w:tr>
      <w:tr w:rsidR="004C6D6D" w:rsidRPr="004C6D6D" w14:paraId="3B4A3CC7" w14:textId="77777777" w:rsidTr="004C6D6D">
        <w:tc>
          <w:tcPr>
            <w:tcW w:w="0" w:type="auto"/>
            <w:hideMark/>
          </w:tcPr>
          <w:p w14:paraId="1DCD771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Capacity</w:t>
            </w:r>
          </w:p>
        </w:tc>
        <w:tc>
          <w:tcPr>
            <w:tcW w:w="0" w:type="auto"/>
            <w:hideMark/>
          </w:tcPr>
          <w:p w14:paraId="6E5E861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30 billion cubic </w:t>
            </w:r>
            <w:proofErr w:type="spellStart"/>
            <w:r w:rsidRPr="004C6D6D">
              <w:rPr>
                <w:rFonts w:ascii="Times New Roman" w:hAnsi="Times New Roman" w:cs="Times New Roman"/>
              </w:rPr>
              <w:t>metres</w:t>
            </w:r>
            <w:proofErr w:type="spellEnd"/>
            <w:r w:rsidRPr="004C6D6D">
              <w:rPr>
                <w:rFonts w:ascii="Times New Roman" w:hAnsi="Times New Roman" w:cs="Times New Roman"/>
              </w:rPr>
              <w:t>/year (~2.9 Bcf/d)</w:t>
            </w:r>
          </w:p>
        </w:tc>
      </w:tr>
      <w:tr w:rsidR="004C6D6D" w:rsidRPr="004C6D6D" w14:paraId="7DFF97DF" w14:textId="77777777" w:rsidTr="004C6D6D">
        <w:tc>
          <w:tcPr>
            <w:tcW w:w="0" w:type="auto"/>
            <w:hideMark/>
          </w:tcPr>
          <w:p w14:paraId="2A0A68D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Distance</w:t>
            </w:r>
          </w:p>
        </w:tc>
        <w:tc>
          <w:tcPr>
            <w:tcW w:w="0" w:type="auto"/>
            <w:hideMark/>
          </w:tcPr>
          <w:p w14:paraId="6C651C6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400–600 km (offshore Nigeria to Bioko Island)</w:t>
            </w:r>
          </w:p>
        </w:tc>
      </w:tr>
      <w:tr w:rsidR="004C6D6D" w:rsidRPr="004C6D6D" w14:paraId="7F2E1D53" w14:textId="77777777" w:rsidTr="004C6D6D">
        <w:tc>
          <w:tcPr>
            <w:tcW w:w="0" w:type="auto"/>
            <w:hideMark/>
          </w:tcPr>
          <w:p w14:paraId="51723AF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Water depth</w:t>
            </w:r>
          </w:p>
        </w:tc>
        <w:tc>
          <w:tcPr>
            <w:tcW w:w="0" w:type="auto"/>
            <w:hideMark/>
          </w:tcPr>
          <w:p w14:paraId="264D512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Up to 2,000+ m (Nigerian deepwater)</w:t>
            </w:r>
          </w:p>
        </w:tc>
      </w:tr>
      <w:tr w:rsidR="004C6D6D" w:rsidRPr="004C6D6D" w14:paraId="7AD1DD31" w14:textId="77777777" w:rsidTr="004C6D6D">
        <w:tc>
          <w:tcPr>
            <w:tcW w:w="0" w:type="auto"/>
            <w:hideMark/>
          </w:tcPr>
          <w:p w14:paraId="2727FE2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Status</w:t>
            </w:r>
          </w:p>
        </w:tc>
        <w:tc>
          <w:tcPr>
            <w:tcW w:w="0" w:type="auto"/>
            <w:hideMark/>
          </w:tcPr>
          <w:p w14:paraId="444DE18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Treaty signed; Joint Steering Committee established; institutional framework under development</w:t>
            </w:r>
          </w:p>
        </w:tc>
      </w:tr>
      <w:tr w:rsidR="004C6D6D" w:rsidRPr="004C6D6D" w14:paraId="2F8B1381" w14:textId="77777777" w:rsidTr="004C6D6D">
        <w:tc>
          <w:tcPr>
            <w:tcW w:w="0" w:type="auto"/>
            <w:hideMark/>
          </w:tcPr>
          <w:p w14:paraId="601FA93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Commercial availability</w:t>
            </w:r>
          </w:p>
        </w:tc>
        <w:tc>
          <w:tcPr>
            <w:tcW w:w="0" w:type="auto"/>
            <w:hideMark/>
          </w:tcPr>
          <w:p w14:paraId="39ACA6E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Not committed.</w:t>
            </w:r>
            <w:r w:rsidRPr="004C6D6D">
              <w:rPr>
                <w:rFonts w:ascii="Times New Roman" w:hAnsi="Times New Roman" w:cs="Times New Roman"/>
              </w:rPr>
              <w:t xml:space="preserve"> No signed gas sales agreements. No FID.</w:t>
            </w:r>
          </w:p>
        </w:tc>
      </w:tr>
    </w:tbl>
    <w:p w14:paraId="64E9B3BC" w14:textId="77777777" w:rsidR="004C6D6D" w:rsidRDefault="004C6D6D" w:rsidP="004C6D6D">
      <w:pPr>
        <w:jc w:val="both"/>
        <w:rPr>
          <w:rFonts w:ascii="Times New Roman" w:hAnsi="Times New Roman" w:cs="Times New Roman"/>
          <w:b/>
          <w:bCs/>
        </w:rPr>
      </w:pPr>
    </w:p>
    <w:p w14:paraId="057808D2" w14:textId="74AB2650"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Assessment:</w:t>
      </w:r>
      <w:r w:rsidRPr="004C6D6D">
        <w:rPr>
          <w:rFonts w:ascii="Times New Roman" w:hAnsi="Times New Roman" w:cs="Times New Roman"/>
        </w:rPr>
        <w:t xml:space="preserve"> Nigerian gas represents the largest potential regional resource, but the GOGGP remains a strategic aspiration rather than commercially committed supply. Water depth, distance, cross-border regulatory complexity, and Nigerian domestic gas obligations create material execution risk. It should not be assumed available for Punta Europa feedstock before the mid-to-late 2030s at the earliest.</w:t>
      </w:r>
    </w:p>
    <w:p w14:paraId="68F7024E" w14:textId="74A12A0E" w:rsidR="004C6D6D" w:rsidRPr="004C6D6D" w:rsidRDefault="004C6D6D" w:rsidP="004C6D6D">
      <w:pPr>
        <w:jc w:val="both"/>
        <w:rPr>
          <w:rFonts w:ascii="Times New Roman" w:hAnsi="Times New Roman" w:cs="Times New Roman"/>
        </w:rPr>
      </w:pPr>
    </w:p>
    <w:p w14:paraId="67205601"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5. Feedstock Supply-Demand Model</w:t>
      </w:r>
    </w:p>
    <w:p w14:paraId="5E90653D"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5.1 Gas Balance Framework</w:t>
      </w:r>
    </w:p>
    <w:p w14:paraId="6488BF2F"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Total Punta Europa Gas Requirement:</w:t>
      </w:r>
      <w:r w:rsidRPr="004C6D6D">
        <w:rPr>
          <w:rFonts w:ascii="Times New Roman" w:hAnsi="Times New Roman" w:cs="Times New Roman"/>
        </w:rPr>
        <w:t xml:space="preserve"> ~705 </w:t>
      </w:r>
      <w:proofErr w:type="spellStart"/>
      <w:r w:rsidRPr="004C6D6D">
        <w:rPr>
          <w:rFonts w:ascii="Times New Roman" w:hAnsi="Times New Roman" w:cs="Times New Roman"/>
        </w:rPr>
        <w:t>MMscf</w:t>
      </w:r>
      <w:proofErr w:type="spellEnd"/>
      <w:r w:rsidRPr="004C6D6D">
        <w:rPr>
          <w:rFonts w:ascii="Times New Roman" w:hAnsi="Times New Roman" w:cs="Times New Roman"/>
        </w:rPr>
        <w:t>/d</w:t>
      </w:r>
    </w:p>
    <w:p w14:paraId="6D1B48BC" w14:textId="77777777" w:rsidR="004C6D6D" w:rsidRPr="004C6D6D" w:rsidRDefault="004C6D6D" w:rsidP="004C6D6D">
      <w:pPr>
        <w:numPr>
          <w:ilvl w:val="0"/>
          <w:numId w:val="6"/>
        </w:numPr>
        <w:jc w:val="both"/>
        <w:rPr>
          <w:rFonts w:ascii="Times New Roman" w:hAnsi="Times New Roman" w:cs="Times New Roman"/>
        </w:rPr>
      </w:pPr>
      <w:r w:rsidRPr="004C6D6D">
        <w:rPr>
          <w:rFonts w:ascii="Times New Roman" w:hAnsi="Times New Roman" w:cs="Times New Roman"/>
        </w:rPr>
        <w:t xml:space="preserve">EG LNG feedstock: 530 </w:t>
      </w:r>
      <w:proofErr w:type="spellStart"/>
      <w:r w:rsidRPr="004C6D6D">
        <w:rPr>
          <w:rFonts w:ascii="Times New Roman" w:hAnsi="Times New Roman" w:cs="Times New Roman"/>
        </w:rPr>
        <w:t>MMscf</w:t>
      </w:r>
      <w:proofErr w:type="spellEnd"/>
      <w:r w:rsidRPr="004C6D6D">
        <w:rPr>
          <w:rFonts w:ascii="Times New Roman" w:hAnsi="Times New Roman" w:cs="Times New Roman"/>
        </w:rPr>
        <w:t xml:space="preserve">/d (3.7 </w:t>
      </w:r>
      <w:proofErr w:type="spellStart"/>
      <w:r w:rsidRPr="004C6D6D">
        <w:rPr>
          <w:rFonts w:ascii="Times New Roman" w:hAnsi="Times New Roman" w:cs="Times New Roman"/>
        </w:rPr>
        <w:t>mtpa</w:t>
      </w:r>
      <w:proofErr w:type="spellEnd"/>
      <w:r w:rsidRPr="004C6D6D">
        <w:rPr>
          <w:rFonts w:ascii="Times New Roman" w:hAnsi="Times New Roman" w:cs="Times New Roman"/>
        </w:rPr>
        <w:t>)</w:t>
      </w:r>
    </w:p>
    <w:p w14:paraId="4AC24C42" w14:textId="77777777" w:rsidR="004C6D6D" w:rsidRPr="004C6D6D" w:rsidRDefault="004C6D6D" w:rsidP="004C6D6D">
      <w:pPr>
        <w:numPr>
          <w:ilvl w:val="0"/>
          <w:numId w:val="6"/>
        </w:numPr>
        <w:jc w:val="both"/>
        <w:rPr>
          <w:rFonts w:ascii="Times New Roman" w:hAnsi="Times New Roman" w:cs="Times New Roman"/>
        </w:rPr>
      </w:pPr>
      <w:r w:rsidRPr="004C6D6D">
        <w:rPr>
          <w:rFonts w:ascii="Times New Roman" w:hAnsi="Times New Roman" w:cs="Times New Roman"/>
        </w:rPr>
        <w:t xml:space="preserve">AMPCO methanol: 125 </w:t>
      </w:r>
      <w:proofErr w:type="spellStart"/>
      <w:r w:rsidRPr="004C6D6D">
        <w:rPr>
          <w:rFonts w:ascii="Times New Roman" w:hAnsi="Times New Roman" w:cs="Times New Roman"/>
        </w:rPr>
        <w:t>MMscf</w:t>
      </w:r>
      <w:proofErr w:type="spellEnd"/>
      <w:r w:rsidRPr="004C6D6D">
        <w:rPr>
          <w:rFonts w:ascii="Times New Roman" w:hAnsi="Times New Roman" w:cs="Times New Roman"/>
        </w:rPr>
        <w:t>/d</w:t>
      </w:r>
    </w:p>
    <w:p w14:paraId="1AF4527A" w14:textId="77777777" w:rsidR="004C6D6D" w:rsidRPr="004C6D6D" w:rsidRDefault="004C6D6D" w:rsidP="004C6D6D">
      <w:pPr>
        <w:numPr>
          <w:ilvl w:val="0"/>
          <w:numId w:val="6"/>
        </w:numPr>
        <w:jc w:val="both"/>
        <w:rPr>
          <w:rFonts w:ascii="Times New Roman" w:hAnsi="Times New Roman" w:cs="Times New Roman"/>
        </w:rPr>
      </w:pPr>
      <w:r w:rsidRPr="004C6D6D">
        <w:rPr>
          <w:rFonts w:ascii="Times New Roman" w:hAnsi="Times New Roman" w:cs="Times New Roman"/>
        </w:rPr>
        <w:t xml:space="preserve">Fuel gas / domestic power / operational: 50 </w:t>
      </w:r>
      <w:proofErr w:type="spellStart"/>
      <w:r w:rsidRPr="004C6D6D">
        <w:rPr>
          <w:rFonts w:ascii="Times New Roman" w:hAnsi="Times New Roman" w:cs="Times New Roman"/>
        </w:rPr>
        <w:t>MMscf</w:t>
      </w:r>
      <w:proofErr w:type="spellEnd"/>
      <w:r w:rsidRPr="004C6D6D">
        <w:rPr>
          <w:rFonts w:ascii="Times New Roman" w:hAnsi="Times New Roman" w:cs="Times New Roman"/>
        </w:rPr>
        <w:t>/d</w:t>
      </w:r>
    </w:p>
    <w:p w14:paraId="207DD9B5" w14:textId="7856CA9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5.2 Projections (</w:t>
      </w:r>
      <w:proofErr w:type="spellStart"/>
      <w:r w:rsidRPr="004C6D6D">
        <w:rPr>
          <w:rFonts w:ascii="Times New Roman" w:hAnsi="Times New Roman" w:cs="Times New Roman"/>
          <w:b/>
          <w:bCs/>
        </w:rPr>
        <w:t>MMscf</w:t>
      </w:r>
      <w:proofErr w:type="spellEnd"/>
      <w:r w:rsidRPr="004C6D6D">
        <w:rPr>
          <w:rFonts w:ascii="Times New Roman" w:hAnsi="Times New Roman" w:cs="Times New Roman"/>
          <w:b/>
          <w:bCs/>
        </w:rPr>
        <w:t>/d)</w:t>
      </w:r>
    </w:p>
    <w:tbl>
      <w:tblPr>
        <w:tblStyle w:val="TableGrid"/>
        <w:tblW w:w="0" w:type="auto"/>
        <w:tblLook w:val="04A0" w:firstRow="1" w:lastRow="0" w:firstColumn="1" w:lastColumn="0" w:noHBand="0" w:noVBand="1"/>
      </w:tblPr>
      <w:tblGrid>
        <w:gridCol w:w="2390"/>
        <w:gridCol w:w="696"/>
        <w:gridCol w:w="696"/>
        <w:gridCol w:w="696"/>
        <w:gridCol w:w="696"/>
        <w:gridCol w:w="696"/>
        <w:gridCol w:w="696"/>
        <w:gridCol w:w="696"/>
      </w:tblGrid>
      <w:tr w:rsidR="004C6D6D" w:rsidRPr="004C6D6D" w14:paraId="74F240F1" w14:textId="77777777" w:rsidTr="004C6D6D">
        <w:tc>
          <w:tcPr>
            <w:tcW w:w="0" w:type="auto"/>
            <w:hideMark/>
          </w:tcPr>
          <w:p w14:paraId="532A90CF"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Category</w:t>
            </w:r>
          </w:p>
        </w:tc>
        <w:tc>
          <w:tcPr>
            <w:tcW w:w="0" w:type="auto"/>
            <w:hideMark/>
          </w:tcPr>
          <w:p w14:paraId="2302472B"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2026</w:t>
            </w:r>
          </w:p>
        </w:tc>
        <w:tc>
          <w:tcPr>
            <w:tcW w:w="0" w:type="auto"/>
            <w:hideMark/>
          </w:tcPr>
          <w:p w14:paraId="2970FAAA"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2028</w:t>
            </w:r>
          </w:p>
        </w:tc>
        <w:tc>
          <w:tcPr>
            <w:tcW w:w="0" w:type="auto"/>
            <w:hideMark/>
          </w:tcPr>
          <w:p w14:paraId="6E4D0E84"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2030</w:t>
            </w:r>
          </w:p>
        </w:tc>
        <w:tc>
          <w:tcPr>
            <w:tcW w:w="0" w:type="auto"/>
            <w:hideMark/>
          </w:tcPr>
          <w:p w14:paraId="1D32D817"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2032</w:t>
            </w:r>
          </w:p>
        </w:tc>
        <w:tc>
          <w:tcPr>
            <w:tcW w:w="0" w:type="auto"/>
            <w:hideMark/>
          </w:tcPr>
          <w:p w14:paraId="4298A0D4"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2035</w:t>
            </w:r>
          </w:p>
        </w:tc>
        <w:tc>
          <w:tcPr>
            <w:tcW w:w="0" w:type="auto"/>
            <w:hideMark/>
          </w:tcPr>
          <w:p w14:paraId="745EC0E0"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2038</w:t>
            </w:r>
          </w:p>
        </w:tc>
        <w:tc>
          <w:tcPr>
            <w:tcW w:w="0" w:type="auto"/>
            <w:hideMark/>
          </w:tcPr>
          <w:p w14:paraId="721A45BC"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2040</w:t>
            </w:r>
          </w:p>
        </w:tc>
      </w:tr>
      <w:tr w:rsidR="004C6D6D" w:rsidRPr="004C6D6D" w14:paraId="3655ACC4" w14:textId="77777777" w:rsidTr="004C6D6D">
        <w:tc>
          <w:tcPr>
            <w:tcW w:w="0" w:type="auto"/>
            <w:hideMark/>
          </w:tcPr>
          <w:p w14:paraId="0CB2634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SUPPLY</w:t>
            </w:r>
          </w:p>
        </w:tc>
        <w:tc>
          <w:tcPr>
            <w:tcW w:w="0" w:type="auto"/>
            <w:hideMark/>
          </w:tcPr>
          <w:p w14:paraId="32983D4B" w14:textId="77777777" w:rsidR="004C6D6D" w:rsidRPr="004C6D6D" w:rsidRDefault="004C6D6D" w:rsidP="004C6D6D">
            <w:pPr>
              <w:spacing w:after="160" w:line="278" w:lineRule="auto"/>
              <w:jc w:val="both"/>
              <w:rPr>
                <w:rFonts w:ascii="Times New Roman" w:hAnsi="Times New Roman" w:cs="Times New Roman"/>
              </w:rPr>
            </w:pPr>
          </w:p>
        </w:tc>
        <w:tc>
          <w:tcPr>
            <w:tcW w:w="0" w:type="auto"/>
            <w:hideMark/>
          </w:tcPr>
          <w:p w14:paraId="15742231" w14:textId="77777777" w:rsidR="004C6D6D" w:rsidRPr="004C6D6D" w:rsidRDefault="004C6D6D" w:rsidP="004C6D6D">
            <w:pPr>
              <w:spacing w:after="160" w:line="278" w:lineRule="auto"/>
              <w:jc w:val="both"/>
              <w:rPr>
                <w:rFonts w:ascii="Times New Roman" w:hAnsi="Times New Roman" w:cs="Times New Roman"/>
              </w:rPr>
            </w:pPr>
          </w:p>
        </w:tc>
        <w:tc>
          <w:tcPr>
            <w:tcW w:w="0" w:type="auto"/>
            <w:hideMark/>
          </w:tcPr>
          <w:p w14:paraId="23507144" w14:textId="77777777" w:rsidR="004C6D6D" w:rsidRPr="004C6D6D" w:rsidRDefault="004C6D6D" w:rsidP="004C6D6D">
            <w:pPr>
              <w:spacing w:after="160" w:line="278" w:lineRule="auto"/>
              <w:jc w:val="both"/>
              <w:rPr>
                <w:rFonts w:ascii="Times New Roman" w:hAnsi="Times New Roman" w:cs="Times New Roman"/>
              </w:rPr>
            </w:pPr>
          </w:p>
        </w:tc>
        <w:tc>
          <w:tcPr>
            <w:tcW w:w="0" w:type="auto"/>
            <w:hideMark/>
          </w:tcPr>
          <w:p w14:paraId="601611C5" w14:textId="77777777" w:rsidR="004C6D6D" w:rsidRPr="004C6D6D" w:rsidRDefault="004C6D6D" w:rsidP="004C6D6D">
            <w:pPr>
              <w:spacing w:after="160" w:line="278" w:lineRule="auto"/>
              <w:jc w:val="both"/>
              <w:rPr>
                <w:rFonts w:ascii="Times New Roman" w:hAnsi="Times New Roman" w:cs="Times New Roman"/>
              </w:rPr>
            </w:pPr>
          </w:p>
        </w:tc>
        <w:tc>
          <w:tcPr>
            <w:tcW w:w="0" w:type="auto"/>
            <w:hideMark/>
          </w:tcPr>
          <w:p w14:paraId="49B4AB20" w14:textId="77777777" w:rsidR="004C6D6D" w:rsidRPr="004C6D6D" w:rsidRDefault="004C6D6D" w:rsidP="004C6D6D">
            <w:pPr>
              <w:spacing w:after="160" w:line="278" w:lineRule="auto"/>
              <w:jc w:val="both"/>
              <w:rPr>
                <w:rFonts w:ascii="Times New Roman" w:hAnsi="Times New Roman" w:cs="Times New Roman"/>
              </w:rPr>
            </w:pPr>
          </w:p>
        </w:tc>
        <w:tc>
          <w:tcPr>
            <w:tcW w:w="0" w:type="auto"/>
            <w:hideMark/>
          </w:tcPr>
          <w:p w14:paraId="3315CE6E" w14:textId="77777777" w:rsidR="004C6D6D" w:rsidRPr="004C6D6D" w:rsidRDefault="004C6D6D" w:rsidP="004C6D6D">
            <w:pPr>
              <w:spacing w:after="160" w:line="278" w:lineRule="auto"/>
              <w:jc w:val="both"/>
              <w:rPr>
                <w:rFonts w:ascii="Times New Roman" w:hAnsi="Times New Roman" w:cs="Times New Roman"/>
              </w:rPr>
            </w:pPr>
          </w:p>
        </w:tc>
        <w:tc>
          <w:tcPr>
            <w:tcW w:w="0" w:type="auto"/>
            <w:hideMark/>
          </w:tcPr>
          <w:p w14:paraId="669D29B3" w14:textId="77777777" w:rsidR="004C6D6D" w:rsidRPr="004C6D6D" w:rsidRDefault="004C6D6D" w:rsidP="004C6D6D">
            <w:pPr>
              <w:spacing w:after="160" w:line="278" w:lineRule="auto"/>
              <w:jc w:val="both"/>
              <w:rPr>
                <w:rFonts w:ascii="Times New Roman" w:hAnsi="Times New Roman" w:cs="Times New Roman"/>
              </w:rPr>
            </w:pPr>
          </w:p>
        </w:tc>
      </w:tr>
      <w:tr w:rsidR="004C6D6D" w:rsidRPr="004C6D6D" w14:paraId="23B28E0E" w14:textId="77777777" w:rsidTr="004C6D6D">
        <w:tc>
          <w:tcPr>
            <w:tcW w:w="0" w:type="auto"/>
            <w:hideMark/>
          </w:tcPr>
          <w:p w14:paraId="0FD1B4E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lastRenderedPageBreak/>
              <w:t>Alba</w:t>
            </w:r>
          </w:p>
        </w:tc>
        <w:tc>
          <w:tcPr>
            <w:tcW w:w="0" w:type="auto"/>
            <w:hideMark/>
          </w:tcPr>
          <w:p w14:paraId="7B1578E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180</w:t>
            </w:r>
          </w:p>
        </w:tc>
        <w:tc>
          <w:tcPr>
            <w:tcW w:w="0" w:type="auto"/>
            <w:hideMark/>
          </w:tcPr>
          <w:p w14:paraId="01CCFDB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150</w:t>
            </w:r>
          </w:p>
        </w:tc>
        <w:tc>
          <w:tcPr>
            <w:tcW w:w="0" w:type="auto"/>
            <w:hideMark/>
          </w:tcPr>
          <w:p w14:paraId="302EBC7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120</w:t>
            </w:r>
          </w:p>
        </w:tc>
        <w:tc>
          <w:tcPr>
            <w:tcW w:w="0" w:type="auto"/>
            <w:hideMark/>
          </w:tcPr>
          <w:p w14:paraId="0C01BAD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90</w:t>
            </w:r>
          </w:p>
        </w:tc>
        <w:tc>
          <w:tcPr>
            <w:tcW w:w="0" w:type="auto"/>
            <w:hideMark/>
          </w:tcPr>
          <w:p w14:paraId="39689F4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45</w:t>
            </w:r>
          </w:p>
        </w:tc>
        <w:tc>
          <w:tcPr>
            <w:tcW w:w="0" w:type="auto"/>
            <w:hideMark/>
          </w:tcPr>
          <w:p w14:paraId="7DB2EE8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w:t>
            </w:r>
          </w:p>
        </w:tc>
        <w:tc>
          <w:tcPr>
            <w:tcW w:w="0" w:type="auto"/>
            <w:hideMark/>
          </w:tcPr>
          <w:p w14:paraId="5474E64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w:t>
            </w:r>
          </w:p>
        </w:tc>
      </w:tr>
      <w:tr w:rsidR="004C6D6D" w:rsidRPr="004C6D6D" w14:paraId="491628AA" w14:textId="77777777" w:rsidTr="004C6D6D">
        <w:tc>
          <w:tcPr>
            <w:tcW w:w="0" w:type="auto"/>
            <w:hideMark/>
          </w:tcPr>
          <w:p w14:paraId="1400704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Alen</w:t>
            </w:r>
          </w:p>
        </w:tc>
        <w:tc>
          <w:tcPr>
            <w:tcW w:w="0" w:type="auto"/>
            <w:hideMark/>
          </w:tcPr>
          <w:p w14:paraId="6FE0085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250</w:t>
            </w:r>
          </w:p>
        </w:tc>
        <w:tc>
          <w:tcPr>
            <w:tcW w:w="0" w:type="auto"/>
            <w:hideMark/>
          </w:tcPr>
          <w:p w14:paraId="00ABF1E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240</w:t>
            </w:r>
          </w:p>
        </w:tc>
        <w:tc>
          <w:tcPr>
            <w:tcW w:w="0" w:type="auto"/>
            <w:hideMark/>
          </w:tcPr>
          <w:p w14:paraId="5F6CFD8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200</w:t>
            </w:r>
          </w:p>
        </w:tc>
        <w:tc>
          <w:tcPr>
            <w:tcW w:w="0" w:type="auto"/>
            <w:hideMark/>
          </w:tcPr>
          <w:p w14:paraId="7346AAC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160</w:t>
            </w:r>
          </w:p>
        </w:tc>
        <w:tc>
          <w:tcPr>
            <w:tcW w:w="0" w:type="auto"/>
            <w:hideMark/>
          </w:tcPr>
          <w:p w14:paraId="7912D3A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100</w:t>
            </w:r>
          </w:p>
        </w:tc>
        <w:tc>
          <w:tcPr>
            <w:tcW w:w="0" w:type="auto"/>
            <w:hideMark/>
          </w:tcPr>
          <w:p w14:paraId="624ED0E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60</w:t>
            </w:r>
          </w:p>
        </w:tc>
        <w:tc>
          <w:tcPr>
            <w:tcW w:w="0" w:type="auto"/>
            <w:hideMark/>
          </w:tcPr>
          <w:p w14:paraId="04B2593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w:t>
            </w:r>
          </w:p>
        </w:tc>
      </w:tr>
      <w:tr w:rsidR="004C6D6D" w:rsidRPr="004C6D6D" w14:paraId="4C3572F0" w14:textId="77777777" w:rsidTr="004C6D6D">
        <w:tc>
          <w:tcPr>
            <w:tcW w:w="0" w:type="auto"/>
            <w:hideMark/>
          </w:tcPr>
          <w:p w14:paraId="7222E1B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Aseng</w:t>
            </w:r>
          </w:p>
        </w:tc>
        <w:tc>
          <w:tcPr>
            <w:tcW w:w="0" w:type="auto"/>
            <w:hideMark/>
          </w:tcPr>
          <w:p w14:paraId="3F3B03A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0</w:t>
            </w:r>
          </w:p>
        </w:tc>
        <w:tc>
          <w:tcPr>
            <w:tcW w:w="0" w:type="auto"/>
            <w:hideMark/>
          </w:tcPr>
          <w:p w14:paraId="5607D80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50</w:t>
            </w:r>
          </w:p>
        </w:tc>
        <w:tc>
          <w:tcPr>
            <w:tcW w:w="0" w:type="auto"/>
            <w:hideMark/>
          </w:tcPr>
          <w:p w14:paraId="05F7BE3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180</w:t>
            </w:r>
          </w:p>
        </w:tc>
        <w:tc>
          <w:tcPr>
            <w:tcW w:w="0" w:type="auto"/>
            <w:hideMark/>
          </w:tcPr>
          <w:p w14:paraId="0C4921D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175</w:t>
            </w:r>
          </w:p>
        </w:tc>
        <w:tc>
          <w:tcPr>
            <w:tcW w:w="0" w:type="auto"/>
            <w:hideMark/>
          </w:tcPr>
          <w:p w14:paraId="6CA50BF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120</w:t>
            </w:r>
          </w:p>
        </w:tc>
        <w:tc>
          <w:tcPr>
            <w:tcW w:w="0" w:type="auto"/>
            <w:hideMark/>
          </w:tcPr>
          <w:p w14:paraId="12C956D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80</w:t>
            </w:r>
          </w:p>
        </w:tc>
        <w:tc>
          <w:tcPr>
            <w:tcW w:w="0" w:type="auto"/>
            <w:hideMark/>
          </w:tcPr>
          <w:p w14:paraId="5115CBB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40</w:t>
            </w:r>
          </w:p>
        </w:tc>
      </w:tr>
      <w:tr w:rsidR="004C6D6D" w:rsidRPr="004C6D6D" w14:paraId="464E293E" w14:textId="77777777" w:rsidTr="004C6D6D">
        <w:tc>
          <w:tcPr>
            <w:tcW w:w="0" w:type="auto"/>
            <w:hideMark/>
          </w:tcPr>
          <w:p w14:paraId="39874F4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Other Domestic</w:t>
            </w:r>
          </w:p>
        </w:tc>
        <w:tc>
          <w:tcPr>
            <w:tcW w:w="0" w:type="auto"/>
            <w:hideMark/>
          </w:tcPr>
          <w:p w14:paraId="16F86A4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10</w:t>
            </w:r>
          </w:p>
        </w:tc>
        <w:tc>
          <w:tcPr>
            <w:tcW w:w="0" w:type="auto"/>
            <w:hideMark/>
          </w:tcPr>
          <w:p w14:paraId="5312BED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25</w:t>
            </w:r>
          </w:p>
        </w:tc>
        <w:tc>
          <w:tcPr>
            <w:tcW w:w="0" w:type="auto"/>
            <w:hideMark/>
          </w:tcPr>
          <w:p w14:paraId="1130717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45</w:t>
            </w:r>
          </w:p>
        </w:tc>
        <w:tc>
          <w:tcPr>
            <w:tcW w:w="0" w:type="auto"/>
            <w:hideMark/>
          </w:tcPr>
          <w:p w14:paraId="0A7E760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65</w:t>
            </w:r>
          </w:p>
        </w:tc>
        <w:tc>
          <w:tcPr>
            <w:tcW w:w="0" w:type="auto"/>
            <w:hideMark/>
          </w:tcPr>
          <w:p w14:paraId="30834F3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85</w:t>
            </w:r>
          </w:p>
        </w:tc>
        <w:tc>
          <w:tcPr>
            <w:tcW w:w="0" w:type="auto"/>
            <w:hideMark/>
          </w:tcPr>
          <w:p w14:paraId="388325A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95</w:t>
            </w:r>
          </w:p>
        </w:tc>
        <w:tc>
          <w:tcPr>
            <w:tcW w:w="0" w:type="auto"/>
            <w:hideMark/>
          </w:tcPr>
          <w:p w14:paraId="1A478F3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105</w:t>
            </w:r>
          </w:p>
        </w:tc>
      </w:tr>
      <w:tr w:rsidR="004C6D6D" w:rsidRPr="004C6D6D" w14:paraId="0DC2963C" w14:textId="77777777" w:rsidTr="004C6D6D">
        <w:tc>
          <w:tcPr>
            <w:tcW w:w="0" w:type="auto"/>
            <w:hideMark/>
          </w:tcPr>
          <w:p w14:paraId="3F90F77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Regional Imports</w:t>
            </w:r>
          </w:p>
        </w:tc>
        <w:tc>
          <w:tcPr>
            <w:tcW w:w="0" w:type="auto"/>
            <w:hideMark/>
          </w:tcPr>
          <w:p w14:paraId="3772055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0</w:t>
            </w:r>
          </w:p>
        </w:tc>
        <w:tc>
          <w:tcPr>
            <w:tcW w:w="0" w:type="auto"/>
            <w:hideMark/>
          </w:tcPr>
          <w:p w14:paraId="2C44B40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0</w:t>
            </w:r>
          </w:p>
        </w:tc>
        <w:tc>
          <w:tcPr>
            <w:tcW w:w="0" w:type="auto"/>
            <w:hideMark/>
          </w:tcPr>
          <w:p w14:paraId="62BB31F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30</w:t>
            </w:r>
          </w:p>
        </w:tc>
        <w:tc>
          <w:tcPr>
            <w:tcW w:w="0" w:type="auto"/>
            <w:hideMark/>
          </w:tcPr>
          <w:p w14:paraId="42784D6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100</w:t>
            </w:r>
          </w:p>
        </w:tc>
        <w:tc>
          <w:tcPr>
            <w:tcW w:w="0" w:type="auto"/>
            <w:hideMark/>
          </w:tcPr>
          <w:p w14:paraId="1C3F757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300</w:t>
            </w:r>
          </w:p>
        </w:tc>
        <w:tc>
          <w:tcPr>
            <w:tcW w:w="0" w:type="auto"/>
            <w:hideMark/>
          </w:tcPr>
          <w:p w14:paraId="498A1D6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450</w:t>
            </w:r>
          </w:p>
        </w:tc>
        <w:tc>
          <w:tcPr>
            <w:tcW w:w="0" w:type="auto"/>
            <w:hideMark/>
          </w:tcPr>
          <w:p w14:paraId="5297346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500</w:t>
            </w:r>
          </w:p>
        </w:tc>
      </w:tr>
      <w:tr w:rsidR="004C6D6D" w:rsidRPr="004C6D6D" w14:paraId="7A320434" w14:textId="77777777" w:rsidTr="004C6D6D">
        <w:tc>
          <w:tcPr>
            <w:tcW w:w="0" w:type="auto"/>
            <w:hideMark/>
          </w:tcPr>
          <w:p w14:paraId="7D0A397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Total Supply</w:t>
            </w:r>
          </w:p>
        </w:tc>
        <w:tc>
          <w:tcPr>
            <w:tcW w:w="0" w:type="auto"/>
            <w:hideMark/>
          </w:tcPr>
          <w:p w14:paraId="0C4B508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440</w:t>
            </w:r>
          </w:p>
        </w:tc>
        <w:tc>
          <w:tcPr>
            <w:tcW w:w="0" w:type="auto"/>
            <w:hideMark/>
          </w:tcPr>
          <w:p w14:paraId="405C9A1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465</w:t>
            </w:r>
          </w:p>
        </w:tc>
        <w:tc>
          <w:tcPr>
            <w:tcW w:w="0" w:type="auto"/>
            <w:hideMark/>
          </w:tcPr>
          <w:p w14:paraId="3B91334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575</w:t>
            </w:r>
          </w:p>
        </w:tc>
        <w:tc>
          <w:tcPr>
            <w:tcW w:w="0" w:type="auto"/>
            <w:hideMark/>
          </w:tcPr>
          <w:p w14:paraId="4C694ED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590</w:t>
            </w:r>
          </w:p>
        </w:tc>
        <w:tc>
          <w:tcPr>
            <w:tcW w:w="0" w:type="auto"/>
            <w:hideMark/>
          </w:tcPr>
          <w:p w14:paraId="7F014C7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650</w:t>
            </w:r>
          </w:p>
        </w:tc>
        <w:tc>
          <w:tcPr>
            <w:tcW w:w="0" w:type="auto"/>
            <w:hideMark/>
          </w:tcPr>
          <w:p w14:paraId="6FE049D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705</w:t>
            </w:r>
          </w:p>
        </w:tc>
        <w:tc>
          <w:tcPr>
            <w:tcW w:w="0" w:type="auto"/>
            <w:hideMark/>
          </w:tcPr>
          <w:p w14:paraId="0A7D0B9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670</w:t>
            </w:r>
          </w:p>
        </w:tc>
      </w:tr>
      <w:tr w:rsidR="004C6D6D" w:rsidRPr="004C6D6D" w14:paraId="621B2125" w14:textId="77777777" w:rsidTr="004C6D6D">
        <w:tc>
          <w:tcPr>
            <w:tcW w:w="0" w:type="auto"/>
            <w:hideMark/>
          </w:tcPr>
          <w:p w14:paraId="6BD83E1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DEMAND</w:t>
            </w:r>
          </w:p>
        </w:tc>
        <w:tc>
          <w:tcPr>
            <w:tcW w:w="0" w:type="auto"/>
            <w:hideMark/>
          </w:tcPr>
          <w:p w14:paraId="61D3EF38" w14:textId="77777777" w:rsidR="004C6D6D" w:rsidRPr="004C6D6D" w:rsidRDefault="004C6D6D" w:rsidP="004C6D6D">
            <w:pPr>
              <w:spacing w:after="160" w:line="278" w:lineRule="auto"/>
              <w:jc w:val="both"/>
              <w:rPr>
                <w:rFonts w:ascii="Times New Roman" w:hAnsi="Times New Roman" w:cs="Times New Roman"/>
              </w:rPr>
            </w:pPr>
          </w:p>
        </w:tc>
        <w:tc>
          <w:tcPr>
            <w:tcW w:w="0" w:type="auto"/>
            <w:hideMark/>
          </w:tcPr>
          <w:p w14:paraId="1A8D2DF5" w14:textId="77777777" w:rsidR="004C6D6D" w:rsidRPr="004C6D6D" w:rsidRDefault="004C6D6D" w:rsidP="004C6D6D">
            <w:pPr>
              <w:spacing w:after="160" w:line="278" w:lineRule="auto"/>
              <w:jc w:val="both"/>
              <w:rPr>
                <w:rFonts w:ascii="Times New Roman" w:hAnsi="Times New Roman" w:cs="Times New Roman"/>
              </w:rPr>
            </w:pPr>
          </w:p>
        </w:tc>
        <w:tc>
          <w:tcPr>
            <w:tcW w:w="0" w:type="auto"/>
            <w:hideMark/>
          </w:tcPr>
          <w:p w14:paraId="3528D816" w14:textId="77777777" w:rsidR="004C6D6D" w:rsidRPr="004C6D6D" w:rsidRDefault="004C6D6D" w:rsidP="004C6D6D">
            <w:pPr>
              <w:spacing w:after="160" w:line="278" w:lineRule="auto"/>
              <w:jc w:val="both"/>
              <w:rPr>
                <w:rFonts w:ascii="Times New Roman" w:hAnsi="Times New Roman" w:cs="Times New Roman"/>
              </w:rPr>
            </w:pPr>
          </w:p>
        </w:tc>
        <w:tc>
          <w:tcPr>
            <w:tcW w:w="0" w:type="auto"/>
            <w:hideMark/>
          </w:tcPr>
          <w:p w14:paraId="7AF693CA" w14:textId="77777777" w:rsidR="004C6D6D" w:rsidRPr="004C6D6D" w:rsidRDefault="004C6D6D" w:rsidP="004C6D6D">
            <w:pPr>
              <w:spacing w:after="160" w:line="278" w:lineRule="auto"/>
              <w:jc w:val="both"/>
              <w:rPr>
                <w:rFonts w:ascii="Times New Roman" w:hAnsi="Times New Roman" w:cs="Times New Roman"/>
              </w:rPr>
            </w:pPr>
          </w:p>
        </w:tc>
        <w:tc>
          <w:tcPr>
            <w:tcW w:w="0" w:type="auto"/>
            <w:hideMark/>
          </w:tcPr>
          <w:p w14:paraId="60909761" w14:textId="77777777" w:rsidR="004C6D6D" w:rsidRPr="004C6D6D" w:rsidRDefault="004C6D6D" w:rsidP="004C6D6D">
            <w:pPr>
              <w:spacing w:after="160" w:line="278" w:lineRule="auto"/>
              <w:jc w:val="both"/>
              <w:rPr>
                <w:rFonts w:ascii="Times New Roman" w:hAnsi="Times New Roman" w:cs="Times New Roman"/>
              </w:rPr>
            </w:pPr>
          </w:p>
        </w:tc>
        <w:tc>
          <w:tcPr>
            <w:tcW w:w="0" w:type="auto"/>
            <w:hideMark/>
          </w:tcPr>
          <w:p w14:paraId="260C4CC4" w14:textId="77777777" w:rsidR="004C6D6D" w:rsidRPr="004C6D6D" w:rsidRDefault="004C6D6D" w:rsidP="004C6D6D">
            <w:pPr>
              <w:spacing w:after="160" w:line="278" w:lineRule="auto"/>
              <w:jc w:val="both"/>
              <w:rPr>
                <w:rFonts w:ascii="Times New Roman" w:hAnsi="Times New Roman" w:cs="Times New Roman"/>
              </w:rPr>
            </w:pPr>
          </w:p>
        </w:tc>
        <w:tc>
          <w:tcPr>
            <w:tcW w:w="0" w:type="auto"/>
            <w:hideMark/>
          </w:tcPr>
          <w:p w14:paraId="40E9BD97" w14:textId="77777777" w:rsidR="004C6D6D" w:rsidRPr="004C6D6D" w:rsidRDefault="004C6D6D" w:rsidP="004C6D6D">
            <w:pPr>
              <w:spacing w:after="160" w:line="278" w:lineRule="auto"/>
              <w:jc w:val="both"/>
              <w:rPr>
                <w:rFonts w:ascii="Times New Roman" w:hAnsi="Times New Roman" w:cs="Times New Roman"/>
              </w:rPr>
            </w:pPr>
          </w:p>
        </w:tc>
      </w:tr>
      <w:tr w:rsidR="004C6D6D" w:rsidRPr="004C6D6D" w14:paraId="4DCBB451" w14:textId="77777777" w:rsidTr="004C6D6D">
        <w:tc>
          <w:tcPr>
            <w:tcW w:w="0" w:type="auto"/>
            <w:hideMark/>
          </w:tcPr>
          <w:p w14:paraId="45D379B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LNG Feedstock</w:t>
            </w:r>
          </w:p>
        </w:tc>
        <w:tc>
          <w:tcPr>
            <w:tcW w:w="0" w:type="auto"/>
            <w:hideMark/>
          </w:tcPr>
          <w:p w14:paraId="5CF1ED5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530</w:t>
            </w:r>
          </w:p>
        </w:tc>
        <w:tc>
          <w:tcPr>
            <w:tcW w:w="0" w:type="auto"/>
            <w:hideMark/>
          </w:tcPr>
          <w:p w14:paraId="482B572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530</w:t>
            </w:r>
          </w:p>
        </w:tc>
        <w:tc>
          <w:tcPr>
            <w:tcW w:w="0" w:type="auto"/>
            <w:hideMark/>
          </w:tcPr>
          <w:p w14:paraId="41BC767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530</w:t>
            </w:r>
          </w:p>
        </w:tc>
        <w:tc>
          <w:tcPr>
            <w:tcW w:w="0" w:type="auto"/>
            <w:hideMark/>
          </w:tcPr>
          <w:p w14:paraId="7619D5F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530</w:t>
            </w:r>
          </w:p>
        </w:tc>
        <w:tc>
          <w:tcPr>
            <w:tcW w:w="0" w:type="auto"/>
            <w:hideMark/>
          </w:tcPr>
          <w:p w14:paraId="58329F6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530</w:t>
            </w:r>
          </w:p>
        </w:tc>
        <w:tc>
          <w:tcPr>
            <w:tcW w:w="0" w:type="auto"/>
            <w:hideMark/>
          </w:tcPr>
          <w:p w14:paraId="291911B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530</w:t>
            </w:r>
          </w:p>
        </w:tc>
        <w:tc>
          <w:tcPr>
            <w:tcW w:w="0" w:type="auto"/>
            <w:hideMark/>
          </w:tcPr>
          <w:p w14:paraId="41C8C21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530</w:t>
            </w:r>
          </w:p>
        </w:tc>
      </w:tr>
      <w:tr w:rsidR="004C6D6D" w:rsidRPr="004C6D6D" w14:paraId="012019A7" w14:textId="77777777" w:rsidTr="004C6D6D">
        <w:tc>
          <w:tcPr>
            <w:tcW w:w="0" w:type="auto"/>
            <w:hideMark/>
          </w:tcPr>
          <w:p w14:paraId="1AD162D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Methanol / LPG / Fuel</w:t>
            </w:r>
          </w:p>
        </w:tc>
        <w:tc>
          <w:tcPr>
            <w:tcW w:w="0" w:type="auto"/>
            <w:hideMark/>
          </w:tcPr>
          <w:p w14:paraId="6DC99CA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175</w:t>
            </w:r>
          </w:p>
        </w:tc>
        <w:tc>
          <w:tcPr>
            <w:tcW w:w="0" w:type="auto"/>
            <w:hideMark/>
          </w:tcPr>
          <w:p w14:paraId="6A8BCEF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175</w:t>
            </w:r>
          </w:p>
        </w:tc>
        <w:tc>
          <w:tcPr>
            <w:tcW w:w="0" w:type="auto"/>
            <w:hideMark/>
          </w:tcPr>
          <w:p w14:paraId="108FD65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175</w:t>
            </w:r>
          </w:p>
        </w:tc>
        <w:tc>
          <w:tcPr>
            <w:tcW w:w="0" w:type="auto"/>
            <w:hideMark/>
          </w:tcPr>
          <w:p w14:paraId="791E7DB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175</w:t>
            </w:r>
          </w:p>
        </w:tc>
        <w:tc>
          <w:tcPr>
            <w:tcW w:w="0" w:type="auto"/>
            <w:hideMark/>
          </w:tcPr>
          <w:p w14:paraId="21C941C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175</w:t>
            </w:r>
          </w:p>
        </w:tc>
        <w:tc>
          <w:tcPr>
            <w:tcW w:w="0" w:type="auto"/>
            <w:hideMark/>
          </w:tcPr>
          <w:p w14:paraId="40ED2B9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175</w:t>
            </w:r>
          </w:p>
        </w:tc>
        <w:tc>
          <w:tcPr>
            <w:tcW w:w="0" w:type="auto"/>
            <w:hideMark/>
          </w:tcPr>
          <w:p w14:paraId="65AEE1F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175</w:t>
            </w:r>
          </w:p>
        </w:tc>
      </w:tr>
      <w:tr w:rsidR="004C6D6D" w:rsidRPr="004C6D6D" w14:paraId="34FD0BD7" w14:textId="77777777" w:rsidTr="004C6D6D">
        <w:tc>
          <w:tcPr>
            <w:tcW w:w="0" w:type="auto"/>
            <w:hideMark/>
          </w:tcPr>
          <w:p w14:paraId="4784C96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Total Demand</w:t>
            </w:r>
          </w:p>
        </w:tc>
        <w:tc>
          <w:tcPr>
            <w:tcW w:w="0" w:type="auto"/>
            <w:hideMark/>
          </w:tcPr>
          <w:p w14:paraId="4C2E3A1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705</w:t>
            </w:r>
          </w:p>
        </w:tc>
        <w:tc>
          <w:tcPr>
            <w:tcW w:w="0" w:type="auto"/>
            <w:hideMark/>
          </w:tcPr>
          <w:p w14:paraId="2476B3C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705</w:t>
            </w:r>
          </w:p>
        </w:tc>
        <w:tc>
          <w:tcPr>
            <w:tcW w:w="0" w:type="auto"/>
            <w:hideMark/>
          </w:tcPr>
          <w:p w14:paraId="78DCDBE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705</w:t>
            </w:r>
          </w:p>
        </w:tc>
        <w:tc>
          <w:tcPr>
            <w:tcW w:w="0" w:type="auto"/>
            <w:hideMark/>
          </w:tcPr>
          <w:p w14:paraId="4BEDD0C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705</w:t>
            </w:r>
          </w:p>
        </w:tc>
        <w:tc>
          <w:tcPr>
            <w:tcW w:w="0" w:type="auto"/>
            <w:hideMark/>
          </w:tcPr>
          <w:p w14:paraId="7D6EB58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705</w:t>
            </w:r>
          </w:p>
        </w:tc>
        <w:tc>
          <w:tcPr>
            <w:tcW w:w="0" w:type="auto"/>
            <w:hideMark/>
          </w:tcPr>
          <w:p w14:paraId="1B381E4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705</w:t>
            </w:r>
          </w:p>
        </w:tc>
        <w:tc>
          <w:tcPr>
            <w:tcW w:w="0" w:type="auto"/>
            <w:hideMark/>
          </w:tcPr>
          <w:p w14:paraId="52EEFA1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705</w:t>
            </w:r>
          </w:p>
        </w:tc>
      </w:tr>
      <w:tr w:rsidR="004C6D6D" w:rsidRPr="004C6D6D" w14:paraId="1D3B62D2" w14:textId="77777777" w:rsidTr="004C6D6D">
        <w:tc>
          <w:tcPr>
            <w:tcW w:w="0" w:type="auto"/>
            <w:hideMark/>
          </w:tcPr>
          <w:p w14:paraId="6ABBF58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Balance</w:t>
            </w:r>
          </w:p>
        </w:tc>
        <w:tc>
          <w:tcPr>
            <w:tcW w:w="0" w:type="auto"/>
            <w:hideMark/>
          </w:tcPr>
          <w:p w14:paraId="47C6D4E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-265</w:t>
            </w:r>
          </w:p>
        </w:tc>
        <w:tc>
          <w:tcPr>
            <w:tcW w:w="0" w:type="auto"/>
            <w:hideMark/>
          </w:tcPr>
          <w:p w14:paraId="31E320E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-240</w:t>
            </w:r>
          </w:p>
        </w:tc>
        <w:tc>
          <w:tcPr>
            <w:tcW w:w="0" w:type="auto"/>
            <w:hideMark/>
          </w:tcPr>
          <w:p w14:paraId="7171F61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-130</w:t>
            </w:r>
          </w:p>
        </w:tc>
        <w:tc>
          <w:tcPr>
            <w:tcW w:w="0" w:type="auto"/>
            <w:hideMark/>
          </w:tcPr>
          <w:p w14:paraId="3BFB993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-115</w:t>
            </w:r>
          </w:p>
        </w:tc>
        <w:tc>
          <w:tcPr>
            <w:tcW w:w="0" w:type="auto"/>
            <w:hideMark/>
          </w:tcPr>
          <w:p w14:paraId="3E31B55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-55</w:t>
            </w:r>
          </w:p>
        </w:tc>
        <w:tc>
          <w:tcPr>
            <w:tcW w:w="0" w:type="auto"/>
            <w:hideMark/>
          </w:tcPr>
          <w:p w14:paraId="1407773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0</w:t>
            </w:r>
          </w:p>
        </w:tc>
        <w:tc>
          <w:tcPr>
            <w:tcW w:w="0" w:type="auto"/>
            <w:hideMark/>
          </w:tcPr>
          <w:p w14:paraId="7D756F4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-35</w:t>
            </w:r>
          </w:p>
        </w:tc>
      </w:tr>
    </w:tbl>
    <w:p w14:paraId="0A4ACC5D"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rPr>
        <w:t>Assumptions: Regional imports phased from 2030 (Yoyo-Yolanda) and accelerate from 2035 (Nigeria pipeline, ConocoPhillips blocks). Domestic decline curves based on published reserve estimates. Where reliable data are unavailable, sensitivity ranges of ±20% apply.</w:t>
      </w:r>
    </w:p>
    <w:p w14:paraId="173A36FA" w14:textId="77777777" w:rsidR="004C6D6D" w:rsidRDefault="004C6D6D" w:rsidP="004C6D6D">
      <w:pPr>
        <w:jc w:val="both"/>
        <w:rPr>
          <w:rFonts w:ascii="Times New Roman" w:hAnsi="Times New Roman" w:cs="Times New Roman"/>
          <w:b/>
          <w:bCs/>
        </w:rPr>
      </w:pPr>
    </w:p>
    <w:p w14:paraId="728EB67E" w14:textId="5D155A68"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5.3 Key Insights</w:t>
      </w:r>
    </w:p>
    <w:p w14:paraId="67FBEE24" w14:textId="77777777" w:rsidR="004C6D6D" w:rsidRPr="004C6D6D" w:rsidRDefault="004C6D6D" w:rsidP="004C6D6D">
      <w:pPr>
        <w:numPr>
          <w:ilvl w:val="0"/>
          <w:numId w:val="7"/>
        </w:numPr>
        <w:jc w:val="both"/>
        <w:rPr>
          <w:rFonts w:ascii="Times New Roman" w:hAnsi="Times New Roman" w:cs="Times New Roman"/>
        </w:rPr>
      </w:pPr>
      <w:r w:rsidRPr="004C6D6D">
        <w:rPr>
          <w:rFonts w:ascii="Times New Roman" w:hAnsi="Times New Roman" w:cs="Times New Roman"/>
        </w:rPr>
        <w:t xml:space="preserve">A </w:t>
      </w:r>
      <w:r w:rsidRPr="004C6D6D">
        <w:rPr>
          <w:rFonts w:ascii="Times New Roman" w:hAnsi="Times New Roman" w:cs="Times New Roman"/>
          <w:b/>
          <w:bCs/>
        </w:rPr>
        <w:t>supply deficit persists through 2037</w:t>
      </w:r>
      <w:r w:rsidRPr="004C6D6D">
        <w:rPr>
          <w:rFonts w:ascii="Times New Roman" w:hAnsi="Times New Roman" w:cs="Times New Roman"/>
        </w:rPr>
        <w:t xml:space="preserve"> under base-case assumptions, even with regional aggregation.</w:t>
      </w:r>
    </w:p>
    <w:p w14:paraId="46EBCA59" w14:textId="77777777" w:rsidR="004C6D6D" w:rsidRPr="004C6D6D" w:rsidRDefault="004C6D6D" w:rsidP="004C6D6D">
      <w:pPr>
        <w:numPr>
          <w:ilvl w:val="0"/>
          <w:numId w:val="7"/>
        </w:numPr>
        <w:jc w:val="both"/>
        <w:rPr>
          <w:rFonts w:ascii="Times New Roman" w:hAnsi="Times New Roman" w:cs="Times New Roman"/>
        </w:rPr>
      </w:pPr>
      <w:r w:rsidRPr="004C6D6D">
        <w:rPr>
          <w:rFonts w:ascii="Times New Roman" w:hAnsi="Times New Roman" w:cs="Times New Roman"/>
        </w:rPr>
        <w:t xml:space="preserve">The deficit narrows from </w:t>
      </w:r>
      <w:r w:rsidRPr="004C6D6D">
        <w:rPr>
          <w:rFonts w:ascii="Times New Roman" w:hAnsi="Times New Roman" w:cs="Times New Roman"/>
          <w:b/>
          <w:bCs/>
        </w:rPr>
        <w:t xml:space="preserve">-265 </w:t>
      </w:r>
      <w:proofErr w:type="spellStart"/>
      <w:r w:rsidRPr="004C6D6D">
        <w:rPr>
          <w:rFonts w:ascii="Times New Roman" w:hAnsi="Times New Roman" w:cs="Times New Roman"/>
          <w:b/>
          <w:bCs/>
        </w:rPr>
        <w:t>MMscf</w:t>
      </w:r>
      <w:proofErr w:type="spellEnd"/>
      <w:r w:rsidRPr="004C6D6D">
        <w:rPr>
          <w:rFonts w:ascii="Times New Roman" w:hAnsi="Times New Roman" w:cs="Times New Roman"/>
          <w:b/>
          <w:bCs/>
        </w:rPr>
        <w:t>/d in 2026</w:t>
      </w:r>
      <w:r w:rsidRPr="004C6D6D">
        <w:rPr>
          <w:rFonts w:ascii="Times New Roman" w:hAnsi="Times New Roman" w:cs="Times New Roman"/>
        </w:rPr>
        <w:t xml:space="preserve"> to approximately </w:t>
      </w:r>
      <w:r w:rsidRPr="004C6D6D">
        <w:rPr>
          <w:rFonts w:ascii="Times New Roman" w:hAnsi="Times New Roman" w:cs="Times New Roman"/>
          <w:b/>
          <w:bCs/>
        </w:rPr>
        <w:t xml:space="preserve">-55 </w:t>
      </w:r>
      <w:proofErr w:type="spellStart"/>
      <w:r w:rsidRPr="004C6D6D">
        <w:rPr>
          <w:rFonts w:ascii="Times New Roman" w:hAnsi="Times New Roman" w:cs="Times New Roman"/>
          <w:b/>
          <w:bCs/>
        </w:rPr>
        <w:t>MMscf</w:t>
      </w:r>
      <w:proofErr w:type="spellEnd"/>
      <w:r w:rsidRPr="004C6D6D">
        <w:rPr>
          <w:rFonts w:ascii="Times New Roman" w:hAnsi="Times New Roman" w:cs="Times New Roman"/>
          <w:b/>
          <w:bCs/>
        </w:rPr>
        <w:t>/d by 2035</w:t>
      </w:r>
      <w:r w:rsidRPr="004C6D6D">
        <w:rPr>
          <w:rFonts w:ascii="Times New Roman" w:hAnsi="Times New Roman" w:cs="Times New Roman"/>
        </w:rPr>
        <w:t xml:space="preserve"> as Aseng ramps and regional imports commence.</w:t>
      </w:r>
    </w:p>
    <w:p w14:paraId="5EBE880E" w14:textId="77777777" w:rsidR="004C6D6D" w:rsidRPr="004C6D6D" w:rsidRDefault="004C6D6D" w:rsidP="004C6D6D">
      <w:pPr>
        <w:numPr>
          <w:ilvl w:val="0"/>
          <w:numId w:val="7"/>
        </w:numPr>
        <w:jc w:val="both"/>
        <w:rPr>
          <w:rFonts w:ascii="Times New Roman" w:hAnsi="Times New Roman" w:cs="Times New Roman"/>
        </w:rPr>
      </w:pPr>
      <w:r w:rsidRPr="004C6D6D">
        <w:rPr>
          <w:rFonts w:ascii="Times New Roman" w:hAnsi="Times New Roman" w:cs="Times New Roman"/>
        </w:rPr>
        <w:t xml:space="preserve">Full demand satisfaction requires </w:t>
      </w:r>
      <w:r w:rsidRPr="004C6D6D">
        <w:rPr>
          <w:rFonts w:ascii="Times New Roman" w:hAnsi="Times New Roman" w:cs="Times New Roman"/>
          <w:b/>
          <w:bCs/>
        </w:rPr>
        <w:t xml:space="preserve">sustained regional imports of 400–500 </w:t>
      </w:r>
      <w:proofErr w:type="spellStart"/>
      <w:r w:rsidRPr="004C6D6D">
        <w:rPr>
          <w:rFonts w:ascii="Times New Roman" w:hAnsi="Times New Roman" w:cs="Times New Roman"/>
          <w:b/>
          <w:bCs/>
        </w:rPr>
        <w:t>MMscf</w:t>
      </w:r>
      <w:proofErr w:type="spellEnd"/>
      <w:r w:rsidRPr="004C6D6D">
        <w:rPr>
          <w:rFonts w:ascii="Times New Roman" w:hAnsi="Times New Roman" w:cs="Times New Roman"/>
          <w:b/>
          <w:bCs/>
        </w:rPr>
        <w:t>/d from 2038 onward</w:t>
      </w:r>
      <w:r w:rsidRPr="004C6D6D">
        <w:rPr>
          <w:rFonts w:ascii="Times New Roman" w:hAnsi="Times New Roman" w:cs="Times New Roman"/>
        </w:rPr>
        <w:t>.</w:t>
      </w:r>
    </w:p>
    <w:p w14:paraId="4E76651D" w14:textId="77777777" w:rsidR="004C6D6D" w:rsidRPr="004C6D6D" w:rsidRDefault="004C6D6D" w:rsidP="004C6D6D">
      <w:pPr>
        <w:numPr>
          <w:ilvl w:val="0"/>
          <w:numId w:val="7"/>
        </w:numPr>
        <w:jc w:val="both"/>
        <w:rPr>
          <w:rFonts w:ascii="Times New Roman" w:hAnsi="Times New Roman" w:cs="Times New Roman"/>
        </w:rPr>
      </w:pPr>
      <w:r w:rsidRPr="004C6D6D">
        <w:rPr>
          <w:rFonts w:ascii="Times New Roman" w:hAnsi="Times New Roman" w:cs="Times New Roman"/>
        </w:rPr>
        <w:t xml:space="preserve">Without regional imports, the deficit widens to </w:t>
      </w:r>
      <w:r w:rsidRPr="004C6D6D">
        <w:rPr>
          <w:rFonts w:ascii="Times New Roman" w:hAnsi="Times New Roman" w:cs="Times New Roman"/>
          <w:b/>
          <w:bCs/>
        </w:rPr>
        <w:t xml:space="preserve">-300 </w:t>
      </w:r>
      <w:proofErr w:type="spellStart"/>
      <w:r w:rsidRPr="004C6D6D">
        <w:rPr>
          <w:rFonts w:ascii="Times New Roman" w:hAnsi="Times New Roman" w:cs="Times New Roman"/>
          <w:b/>
          <w:bCs/>
        </w:rPr>
        <w:t>MMscf</w:t>
      </w:r>
      <w:proofErr w:type="spellEnd"/>
      <w:r w:rsidRPr="004C6D6D">
        <w:rPr>
          <w:rFonts w:ascii="Times New Roman" w:hAnsi="Times New Roman" w:cs="Times New Roman"/>
          <w:b/>
          <w:bCs/>
        </w:rPr>
        <w:t>/d by 2032</w:t>
      </w:r>
      <w:r w:rsidRPr="004C6D6D">
        <w:rPr>
          <w:rFonts w:ascii="Times New Roman" w:hAnsi="Times New Roman" w:cs="Times New Roman"/>
        </w:rPr>
        <w:t xml:space="preserve"> as Alba and Alen decline.</w:t>
      </w:r>
    </w:p>
    <w:p w14:paraId="2F11F62F" w14:textId="2F5BDD94" w:rsidR="004C6D6D" w:rsidRPr="004C6D6D" w:rsidRDefault="004C6D6D" w:rsidP="004C6D6D">
      <w:pPr>
        <w:jc w:val="both"/>
        <w:rPr>
          <w:rFonts w:ascii="Times New Roman" w:hAnsi="Times New Roman" w:cs="Times New Roman"/>
        </w:rPr>
      </w:pPr>
    </w:p>
    <w:p w14:paraId="5F1E2B16"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6. LNG Feedstock Security Scenarios</w:t>
      </w:r>
    </w:p>
    <w:p w14:paraId="5F1C4F5E" w14:textId="0A96657F"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Scenario 1: Domestic Gas-Dominated</w:t>
      </w:r>
    </w:p>
    <w:tbl>
      <w:tblPr>
        <w:tblStyle w:val="TableGrid"/>
        <w:tblW w:w="0" w:type="auto"/>
        <w:tblLook w:val="04A0" w:firstRow="1" w:lastRow="0" w:firstColumn="1" w:lastColumn="0" w:noHBand="0" w:noVBand="1"/>
      </w:tblPr>
      <w:tblGrid>
        <w:gridCol w:w="2316"/>
        <w:gridCol w:w="4679"/>
      </w:tblGrid>
      <w:tr w:rsidR="004C6D6D" w:rsidRPr="004C6D6D" w14:paraId="1B88A364" w14:textId="77777777" w:rsidTr="004C6D6D">
        <w:tc>
          <w:tcPr>
            <w:tcW w:w="0" w:type="auto"/>
            <w:hideMark/>
          </w:tcPr>
          <w:p w14:paraId="5C1DB9B0"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Parameter</w:t>
            </w:r>
          </w:p>
        </w:tc>
        <w:tc>
          <w:tcPr>
            <w:tcW w:w="0" w:type="auto"/>
            <w:hideMark/>
          </w:tcPr>
          <w:p w14:paraId="7B698E65"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Assessment</w:t>
            </w:r>
          </w:p>
        </w:tc>
      </w:tr>
      <w:tr w:rsidR="004C6D6D" w:rsidRPr="004C6D6D" w14:paraId="1E7CD5E2" w14:textId="77777777" w:rsidTr="004C6D6D">
        <w:tc>
          <w:tcPr>
            <w:tcW w:w="0" w:type="auto"/>
            <w:hideMark/>
          </w:tcPr>
          <w:p w14:paraId="63F0FFF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lastRenderedPageBreak/>
              <w:t>Gas availability</w:t>
            </w:r>
          </w:p>
        </w:tc>
        <w:tc>
          <w:tcPr>
            <w:tcW w:w="0" w:type="auto"/>
            <w:hideMark/>
          </w:tcPr>
          <w:p w14:paraId="2F99130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Alba + Alen + Aseng + minor domestic</w:t>
            </w:r>
          </w:p>
        </w:tc>
      </w:tr>
      <w:tr w:rsidR="004C6D6D" w:rsidRPr="004C6D6D" w14:paraId="011CBA49" w14:textId="77777777" w:rsidTr="004C6D6D">
        <w:tc>
          <w:tcPr>
            <w:tcW w:w="0" w:type="auto"/>
            <w:hideMark/>
          </w:tcPr>
          <w:p w14:paraId="3625F1C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LNG production</w:t>
            </w:r>
          </w:p>
        </w:tc>
        <w:tc>
          <w:tcPr>
            <w:tcW w:w="0" w:type="auto"/>
            <w:hideMark/>
          </w:tcPr>
          <w:p w14:paraId="68B84AD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250–400 </w:t>
            </w:r>
            <w:proofErr w:type="spellStart"/>
            <w:r w:rsidRPr="004C6D6D">
              <w:rPr>
                <w:rFonts w:ascii="Times New Roman" w:hAnsi="Times New Roman" w:cs="Times New Roman"/>
              </w:rPr>
              <w:t>MMscf</w:t>
            </w:r>
            <w:proofErr w:type="spellEnd"/>
            <w:r w:rsidRPr="004C6D6D">
              <w:rPr>
                <w:rFonts w:ascii="Times New Roman" w:hAnsi="Times New Roman" w:cs="Times New Roman"/>
              </w:rPr>
              <w:t xml:space="preserve">/d equivalent (~1.8–2.8 </w:t>
            </w:r>
            <w:proofErr w:type="spellStart"/>
            <w:r w:rsidRPr="004C6D6D">
              <w:rPr>
                <w:rFonts w:ascii="Times New Roman" w:hAnsi="Times New Roman" w:cs="Times New Roman"/>
              </w:rPr>
              <w:t>mtpa</w:t>
            </w:r>
            <w:proofErr w:type="spellEnd"/>
            <w:r w:rsidRPr="004C6D6D">
              <w:rPr>
                <w:rFonts w:ascii="Times New Roman" w:hAnsi="Times New Roman" w:cs="Times New Roman"/>
              </w:rPr>
              <w:t>)</w:t>
            </w:r>
          </w:p>
        </w:tc>
      </w:tr>
      <w:tr w:rsidR="004C6D6D" w:rsidRPr="004C6D6D" w14:paraId="34D56384" w14:textId="77777777" w:rsidTr="004C6D6D">
        <w:tc>
          <w:tcPr>
            <w:tcW w:w="0" w:type="auto"/>
            <w:hideMark/>
          </w:tcPr>
          <w:p w14:paraId="4623264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Plant </w:t>
            </w:r>
            <w:proofErr w:type="spellStart"/>
            <w:r w:rsidRPr="004C6D6D">
              <w:rPr>
                <w:rFonts w:ascii="Times New Roman" w:hAnsi="Times New Roman" w:cs="Times New Roman"/>
              </w:rPr>
              <w:t>utilisation</w:t>
            </w:r>
            <w:proofErr w:type="spellEnd"/>
          </w:p>
        </w:tc>
        <w:tc>
          <w:tcPr>
            <w:tcW w:w="0" w:type="auto"/>
            <w:hideMark/>
          </w:tcPr>
          <w:p w14:paraId="4D7FA47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50–75%</w:t>
            </w:r>
          </w:p>
        </w:tc>
      </w:tr>
      <w:tr w:rsidR="004C6D6D" w:rsidRPr="004C6D6D" w14:paraId="2EA742E7" w14:textId="77777777" w:rsidTr="004C6D6D">
        <w:tc>
          <w:tcPr>
            <w:tcW w:w="0" w:type="auto"/>
            <w:hideMark/>
          </w:tcPr>
          <w:p w14:paraId="7957833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Feedstock deficit</w:t>
            </w:r>
          </w:p>
        </w:tc>
        <w:tc>
          <w:tcPr>
            <w:tcW w:w="0" w:type="auto"/>
            <w:hideMark/>
          </w:tcPr>
          <w:p w14:paraId="2D519AA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-250 to -400 </w:t>
            </w:r>
            <w:proofErr w:type="spellStart"/>
            <w:r w:rsidRPr="004C6D6D">
              <w:rPr>
                <w:rFonts w:ascii="Times New Roman" w:hAnsi="Times New Roman" w:cs="Times New Roman"/>
              </w:rPr>
              <w:t>MMscf</w:t>
            </w:r>
            <w:proofErr w:type="spellEnd"/>
            <w:r w:rsidRPr="004C6D6D">
              <w:rPr>
                <w:rFonts w:ascii="Times New Roman" w:hAnsi="Times New Roman" w:cs="Times New Roman"/>
              </w:rPr>
              <w:t>/d from 2028</w:t>
            </w:r>
          </w:p>
        </w:tc>
      </w:tr>
      <w:tr w:rsidR="004C6D6D" w:rsidRPr="004C6D6D" w14:paraId="0030D84B" w14:textId="77777777" w:rsidTr="004C6D6D">
        <w:tc>
          <w:tcPr>
            <w:tcW w:w="0" w:type="auto"/>
            <w:hideMark/>
          </w:tcPr>
          <w:p w14:paraId="61BE54E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Pipeline requirements</w:t>
            </w:r>
          </w:p>
        </w:tc>
        <w:tc>
          <w:tcPr>
            <w:tcW w:w="0" w:type="auto"/>
            <w:hideMark/>
          </w:tcPr>
          <w:p w14:paraId="5DCC42F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Existing infrastructure sufficient</w:t>
            </w:r>
          </w:p>
        </w:tc>
      </w:tr>
      <w:tr w:rsidR="004C6D6D" w:rsidRPr="004C6D6D" w14:paraId="68472D03" w14:textId="77777777" w:rsidTr="004C6D6D">
        <w:tc>
          <w:tcPr>
            <w:tcW w:w="0" w:type="auto"/>
            <w:hideMark/>
          </w:tcPr>
          <w:p w14:paraId="6CE6665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CAPEX</w:t>
            </w:r>
          </w:p>
        </w:tc>
        <w:tc>
          <w:tcPr>
            <w:tcW w:w="0" w:type="auto"/>
            <w:hideMark/>
          </w:tcPr>
          <w:p w14:paraId="5DF0570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Minimal ($100–200m for infill)</w:t>
            </w:r>
          </w:p>
        </w:tc>
      </w:tr>
      <w:tr w:rsidR="004C6D6D" w:rsidRPr="004C6D6D" w14:paraId="76C48E32" w14:textId="77777777" w:rsidTr="004C6D6D">
        <w:tc>
          <w:tcPr>
            <w:tcW w:w="0" w:type="auto"/>
            <w:hideMark/>
          </w:tcPr>
          <w:p w14:paraId="0D96AFE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Commercial risk</w:t>
            </w:r>
          </w:p>
        </w:tc>
        <w:tc>
          <w:tcPr>
            <w:tcW w:w="0" w:type="auto"/>
            <w:hideMark/>
          </w:tcPr>
          <w:p w14:paraId="68E6BBE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r>
      <w:tr w:rsidR="004C6D6D" w:rsidRPr="004C6D6D" w14:paraId="6695FCD7" w14:textId="77777777" w:rsidTr="004C6D6D">
        <w:tc>
          <w:tcPr>
            <w:tcW w:w="0" w:type="auto"/>
            <w:hideMark/>
          </w:tcPr>
          <w:p w14:paraId="6D90143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Supply security</w:t>
            </w:r>
          </w:p>
        </w:tc>
        <w:tc>
          <w:tcPr>
            <w:tcW w:w="0" w:type="auto"/>
            <w:hideMark/>
          </w:tcPr>
          <w:p w14:paraId="4B646C2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Poor beyond 2030</w:t>
            </w:r>
          </w:p>
        </w:tc>
      </w:tr>
    </w:tbl>
    <w:p w14:paraId="591003CA" w14:textId="77777777" w:rsidR="004C6D6D" w:rsidRDefault="004C6D6D" w:rsidP="004C6D6D">
      <w:pPr>
        <w:jc w:val="both"/>
        <w:rPr>
          <w:rFonts w:ascii="Times New Roman" w:hAnsi="Times New Roman" w:cs="Times New Roman"/>
          <w:b/>
          <w:bCs/>
        </w:rPr>
      </w:pPr>
    </w:p>
    <w:p w14:paraId="7A37CCCB" w14:textId="5C204604"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Scenario 2: Domestic + Regional Aggregation</w:t>
      </w:r>
    </w:p>
    <w:tbl>
      <w:tblPr>
        <w:tblStyle w:val="TableGrid"/>
        <w:tblW w:w="0" w:type="auto"/>
        <w:tblLook w:val="04A0" w:firstRow="1" w:lastRow="0" w:firstColumn="1" w:lastColumn="0" w:noHBand="0" w:noVBand="1"/>
      </w:tblPr>
      <w:tblGrid>
        <w:gridCol w:w="2259"/>
        <w:gridCol w:w="7091"/>
      </w:tblGrid>
      <w:tr w:rsidR="004C6D6D" w:rsidRPr="004C6D6D" w14:paraId="376C4413" w14:textId="77777777" w:rsidTr="004C6D6D">
        <w:tc>
          <w:tcPr>
            <w:tcW w:w="0" w:type="auto"/>
            <w:hideMark/>
          </w:tcPr>
          <w:p w14:paraId="49B879C9"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Parameter</w:t>
            </w:r>
          </w:p>
        </w:tc>
        <w:tc>
          <w:tcPr>
            <w:tcW w:w="0" w:type="auto"/>
            <w:hideMark/>
          </w:tcPr>
          <w:p w14:paraId="4524FF8B"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Assessment</w:t>
            </w:r>
          </w:p>
        </w:tc>
      </w:tr>
      <w:tr w:rsidR="004C6D6D" w:rsidRPr="004C6D6D" w14:paraId="54F48E64" w14:textId="77777777" w:rsidTr="004C6D6D">
        <w:tc>
          <w:tcPr>
            <w:tcW w:w="0" w:type="auto"/>
            <w:hideMark/>
          </w:tcPr>
          <w:p w14:paraId="4F7C58C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Gas availability</w:t>
            </w:r>
          </w:p>
        </w:tc>
        <w:tc>
          <w:tcPr>
            <w:tcW w:w="0" w:type="auto"/>
            <w:hideMark/>
          </w:tcPr>
          <w:p w14:paraId="7067B0B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Domestic + Yoyo-Yolanda + Cameroon Etinde + early Nigerian volumes</w:t>
            </w:r>
          </w:p>
        </w:tc>
      </w:tr>
      <w:tr w:rsidR="004C6D6D" w:rsidRPr="004C6D6D" w14:paraId="36186832" w14:textId="77777777" w:rsidTr="004C6D6D">
        <w:tc>
          <w:tcPr>
            <w:tcW w:w="0" w:type="auto"/>
            <w:hideMark/>
          </w:tcPr>
          <w:p w14:paraId="450767A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LNG production</w:t>
            </w:r>
          </w:p>
        </w:tc>
        <w:tc>
          <w:tcPr>
            <w:tcW w:w="0" w:type="auto"/>
            <w:hideMark/>
          </w:tcPr>
          <w:p w14:paraId="4821070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450–530 </w:t>
            </w:r>
            <w:proofErr w:type="spellStart"/>
            <w:r w:rsidRPr="004C6D6D">
              <w:rPr>
                <w:rFonts w:ascii="Times New Roman" w:hAnsi="Times New Roman" w:cs="Times New Roman"/>
              </w:rPr>
              <w:t>MMscf</w:t>
            </w:r>
            <w:proofErr w:type="spellEnd"/>
            <w:r w:rsidRPr="004C6D6D">
              <w:rPr>
                <w:rFonts w:ascii="Times New Roman" w:hAnsi="Times New Roman" w:cs="Times New Roman"/>
              </w:rPr>
              <w:t xml:space="preserve">/d equivalent (~3.2–3.7 </w:t>
            </w:r>
            <w:proofErr w:type="spellStart"/>
            <w:r w:rsidRPr="004C6D6D">
              <w:rPr>
                <w:rFonts w:ascii="Times New Roman" w:hAnsi="Times New Roman" w:cs="Times New Roman"/>
              </w:rPr>
              <w:t>mtpa</w:t>
            </w:r>
            <w:proofErr w:type="spellEnd"/>
            <w:r w:rsidRPr="004C6D6D">
              <w:rPr>
                <w:rFonts w:ascii="Times New Roman" w:hAnsi="Times New Roman" w:cs="Times New Roman"/>
              </w:rPr>
              <w:t>)</w:t>
            </w:r>
          </w:p>
        </w:tc>
      </w:tr>
      <w:tr w:rsidR="004C6D6D" w:rsidRPr="004C6D6D" w14:paraId="30ECFE6E" w14:textId="77777777" w:rsidTr="004C6D6D">
        <w:tc>
          <w:tcPr>
            <w:tcW w:w="0" w:type="auto"/>
            <w:hideMark/>
          </w:tcPr>
          <w:p w14:paraId="6162244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Plant </w:t>
            </w:r>
            <w:proofErr w:type="spellStart"/>
            <w:r w:rsidRPr="004C6D6D">
              <w:rPr>
                <w:rFonts w:ascii="Times New Roman" w:hAnsi="Times New Roman" w:cs="Times New Roman"/>
              </w:rPr>
              <w:t>utilisation</w:t>
            </w:r>
            <w:proofErr w:type="spellEnd"/>
          </w:p>
        </w:tc>
        <w:tc>
          <w:tcPr>
            <w:tcW w:w="0" w:type="auto"/>
            <w:hideMark/>
          </w:tcPr>
          <w:p w14:paraId="0D1670A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85–100%</w:t>
            </w:r>
          </w:p>
        </w:tc>
      </w:tr>
      <w:tr w:rsidR="004C6D6D" w:rsidRPr="004C6D6D" w14:paraId="35273799" w14:textId="77777777" w:rsidTr="004C6D6D">
        <w:tc>
          <w:tcPr>
            <w:tcW w:w="0" w:type="auto"/>
            <w:hideMark/>
          </w:tcPr>
          <w:p w14:paraId="0EE97F2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Feedstock deficit</w:t>
            </w:r>
          </w:p>
        </w:tc>
        <w:tc>
          <w:tcPr>
            <w:tcW w:w="0" w:type="auto"/>
            <w:hideMark/>
          </w:tcPr>
          <w:p w14:paraId="2EC0CA8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-50 to -150 </w:t>
            </w:r>
            <w:proofErr w:type="spellStart"/>
            <w:r w:rsidRPr="004C6D6D">
              <w:rPr>
                <w:rFonts w:ascii="Times New Roman" w:hAnsi="Times New Roman" w:cs="Times New Roman"/>
              </w:rPr>
              <w:t>MMscf</w:t>
            </w:r>
            <w:proofErr w:type="spellEnd"/>
            <w:r w:rsidRPr="004C6D6D">
              <w:rPr>
                <w:rFonts w:ascii="Times New Roman" w:hAnsi="Times New Roman" w:cs="Times New Roman"/>
              </w:rPr>
              <w:t>/d through 2035; balanced by 2038</w:t>
            </w:r>
          </w:p>
        </w:tc>
      </w:tr>
      <w:tr w:rsidR="004C6D6D" w:rsidRPr="004C6D6D" w14:paraId="23C9E788" w14:textId="77777777" w:rsidTr="004C6D6D">
        <w:tc>
          <w:tcPr>
            <w:tcW w:w="0" w:type="auto"/>
            <w:hideMark/>
          </w:tcPr>
          <w:p w14:paraId="3C8CC12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Pipeline requirements</w:t>
            </w:r>
          </w:p>
        </w:tc>
        <w:tc>
          <w:tcPr>
            <w:tcW w:w="0" w:type="auto"/>
            <w:hideMark/>
          </w:tcPr>
          <w:p w14:paraId="7EDA9D1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Yoyo-Yolanda tie-back ($1–1.5bn); Cameroon interconnector ($500m–1bn)</w:t>
            </w:r>
          </w:p>
        </w:tc>
      </w:tr>
      <w:tr w:rsidR="004C6D6D" w:rsidRPr="004C6D6D" w14:paraId="0D10D195" w14:textId="77777777" w:rsidTr="004C6D6D">
        <w:tc>
          <w:tcPr>
            <w:tcW w:w="0" w:type="auto"/>
            <w:hideMark/>
          </w:tcPr>
          <w:p w14:paraId="13C4144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CAPEX</w:t>
            </w:r>
          </w:p>
        </w:tc>
        <w:tc>
          <w:tcPr>
            <w:tcW w:w="0" w:type="auto"/>
            <w:hideMark/>
          </w:tcPr>
          <w:p w14:paraId="644A2F9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$3–4 billion</w:t>
            </w:r>
          </w:p>
        </w:tc>
      </w:tr>
      <w:tr w:rsidR="004C6D6D" w:rsidRPr="004C6D6D" w14:paraId="53FCE7C8" w14:textId="77777777" w:rsidTr="004C6D6D">
        <w:tc>
          <w:tcPr>
            <w:tcW w:w="0" w:type="auto"/>
            <w:hideMark/>
          </w:tcPr>
          <w:p w14:paraId="5945022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Commercial risk</w:t>
            </w:r>
          </w:p>
        </w:tc>
        <w:tc>
          <w:tcPr>
            <w:tcW w:w="0" w:type="auto"/>
            <w:hideMark/>
          </w:tcPr>
          <w:p w14:paraId="4770F89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Moderate</w:t>
            </w:r>
          </w:p>
        </w:tc>
      </w:tr>
      <w:tr w:rsidR="004C6D6D" w:rsidRPr="004C6D6D" w14:paraId="727B8A90" w14:textId="77777777" w:rsidTr="004C6D6D">
        <w:tc>
          <w:tcPr>
            <w:tcW w:w="0" w:type="auto"/>
            <w:hideMark/>
          </w:tcPr>
          <w:p w14:paraId="2854CF5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Supply security</w:t>
            </w:r>
          </w:p>
        </w:tc>
        <w:tc>
          <w:tcPr>
            <w:tcW w:w="0" w:type="auto"/>
            <w:hideMark/>
          </w:tcPr>
          <w:p w14:paraId="58A2A40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Adequate with managed risk</w:t>
            </w:r>
          </w:p>
        </w:tc>
      </w:tr>
    </w:tbl>
    <w:p w14:paraId="215A442E" w14:textId="77777777" w:rsidR="004C6D6D" w:rsidRDefault="004C6D6D" w:rsidP="004C6D6D">
      <w:pPr>
        <w:jc w:val="both"/>
        <w:rPr>
          <w:rFonts w:ascii="Times New Roman" w:hAnsi="Times New Roman" w:cs="Times New Roman"/>
          <w:b/>
          <w:bCs/>
        </w:rPr>
      </w:pPr>
    </w:p>
    <w:p w14:paraId="26A9565B" w14:textId="6B794C3A"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Scenario 3: Regional Gas Hub</w:t>
      </w:r>
    </w:p>
    <w:tbl>
      <w:tblPr>
        <w:tblStyle w:val="TableGrid"/>
        <w:tblW w:w="0" w:type="auto"/>
        <w:tblLook w:val="04A0" w:firstRow="1" w:lastRow="0" w:firstColumn="1" w:lastColumn="0" w:noHBand="0" w:noVBand="1"/>
      </w:tblPr>
      <w:tblGrid>
        <w:gridCol w:w="2251"/>
        <w:gridCol w:w="7099"/>
      </w:tblGrid>
      <w:tr w:rsidR="004C6D6D" w:rsidRPr="004C6D6D" w14:paraId="35094DEE" w14:textId="77777777" w:rsidTr="004C6D6D">
        <w:tc>
          <w:tcPr>
            <w:tcW w:w="0" w:type="auto"/>
            <w:hideMark/>
          </w:tcPr>
          <w:p w14:paraId="49629B0E"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Parameter</w:t>
            </w:r>
          </w:p>
        </w:tc>
        <w:tc>
          <w:tcPr>
            <w:tcW w:w="0" w:type="auto"/>
            <w:hideMark/>
          </w:tcPr>
          <w:p w14:paraId="66E33230"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Assessment</w:t>
            </w:r>
          </w:p>
        </w:tc>
      </w:tr>
      <w:tr w:rsidR="004C6D6D" w:rsidRPr="004C6D6D" w14:paraId="0B92D0B3" w14:textId="77777777" w:rsidTr="004C6D6D">
        <w:tc>
          <w:tcPr>
            <w:tcW w:w="0" w:type="auto"/>
            <w:hideMark/>
          </w:tcPr>
          <w:p w14:paraId="40FF6BE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Gas availability</w:t>
            </w:r>
          </w:p>
        </w:tc>
        <w:tc>
          <w:tcPr>
            <w:tcW w:w="0" w:type="auto"/>
            <w:hideMark/>
          </w:tcPr>
          <w:p w14:paraId="21DBE2A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Domestic + full Yoyo-Yolanda + Nigerian GOGGP + ConocoPhillips blocks</w:t>
            </w:r>
          </w:p>
        </w:tc>
      </w:tr>
      <w:tr w:rsidR="004C6D6D" w:rsidRPr="004C6D6D" w14:paraId="4490DEFF" w14:textId="77777777" w:rsidTr="004C6D6D">
        <w:tc>
          <w:tcPr>
            <w:tcW w:w="0" w:type="auto"/>
            <w:hideMark/>
          </w:tcPr>
          <w:p w14:paraId="1A5D271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LNG production</w:t>
            </w:r>
          </w:p>
        </w:tc>
        <w:tc>
          <w:tcPr>
            <w:tcW w:w="0" w:type="auto"/>
            <w:hideMark/>
          </w:tcPr>
          <w:p w14:paraId="02B067F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530+ </w:t>
            </w:r>
            <w:proofErr w:type="spellStart"/>
            <w:r w:rsidRPr="004C6D6D">
              <w:rPr>
                <w:rFonts w:ascii="Times New Roman" w:hAnsi="Times New Roman" w:cs="Times New Roman"/>
              </w:rPr>
              <w:t>MMscf</w:t>
            </w:r>
            <w:proofErr w:type="spellEnd"/>
            <w:r w:rsidRPr="004C6D6D">
              <w:rPr>
                <w:rFonts w:ascii="Times New Roman" w:hAnsi="Times New Roman" w:cs="Times New Roman"/>
              </w:rPr>
              <w:t>/d; potential Train 2 back on agenda</w:t>
            </w:r>
          </w:p>
        </w:tc>
      </w:tr>
      <w:tr w:rsidR="004C6D6D" w:rsidRPr="004C6D6D" w14:paraId="3278C10D" w14:textId="77777777" w:rsidTr="004C6D6D">
        <w:tc>
          <w:tcPr>
            <w:tcW w:w="0" w:type="auto"/>
            <w:hideMark/>
          </w:tcPr>
          <w:p w14:paraId="04C7B0F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Plant </w:t>
            </w:r>
            <w:proofErr w:type="spellStart"/>
            <w:r w:rsidRPr="004C6D6D">
              <w:rPr>
                <w:rFonts w:ascii="Times New Roman" w:hAnsi="Times New Roman" w:cs="Times New Roman"/>
              </w:rPr>
              <w:t>utilisation</w:t>
            </w:r>
            <w:proofErr w:type="spellEnd"/>
          </w:p>
        </w:tc>
        <w:tc>
          <w:tcPr>
            <w:tcW w:w="0" w:type="auto"/>
            <w:hideMark/>
          </w:tcPr>
          <w:p w14:paraId="7BDB989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100%+</w:t>
            </w:r>
          </w:p>
        </w:tc>
      </w:tr>
      <w:tr w:rsidR="004C6D6D" w:rsidRPr="004C6D6D" w14:paraId="570D3EEF" w14:textId="77777777" w:rsidTr="004C6D6D">
        <w:tc>
          <w:tcPr>
            <w:tcW w:w="0" w:type="auto"/>
            <w:hideMark/>
          </w:tcPr>
          <w:p w14:paraId="5D92E98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lastRenderedPageBreak/>
              <w:t>Feedstock surplus</w:t>
            </w:r>
          </w:p>
        </w:tc>
        <w:tc>
          <w:tcPr>
            <w:tcW w:w="0" w:type="auto"/>
            <w:hideMark/>
          </w:tcPr>
          <w:p w14:paraId="68170AF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+100 to +300 </w:t>
            </w:r>
            <w:proofErr w:type="spellStart"/>
            <w:r w:rsidRPr="004C6D6D">
              <w:rPr>
                <w:rFonts w:ascii="Times New Roman" w:hAnsi="Times New Roman" w:cs="Times New Roman"/>
              </w:rPr>
              <w:t>MMscf</w:t>
            </w:r>
            <w:proofErr w:type="spellEnd"/>
            <w:r w:rsidRPr="004C6D6D">
              <w:rPr>
                <w:rFonts w:ascii="Times New Roman" w:hAnsi="Times New Roman" w:cs="Times New Roman"/>
              </w:rPr>
              <w:t>/d from 2035</w:t>
            </w:r>
          </w:p>
        </w:tc>
      </w:tr>
      <w:tr w:rsidR="004C6D6D" w:rsidRPr="004C6D6D" w14:paraId="31C3EF51" w14:textId="77777777" w:rsidTr="004C6D6D">
        <w:tc>
          <w:tcPr>
            <w:tcW w:w="0" w:type="auto"/>
            <w:hideMark/>
          </w:tcPr>
          <w:p w14:paraId="32344B6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Pipeline requirements</w:t>
            </w:r>
          </w:p>
        </w:tc>
        <w:tc>
          <w:tcPr>
            <w:tcW w:w="0" w:type="auto"/>
            <w:hideMark/>
          </w:tcPr>
          <w:p w14:paraId="1B3DED4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GOGGP ($25bn regional); compression; metering; quality management</w:t>
            </w:r>
          </w:p>
        </w:tc>
      </w:tr>
      <w:tr w:rsidR="004C6D6D" w:rsidRPr="004C6D6D" w14:paraId="5F9127FC" w14:textId="77777777" w:rsidTr="004C6D6D">
        <w:tc>
          <w:tcPr>
            <w:tcW w:w="0" w:type="auto"/>
            <w:hideMark/>
          </w:tcPr>
          <w:p w14:paraId="44C0D74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CAPEX</w:t>
            </w:r>
          </w:p>
        </w:tc>
        <w:tc>
          <w:tcPr>
            <w:tcW w:w="0" w:type="auto"/>
            <w:hideMark/>
          </w:tcPr>
          <w:p w14:paraId="3510C63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$8–12 billion (including GOGGP)</w:t>
            </w:r>
          </w:p>
        </w:tc>
      </w:tr>
      <w:tr w:rsidR="004C6D6D" w:rsidRPr="004C6D6D" w14:paraId="0493452B" w14:textId="77777777" w:rsidTr="004C6D6D">
        <w:tc>
          <w:tcPr>
            <w:tcW w:w="0" w:type="auto"/>
            <w:hideMark/>
          </w:tcPr>
          <w:p w14:paraId="5EB7DFF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Commercial risk</w:t>
            </w:r>
          </w:p>
        </w:tc>
        <w:tc>
          <w:tcPr>
            <w:tcW w:w="0" w:type="auto"/>
            <w:hideMark/>
          </w:tcPr>
          <w:p w14:paraId="4F18C6E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 (cross-border, Nigerian supply uncertainty)</w:t>
            </w:r>
          </w:p>
        </w:tc>
      </w:tr>
      <w:tr w:rsidR="004C6D6D" w:rsidRPr="004C6D6D" w14:paraId="70C7802F" w14:textId="77777777" w:rsidTr="004C6D6D">
        <w:tc>
          <w:tcPr>
            <w:tcW w:w="0" w:type="auto"/>
            <w:hideMark/>
          </w:tcPr>
          <w:p w14:paraId="20D12D6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Supply security</w:t>
            </w:r>
          </w:p>
        </w:tc>
        <w:tc>
          <w:tcPr>
            <w:tcW w:w="0" w:type="auto"/>
            <w:hideMark/>
          </w:tcPr>
          <w:p w14:paraId="13C7BDC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Strong if executed, but execution risk is material</w:t>
            </w:r>
          </w:p>
        </w:tc>
      </w:tr>
    </w:tbl>
    <w:p w14:paraId="308D7A92" w14:textId="68975050" w:rsidR="004C6D6D" w:rsidRPr="004C6D6D" w:rsidRDefault="004C6D6D" w:rsidP="004C6D6D">
      <w:pPr>
        <w:jc w:val="both"/>
        <w:rPr>
          <w:rFonts w:ascii="Times New Roman" w:hAnsi="Times New Roman" w:cs="Times New Roman"/>
        </w:rPr>
      </w:pPr>
    </w:p>
    <w:p w14:paraId="3EA3F14E"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7. Pipeline and Infrastructure Requirements</w:t>
      </w:r>
    </w:p>
    <w:p w14:paraId="326D1501"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7.1 Existing Infrastructure Map</w:t>
      </w:r>
    </w:p>
    <w:p w14:paraId="1DCB8EC6"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Alen-Punta Europa Corridor:</w:t>
      </w:r>
    </w:p>
    <w:p w14:paraId="2530F961" w14:textId="77777777" w:rsidR="004C6D6D" w:rsidRPr="004C6D6D" w:rsidRDefault="004C6D6D" w:rsidP="004C6D6D">
      <w:pPr>
        <w:numPr>
          <w:ilvl w:val="0"/>
          <w:numId w:val="8"/>
        </w:numPr>
        <w:jc w:val="both"/>
        <w:rPr>
          <w:rFonts w:ascii="Times New Roman" w:hAnsi="Times New Roman" w:cs="Times New Roman"/>
        </w:rPr>
      </w:pPr>
      <w:r w:rsidRPr="004C6D6D">
        <w:rPr>
          <w:rFonts w:ascii="Times New Roman" w:hAnsi="Times New Roman" w:cs="Times New Roman"/>
          <w:b/>
          <w:bCs/>
        </w:rPr>
        <w:t>Alen Platform</w:t>
      </w:r>
      <w:r w:rsidRPr="004C6D6D">
        <w:rPr>
          <w:rFonts w:ascii="Times New Roman" w:hAnsi="Times New Roman" w:cs="Times New Roman"/>
        </w:rPr>
        <w:t xml:space="preserve"> → </w:t>
      </w:r>
      <w:r w:rsidRPr="004C6D6D">
        <w:rPr>
          <w:rFonts w:ascii="Times New Roman" w:hAnsi="Times New Roman" w:cs="Times New Roman"/>
          <w:b/>
          <w:bCs/>
        </w:rPr>
        <w:t>70 km, 24-inch subsea pipeline</w:t>
      </w:r>
      <w:r w:rsidRPr="004C6D6D">
        <w:rPr>
          <w:rFonts w:ascii="Times New Roman" w:hAnsi="Times New Roman" w:cs="Times New Roman"/>
        </w:rPr>
        <w:t xml:space="preserve"> → </w:t>
      </w:r>
      <w:r w:rsidRPr="004C6D6D">
        <w:rPr>
          <w:rFonts w:ascii="Times New Roman" w:hAnsi="Times New Roman" w:cs="Times New Roman"/>
          <w:b/>
          <w:bCs/>
        </w:rPr>
        <w:t>Alba LPG Plant</w:t>
      </w:r>
      <w:r w:rsidRPr="004C6D6D">
        <w:rPr>
          <w:rFonts w:ascii="Times New Roman" w:hAnsi="Times New Roman" w:cs="Times New Roman"/>
        </w:rPr>
        <w:t xml:space="preserve"> → </w:t>
      </w:r>
      <w:r w:rsidRPr="004C6D6D">
        <w:rPr>
          <w:rFonts w:ascii="Times New Roman" w:hAnsi="Times New Roman" w:cs="Times New Roman"/>
          <w:b/>
          <w:bCs/>
        </w:rPr>
        <w:t>EG LNG / AMPCO Methanol</w:t>
      </w:r>
    </w:p>
    <w:p w14:paraId="62DBC199" w14:textId="77777777" w:rsidR="004C6D6D" w:rsidRPr="004C6D6D" w:rsidRDefault="004C6D6D" w:rsidP="004C6D6D">
      <w:pPr>
        <w:numPr>
          <w:ilvl w:val="0"/>
          <w:numId w:val="8"/>
        </w:numPr>
        <w:jc w:val="both"/>
        <w:rPr>
          <w:rFonts w:ascii="Times New Roman" w:hAnsi="Times New Roman" w:cs="Times New Roman"/>
        </w:rPr>
      </w:pPr>
      <w:r w:rsidRPr="004C6D6D">
        <w:rPr>
          <w:rFonts w:ascii="Times New Roman" w:hAnsi="Times New Roman" w:cs="Times New Roman"/>
        </w:rPr>
        <w:t xml:space="preserve">Capacity: 950 </w:t>
      </w:r>
      <w:proofErr w:type="spellStart"/>
      <w:r w:rsidRPr="004C6D6D">
        <w:rPr>
          <w:rFonts w:ascii="Times New Roman" w:hAnsi="Times New Roman" w:cs="Times New Roman"/>
        </w:rPr>
        <w:t>MMscf</w:t>
      </w:r>
      <w:proofErr w:type="spellEnd"/>
      <w:r w:rsidRPr="004C6D6D">
        <w:rPr>
          <w:rFonts w:ascii="Times New Roman" w:hAnsi="Times New Roman" w:cs="Times New Roman"/>
        </w:rPr>
        <w:t>/d</w:t>
      </w:r>
    </w:p>
    <w:p w14:paraId="239EEFBD" w14:textId="77777777" w:rsidR="004C6D6D" w:rsidRPr="004C6D6D" w:rsidRDefault="004C6D6D" w:rsidP="004C6D6D">
      <w:pPr>
        <w:numPr>
          <w:ilvl w:val="0"/>
          <w:numId w:val="8"/>
        </w:numPr>
        <w:jc w:val="both"/>
        <w:rPr>
          <w:rFonts w:ascii="Times New Roman" w:hAnsi="Times New Roman" w:cs="Times New Roman"/>
        </w:rPr>
      </w:pPr>
      <w:r w:rsidRPr="004C6D6D">
        <w:rPr>
          <w:rFonts w:ascii="Times New Roman" w:hAnsi="Times New Roman" w:cs="Times New Roman"/>
        </w:rPr>
        <w:t xml:space="preserve">Current </w:t>
      </w:r>
      <w:proofErr w:type="spellStart"/>
      <w:r w:rsidRPr="004C6D6D">
        <w:rPr>
          <w:rFonts w:ascii="Times New Roman" w:hAnsi="Times New Roman" w:cs="Times New Roman"/>
        </w:rPr>
        <w:t>utilisation</w:t>
      </w:r>
      <w:proofErr w:type="spellEnd"/>
      <w:r w:rsidRPr="004C6D6D">
        <w:rPr>
          <w:rFonts w:ascii="Times New Roman" w:hAnsi="Times New Roman" w:cs="Times New Roman"/>
        </w:rPr>
        <w:t>: ~45–65% (2026–2030)</w:t>
      </w:r>
    </w:p>
    <w:p w14:paraId="235FE161" w14:textId="77777777" w:rsidR="004C6D6D" w:rsidRPr="004C6D6D" w:rsidRDefault="004C6D6D" w:rsidP="004C6D6D">
      <w:pPr>
        <w:numPr>
          <w:ilvl w:val="0"/>
          <w:numId w:val="8"/>
        </w:numPr>
        <w:jc w:val="both"/>
        <w:rPr>
          <w:rFonts w:ascii="Times New Roman" w:hAnsi="Times New Roman" w:cs="Times New Roman"/>
        </w:rPr>
      </w:pPr>
      <w:r w:rsidRPr="004C6D6D">
        <w:rPr>
          <w:rFonts w:ascii="Times New Roman" w:hAnsi="Times New Roman" w:cs="Times New Roman"/>
        </w:rPr>
        <w:t xml:space="preserve">Spare capacity: ~300–500 </w:t>
      </w:r>
      <w:proofErr w:type="spellStart"/>
      <w:r w:rsidRPr="004C6D6D">
        <w:rPr>
          <w:rFonts w:ascii="Times New Roman" w:hAnsi="Times New Roman" w:cs="Times New Roman"/>
        </w:rPr>
        <w:t>MMscf</w:t>
      </w:r>
      <w:proofErr w:type="spellEnd"/>
      <w:r w:rsidRPr="004C6D6D">
        <w:rPr>
          <w:rFonts w:ascii="Times New Roman" w:hAnsi="Times New Roman" w:cs="Times New Roman"/>
        </w:rPr>
        <w:t>/d</w:t>
      </w:r>
    </w:p>
    <w:p w14:paraId="71C36053" w14:textId="2A4101C9"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7.2 Required Infrastructure</w:t>
      </w:r>
    </w:p>
    <w:tbl>
      <w:tblPr>
        <w:tblStyle w:val="TableGrid"/>
        <w:tblW w:w="0" w:type="auto"/>
        <w:tblLook w:val="04A0" w:firstRow="1" w:lastRow="0" w:firstColumn="1" w:lastColumn="0" w:noHBand="0" w:noVBand="1"/>
      </w:tblPr>
      <w:tblGrid>
        <w:gridCol w:w="2357"/>
        <w:gridCol w:w="3744"/>
        <w:gridCol w:w="2058"/>
        <w:gridCol w:w="1191"/>
      </w:tblGrid>
      <w:tr w:rsidR="004C6D6D" w:rsidRPr="004C6D6D" w14:paraId="36EA221E" w14:textId="77777777" w:rsidTr="004C6D6D">
        <w:tc>
          <w:tcPr>
            <w:tcW w:w="0" w:type="auto"/>
            <w:hideMark/>
          </w:tcPr>
          <w:p w14:paraId="6F534796"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Infrastructure</w:t>
            </w:r>
          </w:p>
        </w:tc>
        <w:tc>
          <w:tcPr>
            <w:tcW w:w="0" w:type="auto"/>
            <w:hideMark/>
          </w:tcPr>
          <w:p w14:paraId="68EE3402"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Specification</w:t>
            </w:r>
          </w:p>
        </w:tc>
        <w:tc>
          <w:tcPr>
            <w:tcW w:w="0" w:type="auto"/>
            <w:hideMark/>
          </w:tcPr>
          <w:p w14:paraId="154E2DEF"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Estimated CAPEX</w:t>
            </w:r>
          </w:p>
        </w:tc>
        <w:tc>
          <w:tcPr>
            <w:tcW w:w="0" w:type="auto"/>
            <w:hideMark/>
          </w:tcPr>
          <w:p w14:paraId="7344F14E"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Timeline</w:t>
            </w:r>
          </w:p>
        </w:tc>
      </w:tr>
      <w:tr w:rsidR="004C6D6D" w:rsidRPr="004C6D6D" w14:paraId="1BA17560" w14:textId="77777777" w:rsidTr="004C6D6D">
        <w:tc>
          <w:tcPr>
            <w:tcW w:w="0" w:type="auto"/>
            <w:hideMark/>
          </w:tcPr>
          <w:p w14:paraId="4F2B983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Aseng tie-back</w:t>
            </w:r>
          </w:p>
        </w:tc>
        <w:tc>
          <w:tcPr>
            <w:tcW w:w="0" w:type="auto"/>
            <w:hideMark/>
          </w:tcPr>
          <w:p w14:paraId="567B3C1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19 km rigid flowline; 20 km </w:t>
            </w:r>
            <w:proofErr w:type="spellStart"/>
            <w:r w:rsidRPr="004C6D6D">
              <w:rPr>
                <w:rFonts w:ascii="Times New Roman" w:hAnsi="Times New Roman" w:cs="Times New Roman"/>
              </w:rPr>
              <w:t>umbilicals</w:t>
            </w:r>
            <w:proofErr w:type="spellEnd"/>
            <w:r w:rsidRPr="004C6D6D">
              <w:rPr>
                <w:rFonts w:ascii="Times New Roman" w:hAnsi="Times New Roman" w:cs="Times New Roman"/>
              </w:rPr>
              <w:t>; 800 m WD</w:t>
            </w:r>
          </w:p>
        </w:tc>
        <w:tc>
          <w:tcPr>
            <w:tcW w:w="0" w:type="auto"/>
            <w:hideMark/>
          </w:tcPr>
          <w:p w14:paraId="50BDFEF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$150–300m (Subsea7 contract)</w:t>
            </w:r>
          </w:p>
        </w:tc>
        <w:tc>
          <w:tcPr>
            <w:tcW w:w="0" w:type="auto"/>
            <w:hideMark/>
          </w:tcPr>
          <w:p w14:paraId="23EB798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2026–2028</w:t>
            </w:r>
          </w:p>
        </w:tc>
      </w:tr>
      <w:tr w:rsidR="004C6D6D" w:rsidRPr="004C6D6D" w14:paraId="038312AB" w14:textId="77777777" w:rsidTr="004C6D6D">
        <w:tc>
          <w:tcPr>
            <w:tcW w:w="0" w:type="auto"/>
            <w:hideMark/>
          </w:tcPr>
          <w:p w14:paraId="1C20B51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Yoyo-Yolanda tie-back</w:t>
            </w:r>
          </w:p>
        </w:tc>
        <w:tc>
          <w:tcPr>
            <w:tcW w:w="0" w:type="auto"/>
            <w:hideMark/>
          </w:tcPr>
          <w:p w14:paraId="2DD0560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Subsea tie-back to Alen platform; ~50 km from Bioko</w:t>
            </w:r>
          </w:p>
        </w:tc>
        <w:tc>
          <w:tcPr>
            <w:tcW w:w="0" w:type="auto"/>
            <w:hideMark/>
          </w:tcPr>
          <w:p w14:paraId="2C810B2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$800m–1.2bn</w:t>
            </w:r>
          </w:p>
        </w:tc>
        <w:tc>
          <w:tcPr>
            <w:tcW w:w="0" w:type="auto"/>
            <w:hideMark/>
          </w:tcPr>
          <w:p w14:paraId="6D94E0D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2028–2032</w:t>
            </w:r>
          </w:p>
        </w:tc>
      </w:tr>
      <w:tr w:rsidR="004C6D6D" w:rsidRPr="004C6D6D" w14:paraId="6E1FC45B" w14:textId="77777777" w:rsidTr="004C6D6D">
        <w:tc>
          <w:tcPr>
            <w:tcW w:w="0" w:type="auto"/>
            <w:hideMark/>
          </w:tcPr>
          <w:p w14:paraId="566FED2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Cameroon-EG interconnector</w:t>
            </w:r>
          </w:p>
        </w:tc>
        <w:tc>
          <w:tcPr>
            <w:tcW w:w="0" w:type="auto"/>
            <w:hideMark/>
          </w:tcPr>
          <w:p w14:paraId="1EEAED5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Shallow-to-midwater pipeline from Yoyo to Alen</w:t>
            </w:r>
          </w:p>
        </w:tc>
        <w:tc>
          <w:tcPr>
            <w:tcW w:w="0" w:type="auto"/>
            <w:hideMark/>
          </w:tcPr>
          <w:p w14:paraId="35A0884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$500m–800m</w:t>
            </w:r>
          </w:p>
        </w:tc>
        <w:tc>
          <w:tcPr>
            <w:tcW w:w="0" w:type="auto"/>
            <w:hideMark/>
          </w:tcPr>
          <w:p w14:paraId="6A9841C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2029–2032</w:t>
            </w:r>
          </w:p>
        </w:tc>
      </w:tr>
      <w:tr w:rsidR="004C6D6D" w:rsidRPr="004C6D6D" w14:paraId="40D223AD" w14:textId="77777777" w:rsidTr="004C6D6D">
        <w:tc>
          <w:tcPr>
            <w:tcW w:w="0" w:type="auto"/>
            <w:hideMark/>
          </w:tcPr>
          <w:p w14:paraId="53BCD43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GOGGP (Nigeria-EG)</w:t>
            </w:r>
          </w:p>
        </w:tc>
        <w:tc>
          <w:tcPr>
            <w:tcW w:w="0" w:type="auto"/>
            <w:hideMark/>
          </w:tcPr>
          <w:p w14:paraId="0E251C7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400–600 km offshore pipeline; 2.9 Bcf/d capacity</w:t>
            </w:r>
          </w:p>
        </w:tc>
        <w:tc>
          <w:tcPr>
            <w:tcW w:w="0" w:type="auto"/>
            <w:hideMark/>
          </w:tcPr>
          <w:p w14:paraId="40C1D1B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$25bn (regional)</w:t>
            </w:r>
          </w:p>
        </w:tc>
        <w:tc>
          <w:tcPr>
            <w:tcW w:w="0" w:type="auto"/>
            <w:hideMark/>
          </w:tcPr>
          <w:p w14:paraId="6696C36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2030–2038</w:t>
            </w:r>
          </w:p>
        </w:tc>
      </w:tr>
      <w:tr w:rsidR="004C6D6D" w:rsidRPr="004C6D6D" w14:paraId="40CA447F" w14:textId="77777777" w:rsidTr="004C6D6D">
        <w:tc>
          <w:tcPr>
            <w:tcW w:w="0" w:type="auto"/>
            <w:hideMark/>
          </w:tcPr>
          <w:p w14:paraId="58AF699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Compression upgrades</w:t>
            </w:r>
          </w:p>
        </w:tc>
        <w:tc>
          <w:tcPr>
            <w:tcW w:w="0" w:type="auto"/>
            <w:hideMark/>
          </w:tcPr>
          <w:p w14:paraId="5C733D4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Additional onshore/offshore compression for declining reservoirs</w:t>
            </w:r>
          </w:p>
        </w:tc>
        <w:tc>
          <w:tcPr>
            <w:tcW w:w="0" w:type="auto"/>
            <w:hideMark/>
          </w:tcPr>
          <w:p w14:paraId="4C02515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$200–400m</w:t>
            </w:r>
          </w:p>
        </w:tc>
        <w:tc>
          <w:tcPr>
            <w:tcW w:w="0" w:type="auto"/>
            <w:hideMark/>
          </w:tcPr>
          <w:p w14:paraId="0FF839B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Ongoing</w:t>
            </w:r>
          </w:p>
        </w:tc>
      </w:tr>
      <w:tr w:rsidR="004C6D6D" w:rsidRPr="004C6D6D" w14:paraId="7EE52433" w14:textId="77777777" w:rsidTr="004C6D6D">
        <w:tc>
          <w:tcPr>
            <w:tcW w:w="0" w:type="auto"/>
            <w:hideMark/>
          </w:tcPr>
          <w:p w14:paraId="2AB2860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lastRenderedPageBreak/>
              <w:t>Gas quality management</w:t>
            </w:r>
          </w:p>
        </w:tc>
        <w:tc>
          <w:tcPr>
            <w:tcW w:w="0" w:type="auto"/>
            <w:hideMark/>
          </w:tcPr>
          <w:p w14:paraId="1DCC250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Blending facilities; metering; H₂S/CO₂ treatment</w:t>
            </w:r>
          </w:p>
        </w:tc>
        <w:tc>
          <w:tcPr>
            <w:tcW w:w="0" w:type="auto"/>
            <w:hideMark/>
          </w:tcPr>
          <w:p w14:paraId="3BB5C57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$100–200m</w:t>
            </w:r>
          </w:p>
        </w:tc>
        <w:tc>
          <w:tcPr>
            <w:tcW w:w="0" w:type="auto"/>
            <w:hideMark/>
          </w:tcPr>
          <w:p w14:paraId="4764BE4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2028–2030</w:t>
            </w:r>
          </w:p>
        </w:tc>
      </w:tr>
      <w:tr w:rsidR="004C6D6D" w:rsidRPr="004C6D6D" w14:paraId="55072EAF" w14:textId="77777777" w:rsidTr="004C6D6D">
        <w:tc>
          <w:tcPr>
            <w:tcW w:w="0" w:type="auto"/>
            <w:hideMark/>
          </w:tcPr>
          <w:p w14:paraId="37AABA6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Third-party access facilities</w:t>
            </w:r>
          </w:p>
        </w:tc>
        <w:tc>
          <w:tcPr>
            <w:tcW w:w="0" w:type="auto"/>
            <w:hideMark/>
          </w:tcPr>
          <w:p w14:paraId="2BBCECD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Interconnection; tariff metering; receiving terminals</w:t>
            </w:r>
          </w:p>
        </w:tc>
        <w:tc>
          <w:tcPr>
            <w:tcW w:w="0" w:type="auto"/>
            <w:hideMark/>
          </w:tcPr>
          <w:p w14:paraId="09D6A02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$150–250m</w:t>
            </w:r>
          </w:p>
        </w:tc>
        <w:tc>
          <w:tcPr>
            <w:tcW w:w="0" w:type="auto"/>
            <w:hideMark/>
          </w:tcPr>
          <w:p w14:paraId="09CB3D9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2030+</w:t>
            </w:r>
          </w:p>
        </w:tc>
      </w:tr>
    </w:tbl>
    <w:p w14:paraId="5DA91373" w14:textId="77777777" w:rsidR="004C6D6D" w:rsidRDefault="004C6D6D" w:rsidP="004C6D6D">
      <w:pPr>
        <w:jc w:val="both"/>
        <w:rPr>
          <w:rFonts w:ascii="Times New Roman" w:hAnsi="Times New Roman" w:cs="Times New Roman"/>
          <w:b/>
          <w:bCs/>
        </w:rPr>
      </w:pPr>
    </w:p>
    <w:p w14:paraId="0F96E571" w14:textId="7D346239"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7.3 Technical Benchmarks</w:t>
      </w:r>
    </w:p>
    <w:p w14:paraId="2AECC8D0" w14:textId="77777777" w:rsidR="004C6D6D" w:rsidRPr="004C6D6D" w:rsidRDefault="004C6D6D" w:rsidP="004C6D6D">
      <w:pPr>
        <w:numPr>
          <w:ilvl w:val="0"/>
          <w:numId w:val="9"/>
        </w:numPr>
        <w:jc w:val="both"/>
        <w:rPr>
          <w:rFonts w:ascii="Times New Roman" w:hAnsi="Times New Roman" w:cs="Times New Roman"/>
        </w:rPr>
      </w:pPr>
      <w:r w:rsidRPr="004C6D6D">
        <w:rPr>
          <w:rFonts w:ascii="Times New Roman" w:hAnsi="Times New Roman" w:cs="Times New Roman"/>
          <w:b/>
          <w:bCs/>
        </w:rPr>
        <w:t>Pipeline capacity required for regional hub:</w:t>
      </w:r>
      <w:r w:rsidRPr="004C6D6D">
        <w:rPr>
          <w:rFonts w:ascii="Times New Roman" w:hAnsi="Times New Roman" w:cs="Times New Roman"/>
        </w:rPr>
        <w:t xml:space="preserve"> 1.0–1.5 Bcf/d by 2035</w:t>
      </w:r>
    </w:p>
    <w:p w14:paraId="58E0A635" w14:textId="77777777" w:rsidR="004C6D6D" w:rsidRPr="004C6D6D" w:rsidRDefault="004C6D6D" w:rsidP="004C6D6D">
      <w:pPr>
        <w:numPr>
          <w:ilvl w:val="0"/>
          <w:numId w:val="9"/>
        </w:numPr>
        <w:jc w:val="both"/>
        <w:rPr>
          <w:rFonts w:ascii="Times New Roman" w:hAnsi="Times New Roman" w:cs="Times New Roman"/>
        </w:rPr>
      </w:pPr>
      <w:r w:rsidRPr="004C6D6D">
        <w:rPr>
          <w:rFonts w:ascii="Times New Roman" w:hAnsi="Times New Roman" w:cs="Times New Roman"/>
          <w:b/>
          <w:bCs/>
        </w:rPr>
        <w:t>Current Alen pipeline:</w:t>
      </w:r>
      <w:r w:rsidRPr="004C6D6D">
        <w:rPr>
          <w:rFonts w:ascii="Times New Roman" w:hAnsi="Times New Roman" w:cs="Times New Roman"/>
        </w:rPr>
        <w:t xml:space="preserve"> 950 </w:t>
      </w:r>
      <w:proofErr w:type="spellStart"/>
      <w:r w:rsidRPr="004C6D6D">
        <w:rPr>
          <w:rFonts w:ascii="Times New Roman" w:hAnsi="Times New Roman" w:cs="Times New Roman"/>
        </w:rPr>
        <w:t>MMscf</w:t>
      </w:r>
      <w:proofErr w:type="spellEnd"/>
      <w:r w:rsidRPr="004C6D6D">
        <w:rPr>
          <w:rFonts w:ascii="Times New Roman" w:hAnsi="Times New Roman" w:cs="Times New Roman"/>
        </w:rPr>
        <w:t>/d — sufficient for near-term aggregation but will require looping or parallel lines for full regional hub volumes</w:t>
      </w:r>
    </w:p>
    <w:p w14:paraId="3D552681" w14:textId="77777777" w:rsidR="004C6D6D" w:rsidRPr="004C6D6D" w:rsidRDefault="004C6D6D" w:rsidP="004C6D6D">
      <w:pPr>
        <w:numPr>
          <w:ilvl w:val="0"/>
          <w:numId w:val="9"/>
        </w:numPr>
        <w:jc w:val="both"/>
        <w:rPr>
          <w:rFonts w:ascii="Times New Roman" w:hAnsi="Times New Roman" w:cs="Times New Roman"/>
        </w:rPr>
      </w:pPr>
      <w:r w:rsidRPr="004C6D6D">
        <w:rPr>
          <w:rFonts w:ascii="Times New Roman" w:hAnsi="Times New Roman" w:cs="Times New Roman"/>
          <w:b/>
          <w:bCs/>
        </w:rPr>
        <w:t>Compression:</w:t>
      </w:r>
      <w:r w:rsidRPr="004C6D6D">
        <w:rPr>
          <w:rFonts w:ascii="Times New Roman" w:hAnsi="Times New Roman" w:cs="Times New Roman"/>
        </w:rPr>
        <w:t xml:space="preserve"> Aseng and Yoyo-Yolanda production at 800–900 m water depth requires subsea boosting; onshore compression required for declining Alba/Alen streams</w:t>
      </w:r>
    </w:p>
    <w:p w14:paraId="06B3083F" w14:textId="3A5C1CD6" w:rsidR="004C6D6D" w:rsidRPr="004C6D6D" w:rsidRDefault="004C6D6D" w:rsidP="004C6D6D">
      <w:pPr>
        <w:jc w:val="both"/>
        <w:rPr>
          <w:rFonts w:ascii="Times New Roman" w:hAnsi="Times New Roman" w:cs="Times New Roman"/>
        </w:rPr>
      </w:pPr>
    </w:p>
    <w:p w14:paraId="1D500326"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8. Gas Quality and Processing Compatibility</w:t>
      </w:r>
    </w:p>
    <w:p w14:paraId="015D0A59" w14:textId="0251E60A"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8.1 Gas Quality Comparison</w:t>
      </w:r>
    </w:p>
    <w:tbl>
      <w:tblPr>
        <w:tblStyle w:val="TableGrid"/>
        <w:tblW w:w="0" w:type="auto"/>
        <w:tblLook w:val="04A0" w:firstRow="1" w:lastRow="0" w:firstColumn="1" w:lastColumn="0" w:noHBand="0" w:noVBand="1"/>
      </w:tblPr>
      <w:tblGrid>
        <w:gridCol w:w="1684"/>
        <w:gridCol w:w="801"/>
        <w:gridCol w:w="1357"/>
        <w:gridCol w:w="1748"/>
        <w:gridCol w:w="1357"/>
        <w:gridCol w:w="976"/>
        <w:gridCol w:w="1427"/>
      </w:tblGrid>
      <w:tr w:rsidR="004C6D6D" w:rsidRPr="004C6D6D" w14:paraId="7C6BB0B0" w14:textId="77777777" w:rsidTr="004C6D6D">
        <w:tc>
          <w:tcPr>
            <w:tcW w:w="0" w:type="auto"/>
            <w:hideMark/>
          </w:tcPr>
          <w:p w14:paraId="69629879"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Parameter</w:t>
            </w:r>
          </w:p>
        </w:tc>
        <w:tc>
          <w:tcPr>
            <w:tcW w:w="0" w:type="auto"/>
            <w:hideMark/>
          </w:tcPr>
          <w:p w14:paraId="0680573E"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Alba (Wet Gas)</w:t>
            </w:r>
          </w:p>
        </w:tc>
        <w:tc>
          <w:tcPr>
            <w:tcW w:w="0" w:type="auto"/>
            <w:hideMark/>
          </w:tcPr>
          <w:p w14:paraId="049F9914"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Alen (Gas-Condensate)</w:t>
            </w:r>
          </w:p>
        </w:tc>
        <w:tc>
          <w:tcPr>
            <w:tcW w:w="0" w:type="auto"/>
            <w:hideMark/>
          </w:tcPr>
          <w:p w14:paraId="79C0468A"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Aseng (Associated/Dry)</w:t>
            </w:r>
          </w:p>
        </w:tc>
        <w:tc>
          <w:tcPr>
            <w:tcW w:w="0" w:type="auto"/>
            <w:hideMark/>
          </w:tcPr>
          <w:p w14:paraId="605F17C3"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Yoyo-Yolanda (Gas-Condensate)</w:t>
            </w:r>
          </w:p>
        </w:tc>
        <w:tc>
          <w:tcPr>
            <w:tcW w:w="0" w:type="auto"/>
            <w:hideMark/>
          </w:tcPr>
          <w:p w14:paraId="3B1F88F4"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Etinde (Wet Gas)</w:t>
            </w:r>
          </w:p>
        </w:tc>
        <w:tc>
          <w:tcPr>
            <w:tcW w:w="0" w:type="auto"/>
            <w:hideMark/>
          </w:tcPr>
          <w:p w14:paraId="43D5CECF"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Nigerian Gas (Benchmark)</w:t>
            </w:r>
          </w:p>
        </w:tc>
      </w:tr>
      <w:tr w:rsidR="004C6D6D" w:rsidRPr="004C6D6D" w14:paraId="2FF5FF97" w14:textId="77777777" w:rsidTr="004C6D6D">
        <w:tc>
          <w:tcPr>
            <w:tcW w:w="0" w:type="auto"/>
            <w:hideMark/>
          </w:tcPr>
          <w:p w14:paraId="4A6659C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Methane</w:t>
            </w:r>
          </w:p>
        </w:tc>
        <w:tc>
          <w:tcPr>
            <w:tcW w:w="0" w:type="auto"/>
            <w:hideMark/>
          </w:tcPr>
          <w:p w14:paraId="5390161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~75–80%</w:t>
            </w:r>
          </w:p>
        </w:tc>
        <w:tc>
          <w:tcPr>
            <w:tcW w:w="0" w:type="auto"/>
            <w:hideMark/>
          </w:tcPr>
          <w:p w14:paraId="59AB690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~70–75%</w:t>
            </w:r>
          </w:p>
        </w:tc>
        <w:tc>
          <w:tcPr>
            <w:tcW w:w="0" w:type="auto"/>
            <w:hideMark/>
          </w:tcPr>
          <w:p w14:paraId="1FE9567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~75–80%</w:t>
            </w:r>
          </w:p>
        </w:tc>
        <w:tc>
          <w:tcPr>
            <w:tcW w:w="0" w:type="auto"/>
            <w:hideMark/>
          </w:tcPr>
          <w:p w14:paraId="55A6BEB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~70–75%</w:t>
            </w:r>
          </w:p>
        </w:tc>
        <w:tc>
          <w:tcPr>
            <w:tcW w:w="0" w:type="auto"/>
            <w:hideMark/>
          </w:tcPr>
          <w:p w14:paraId="78EE4D4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~65–70%</w:t>
            </w:r>
          </w:p>
        </w:tc>
        <w:tc>
          <w:tcPr>
            <w:tcW w:w="0" w:type="auto"/>
            <w:hideMark/>
          </w:tcPr>
          <w:p w14:paraId="6916EFA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~85–90%</w:t>
            </w:r>
          </w:p>
        </w:tc>
      </w:tr>
      <w:tr w:rsidR="004C6D6D" w:rsidRPr="004C6D6D" w14:paraId="7CE1B928" w14:textId="77777777" w:rsidTr="004C6D6D">
        <w:tc>
          <w:tcPr>
            <w:tcW w:w="0" w:type="auto"/>
            <w:hideMark/>
          </w:tcPr>
          <w:p w14:paraId="0B5B16B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CO₂</w:t>
            </w:r>
          </w:p>
        </w:tc>
        <w:tc>
          <w:tcPr>
            <w:tcW w:w="0" w:type="auto"/>
            <w:hideMark/>
          </w:tcPr>
          <w:p w14:paraId="4083B35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Low–Med</w:t>
            </w:r>
          </w:p>
        </w:tc>
        <w:tc>
          <w:tcPr>
            <w:tcW w:w="0" w:type="auto"/>
            <w:hideMark/>
          </w:tcPr>
          <w:p w14:paraId="1784CFC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c>
          <w:tcPr>
            <w:tcW w:w="0" w:type="auto"/>
            <w:hideMark/>
          </w:tcPr>
          <w:p w14:paraId="5D24BD3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c>
          <w:tcPr>
            <w:tcW w:w="0" w:type="auto"/>
            <w:hideMark/>
          </w:tcPr>
          <w:p w14:paraId="657BEDB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Low–Med</w:t>
            </w:r>
          </w:p>
        </w:tc>
        <w:tc>
          <w:tcPr>
            <w:tcW w:w="0" w:type="auto"/>
            <w:hideMark/>
          </w:tcPr>
          <w:p w14:paraId="5E5ADC7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w:t>
            </w:r>
          </w:p>
        </w:tc>
        <w:tc>
          <w:tcPr>
            <w:tcW w:w="0" w:type="auto"/>
            <w:hideMark/>
          </w:tcPr>
          <w:p w14:paraId="5EC9C04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r>
      <w:tr w:rsidR="004C6D6D" w:rsidRPr="004C6D6D" w14:paraId="6B43C754" w14:textId="77777777" w:rsidTr="004C6D6D">
        <w:tc>
          <w:tcPr>
            <w:tcW w:w="0" w:type="auto"/>
            <w:hideMark/>
          </w:tcPr>
          <w:p w14:paraId="7A89262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H₂S</w:t>
            </w:r>
          </w:p>
        </w:tc>
        <w:tc>
          <w:tcPr>
            <w:tcW w:w="0" w:type="auto"/>
            <w:hideMark/>
          </w:tcPr>
          <w:p w14:paraId="7A8A3C8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c>
          <w:tcPr>
            <w:tcW w:w="0" w:type="auto"/>
            <w:hideMark/>
          </w:tcPr>
          <w:p w14:paraId="2440D91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c>
          <w:tcPr>
            <w:tcW w:w="0" w:type="auto"/>
            <w:hideMark/>
          </w:tcPr>
          <w:p w14:paraId="66D51D4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c>
          <w:tcPr>
            <w:tcW w:w="0" w:type="auto"/>
            <w:hideMark/>
          </w:tcPr>
          <w:p w14:paraId="18D1D39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c>
          <w:tcPr>
            <w:tcW w:w="0" w:type="auto"/>
            <w:hideMark/>
          </w:tcPr>
          <w:p w14:paraId="44AE04D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Low–Med</w:t>
            </w:r>
          </w:p>
        </w:tc>
        <w:tc>
          <w:tcPr>
            <w:tcW w:w="0" w:type="auto"/>
            <w:hideMark/>
          </w:tcPr>
          <w:p w14:paraId="62FBA70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r>
      <w:tr w:rsidR="004C6D6D" w:rsidRPr="004C6D6D" w14:paraId="34843453" w14:textId="77777777" w:rsidTr="004C6D6D">
        <w:tc>
          <w:tcPr>
            <w:tcW w:w="0" w:type="auto"/>
            <w:hideMark/>
          </w:tcPr>
          <w:p w14:paraId="2242D12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N₂</w:t>
            </w:r>
          </w:p>
        </w:tc>
        <w:tc>
          <w:tcPr>
            <w:tcW w:w="0" w:type="auto"/>
            <w:hideMark/>
          </w:tcPr>
          <w:p w14:paraId="785EDE3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c>
          <w:tcPr>
            <w:tcW w:w="0" w:type="auto"/>
            <w:hideMark/>
          </w:tcPr>
          <w:p w14:paraId="6A80F43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c>
          <w:tcPr>
            <w:tcW w:w="0" w:type="auto"/>
            <w:hideMark/>
          </w:tcPr>
          <w:p w14:paraId="7026FB5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c>
          <w:tcPr>
            <w:tcW w:w="0" w:type="auto"/>
            <w:hideMark/>
          </w:tcPr>
          <w:p w14:paraId="2284118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c>
          <w:tcPr>
            <w:tcW w:w="0" w:type="auto"/>
            <w:hideMark/>
          </w:tcPr>
          <w:p w14:paraId="3FA0CCB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c>
          <w:tcPr>
            <w:tcW w:w="0" w:type="auto"/>
            <w:hideMark/>
          </w:tcPr>
          <w:p w14:paraId="16D9970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r>
      <w:tr w:rsidR="004C6D6D" w:rsidRPr="004C6D6D" w14:paraId="35CD1114" w14:textId="77777777" w:rsidTr="004C6D6D">
        <w:tc>
          <w:tcPr>
            <w:tcW w:w="0" w:type="auto"/>
            <w:hideMark/>
          </w:tcPr>
          <w:p w14:paraId="4ED817E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Condensate/C₅+</w:t>
            </w:r>
          </w:p>
        </w:tc>
        <w:tc>
          <w:tcPr>
            <w:tcW w:w="0" w:type="auto"/>
            <w:hideMark/>
          </w:tcPr>
          <w:p w14:paraId="5319411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w:t>
            </w:r>
          </w:p>
        </w:tc>
        <w:tc>
          <w:tcPr>
            <w:tcW w:w="0" w:type="auto"/>
            <w:hideMark/>
          </w:tcPr>
          <w:p w14:paraId="0AE3299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w:t>
            </w:r>
          </w:p>
        </w:tc>
        <w:tc>
          <w:tcPr>
            <w:tcW w:w="0" w:type="auto"/>
            <w:hideMark/>
          </w:tcPr>
          <w:p w14:paraId="47BE25B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Moderate</w:t>
            </w:r>
          </w:p>
        </w:tc>
        <w:tc>
          <w:tcPr>
            <w:tcW w:w="0" w:type="auto"/>
            <w:hideMark/>
          </w:tcPr>
          <w:p w14:paraId="64BADF3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w:t>
            </w:r>
          </w:p>
        </w:tc>
        <w:tc>
          <w:tcPr>
            <w:tcW w:w="0" w:type="auto"/>
            <w:hideMark/>
          </w:tcPr>
          <w:p w14:paraId="7011F7C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w:t>
            </w:r>
          </w:p>
        </w:tc>
        <w:tc>
          <w:tcPr>
            <w:tcW w:w="0" w:type="auto"/>
            <w:hideMark/>
          </w:tcPr>
          <w:p w14:paraId="7C5A787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r>
      <w:tr w:rsidR="004C6D6D" w:rsidRPr="004C6D6D" w14:paraId="6020629D" w14:textId="77777777" w:rsidTr="004C6D6D">
        <w:tc>
          <w:tcPr>
            <w:tcW w:w="0" w:type="auto"/>
            <w:hideMark/>
          </w:tcPr>
          <w:p w14:paraId="1714F2A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Heating Value</w:t>
            </w:r>
          </w:p>
        </w:tc>
        <w:tc>
          <w:tcPr>
            <w:tcW w:w="0" w:type="auto"/>
            <w:hideMark/>
          </w:tcPr>
          <w:p w14:paraId="19ACAD1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w:t>
            </w:r>
          </w:p>
        </w:tc>
        <w:tc>
          <w:tcPr>
            <w:tcW w:w="0" w:type="auto"/>
            <w:hideMark/>
          </w:tcPr>
          <w:p w14:paraId="1079BB8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w:t>
            </w:r>
          </w:p>
        </w:tc>
        <w:tc>
          <w:tcPr>
            <w:tcW w:w="0" w:type="auto"/>
            <w:hideMark/>
          </w:tcPr>
          <w:p w14:paraId="291AFD6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Med–High</w:t>
            </w:r>
          </w:p>
        </w:tc>
        <w:tc>
          <w:tcPr>
            <w:tcW w:w="0" w:type="auto"/>
            <w:hideMark/>
          </w:tcPr>
          <w:p w14:paraId="0B786BC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w:t>
            </w:r>
          </w:p>
        </w:tc>
        <w:tc>
          <w:tcPr>
            <w:tcW w:w="0" w:type="auto"/>
            <w:hideMark/>
          </w:tcPr>
          <w:p w14:paraId="25CC7C5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w:t>
            </w:r>
          </w:p>
        </w:tc>
        <w:tc>
          <w:tcPr>
            <w:tcW w:w="0" w:type="auto"/>
            <w:hideMark/>
          </w:tcPr>
          <w:p w14:paraId="30CA68B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Standard</w:t>
            </w:r>
          </w:p>
        </w:tc>
      </w:tr>
      <w:tr w:rsidR="004C6D6D" w:rsidRPr="004C6D6D" w14:paraId="6708D08D" w14:textId="77777777" w:rsidTr="004C6D6D">
        <w:tc>
          <w:tcPr>
            <w:tcW w:w="0" w:type="auto"/>
            <w:hideMark/>
          </w:tcPr>
          <w:p w14:paraId="5573FFF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lastRenderedPageBreak/>
              <w:t>Wobbe Index</w:t>
            </w:r>
          </w:p>
        </w:tc>
        <w:tc>
          <w:tcPr>
            <w:tcW w:w="0" w:type="auto"/>
            <w:hideMark/>
          </w:tcPr>
          <w:p w14:paraId="5E2FAC4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Within spec</w:t>
            </w:r>
          </w:p>
        </w:tc>
        <w:tc>
          <w:tcPr>
            <w:tcW w:w="0" w:type="auto"/>
            <w:hideMark/>
          </w:tcPr>
          <w:p w14:paraId="65F0075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Within spec</w:t>
            </w:r>
          </w:p>
        </w:tc>
        <w:tc>
          <w:tcPr>
            <w:tcW w:w="0" w:type="auto"/>
            <w:hideMark/>
          </w:tcPr>
          <w:p w14:paraId="44556FC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Within spec</w:t>
            </w:r>
          </w:p>
        </w:tc>
        <w:tc>
          <w:tcPr>
            <w:tcW w:w="0" w:type="auto"/>
            <w:hideMark/>
          </w:tcPr>
          <w:p w14:paraId="1CAD74A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Within spec</w:t>
            </w:r>
          </w:p>
        </w:tc>
        <w:tc>
          <w:tcPr>
            <w:tcW w:w="0" w:type="auto"/>
            <w:hideMark/>
          </w:tcPr>
          <w:p w14:paraId="45617C0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Requires check</w:t>
            </w:r>
          </w:p>
        </w:tc>
        <w:tc>
          <w:tcPr>
            <w:tcW w:w="0" w:type="auto"/>
            <w:hideMark/>
          </w:tcPr>
          <w:p w14:paraId="47DF92A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Within spec</w:t>
            </w:r>
          </w:p>
        </w:tc>
      </w:tr>
    </w:tbl>
    <w:p w14:paraId="29F6BC05" w14:textId="77777777" w:rsidR="004C6D6D" w:rsidRDefault="004C6D6D" w:rsidP="004C6D6D">
      <w:pPr>
        <w:jc w:val="both"/>
        <w:rPr>
          <w:rFonts w:ascii="Times New Roman" w:hAnsi="Times New Roman" w:cs="Times New Roman"/>
          <w:b/>
          <w:bCs/>
        </w:rPr>
      </w:pPr>
    </w:p>
    <w:p w14:paraId="5835958D" w14:textId="52F8B2F8"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8.2 Processing Requirements</w:t>
      </w:r>
    </w:p>
    <w:p w14:paraId="1AB72462"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Blending Compatibility:</w:t>
      </w:r>
      <w:r w:rsidRPr="004C6D6D">
        <w:rPr>
          <w:rFonts w:ascii="Times New Roman" w:hAnsi="Times New Roman" w:cs="Times New Roman"/>
        </w:rPr>
        <w:t xml:space="preserve"> Alba, Alen, and Aseng gases have been confirmed compatible through the existing Alba Plant and EG LNG facilities. No process modifications were required for Alen gas.</w:t>
      </w:r>
    </w:p>
    <w:p w14:paraId="7EFB7520"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For Regional Sources:</w:t>
      </w:r>
    </w:p>
    <w:p w14:paraId="0FC94F4E" w14:textId="77777777" w:rsidR="004C6D6D" w:rsidRPr="004C6D6D" w:rsidRDefault="004C6D6D" w:rsidP="004C6D6D">
      <w:pPr>
        <w:numPr>
          <w:ilvl w:val="0"/>
          <w:numId w:val="10"/>
        </w:numPr>
        <w:jc w:val="both"/>
        <w:rPr>
          <w:rFonts w:ascii="Times New Roman" w:hAnsi="Times New Roman" w:cs="Times New Roman"/>
        </w:rPr>
      </w:pPr>
      <w:r w:rsidRPr="004C6D6D">
        <w:rPr>
          <w:rFonts w:ascii="Times New Roman" w:hAnsi="Times New Roman" w:cs="Times New Roman"/>
          <w:b/>
          <w:bCs/>
        </w:rPr>
        <w:t>Yoyo-Yolanda:</w:t>
      </w:r>
      <w:r w:rsidRPr="004C6D6D">
        <w:rPr>
          <w:rFonts w:ascii="Times New Roman" w:hAnsi="Times New Roman" w:cs="Times New Roman"/>
        </w:rPr>
        <w:t xml:space="preserve"> Expected to be similar to Alen (same basin, same operator). Chevron has confirmed no major gas quality issues anticipated for Punta Europa processing.</w:t>
      </w:r>
    </w:p>
    <w:p w14:paraId="38F40E6C" w14:textId="77777777" w:rsidR="004C6D6D" w:rsidRPr="004C6D6D" w:rsidRDefault="004C6D6D" w:rsidP="004C6D6D">
      <w:pPr>
        <w:numPr>
          <w:ilvl w:val="0"/>
          <w:numId w:val="10"/>
        </w:numPr>
        <w:jc w:val="both"/>
        <w:rPr>
          <w:rFonts w:ascii="Times New Roman" w:hAnsi="Times New Roman" w:cs="Times New Roman"/>
        </w:rPr>
      </w:pPr>
      <w:r w:rsidRPr="004C6D6D">
        <w:rPr>
          <w:rFonts w:ascii="Times New Roman" w:hAnsi="Times New Roman" w:cs="Times New Roman"/>
          <w:b/>
          <w:bCs/>
        </w:rPr>
        <w:t>Etinde:</w:t>
      </w:r>
      <w:r w:rsidRPr="004C6D6D">
        <w:rPr>
          <w:rFonts w:ascii="Times New Roman" w:hAnsi="Times New Roman" w:cs="Times New Roman"/>
        </w:rPr>
        <w:t xml:space="preserve"> Higher CO₂ potential and complex high-pressure reservoirs may require additional acid-gas removal (AGRU) if blended at high concentrations.</w:t>
      </w:r>
    </w:p>
    <w:p w14:paraId="05DA09B9" w14:textId="77777777" w:rsidR="004C6D6D" w:rsidRPr="004C6D6D" w:rsidRDefault="004C6D6D" w:rsidP="004C6D6D">
      <w:pPr>
        <w:numPr>
          <w:ilvl w:val="0"/>
          <w:numId w:val="10"/>
        </w:numPr>
        <w:jc w:val="both"/>
        <w:rPr>
          <w:rFonts w:ascii="Times New Roman" w:hAnsi="Times New Roman" w:cs="Times New Roman"/>
        </w:rPr>
      </w:pPr>
      <w:r w:rsidRPr="004C6D6D">
        <w:rPr>
          <w:rFonts w:ascii="Times New Roman" w:hAnsi="Times New Roman" w:cs="Times New Roman"/>
          <w:b/>
          <w:bCs/>
        </w:rPr>
        <w:t>Nigerian Gas:</w:t>
      </w:r>
      <w:r w:rsidRPr="004C6D6D">
        <w:rPr>
          <w:rFonts w:ascii="Times New Roman" w:hAnsi="Times New Roman" w:cs="Times New Roman"/>
        </w:rPr>
        <w:t xml:space="preserve"> </w:t>
      </w:r>
      <w:proofErr w:type="gramStart"/>
      <w:r w:rsidRPr="004C6D6D">
        <w:rPr>
          <w:rFonts w:ascii="Times New Roman" w:hAnsi="Times New Roman" w:cs="Times New Roman"/>
        </w:rPr>
        <w:t>Typically</w:t>
      </w:r>
      <w:proofErr w:type="gramEnd"/>
      <w:r w:rsidRPr="004C6D6D">
        <w:rPr>
          <w:rFonts w:ascii="Times New Roman" w:hAnsi="Times New Roman" w:cs="Times New Roman"/>
        </w:rPr>
        <w:t xml:space="preserve"> leaner (higher methane). Blending with EG's wet gas may require NGL recovery </w:t>
      </w:r>
      <w:proofErr w:type="spellStart"/>
      <w:r w:rsidRPr="004C6D6D">
        <w:rPr>
          <w:rFonts w:ascii="Times New Roman" w:hAnsi="Times New Roman" w:cs="Times New Roman"/>
        </w:rPr>
        <w:t>optimisation</w:t>
      </w:r>
      <w:proofErr w:type="spellEnd"/>
      <w:r w:rsidRPr="004C6D6D">
        <w:rPr>
          <w:rFonts w:ascii="Times New Roman" w:hAnsi="Times New Roman" w:cs="Times New Roman"/>
        </w:rPr>
        <w:t xml:space="preserve"> but is technically straightforward.</w:t>
      </w:r>
    </w:p>
    <w:p w14:paraId="18B3B26F"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Required Additions:</w:t>
      </w:r>
    </w:p>
    <w:p w14:paraId="40D116F4" w14:textId="77777777" w:rsidR="004C6D6D" w:rsidRPr="004C6D6D" w:rsidRDefault="004C6D6D" w:rsidP="004C6D6D">
      <w:pPr>
        <w:numPr>
          <w:ilvl w:val="0"/>
          <w:numId w:val="11"/>
        </w:numPr>
        <w:jc w:val="both"/>
        <w:rPr>
          <w:rFonts w:ascii="Times New Roman" w:hAnsi="Times New Roman" w:cs="Times New Roman"/>
        </w:rPr>
      </w:pPr>
      <w:r w:rsidRPr="004C6D6D">
        <w:rPr>
          <w:rFonts w:ascii="Times New Roman" w:hAnsi="Times New Roman" w:cs="Times New Roman"/>
          <w:b/>
          <w:bCs/>
        </w:rPr>
        <w:t>Gas treatment:</w:t>
      </w:r>
      <w:r w:rsidRPr="004C6D6D">
        <w:rPr>
          <w:rFonts w:ascii="Times New Roman" w:hAnsi="Times New Roman" w:cs="Times New Roman"/>
        </w:rPr>
        <w:t xml:space="preserve"> Modular AGRU for Etinde and high-CO₂ streams</w:t>
      </w:r>
    </w:p>
    <w:p w14:paraId="306A652F" w14:textId="77777777" w:rsidR="004C6D6D" w:rsidRPr="004C6D6D" w:rsidRDefault="004C6D6D" w:rsidP="004C6D6D">
      <w:pPr>
        <w:numPr>
          <w:ilvl w:val="0"/>
          <w:numId w:val="11"/>
        </w:numPr>
        <w:jc w:val="both"/>
        <w:rPr>
          <w:rFonts w:ascii="Times New Roman" w:hAnsi="Times New Roman" w:cs="Times New Roman"/>
        </w:rPr>
      </w:pPr>
      <w:r w:rsidRPr="004C6D6D">
        <w:rPr>
          <w:rFonts w:ascii="Times New Roman" w:hAnsi="Times New Roman" w:cs="Times New Roman"/>
          <w:b/>
          <w:bCs/>
        </w:rPr>
        <w:t>Compression:</w:t>
      </w:r>
      <w:r w:rsidRPr="004C6D6D">
        <w:rPr>
          <w:rFonts w:ascii="Times New Roman" w:hAnsi="Times New Roman" w:cs="Times New Roman"/>
        </w:rPr>
        <w:t xml:space="preserve"> Onshore and offshore boosting for low-pressure streams</w:t>
      </w:r>
    </w:p>
    <w:p w14:paraId="7CB88E0B" w14:textId="77777777" w:rsidR="004C6D6D" w:rsidRPr="004C6D6D" w:rsidRDefault="004C6D6D" w:rsidP="004C6D6D">
      <w:pPr>
        <w:numPr>
          <w:ilvl w:val="0"/>
          <w:numId w:val="11"/>
        </w:numPr>
        <w:jc w:val="both"/>
        <w:rPr>
          <w:rFonts w:ascii="Times New Roman" w:hAnsi="Times New Roman" w:cs="Times New Roman"/>
        </w:rPr>
      </w:pPr>
      <w:r w:rsidRPr="004C6D6D">
        <w:rPr>
          <w:rFonts w:ascii="Times New Roman" w:hAnsi="Times New Roman" w:cs="Times New Roman"/>
          <w:b/>
          <w:bCs/>
        </w:rPr>
        <w:t>Dehydration:</w:t>
      </w:r>
      <w:r w:rsidRPr="004C6D6D">
        <w:rPr>
          <w:rFonts w:ascii="Times New Roman" w:hAnsi="Times New Roman" w:cs="Times New Roman"/>
        </w:rPr>
        <w:t xml:space="preserve"> Existing capacity likely sufficient; marginal expansion for regional volumes</w:t>
      </w:r>
    </w:p>
    <w:p w14:paraId="4F2E3142" w14:textId="77777777" w:rsidR="004C6D6D" w:rsidRPr="004C6D6D" w:rsidRDefault="004C6D6D" w:rsidP="004C6D6D">
      <w:pPr>
        <w:numPr>
          <w:ilvl w:val="0"/>
          <w:numId w:val="11"/>
        </w:numPr>
        <w:jc w:val="both"/>
        <w:rPr>
          <w:rFonts w:ascii="Times New Roman" w:hAnsi="Times New Roman" w:cs="Times New Roman"/>
        </w:rPr>
      </w:pPr>
      <w:r w:rsidRPr="004C6D6D">
        <w:rPr>
          <w:rFonts w:ascii="Times New Roman" w:hAnsi="Times New Roman" w:cs="Times New Roman"/>
          <w:b/>
          <w:bCs/>
        </w:rPr>
        <w:t>Metering/blending:</w:t>
      </w:r>
      <w:r w:rsidRPr="004C6D6D">
        <w:rPr>
          <w:rFonts w:ascii="Times New Roman" w:hAnsi="Times New Roman" w:cs="Times New Roman"/>
        </w:rPr>
        <w:t xml:space="preserve"> Multi-source receipt metering and real-time gas chromatography for Wobbe index management</w:t>
      </w:r>
    </w:p>
    <w:p w14:paraId="3A249528" w14:textId="7997E32E" w:rsidR="004C6D6D" w:rsidRPr="004C6D6D" w:rsidRDefault="004C6D6D" w:rsidP="004C6D6D">
      <w:pPr>
        <w:jc w:val="both"/>
        <w:rPr>
          <w:rFonts w:ascii="Times New Roman" w:hAnsi="Times New Roman" w:cs="Times New Roman"/>
        </w:rPr>
      </w:pPr>
    </w:p>
    <w:p w14:paraId="287AF3C1"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 xml:space="preserve">9. LNG and Downstream </w:t>
      </w:r>
      <w:proofErr w:type="spellStart"/>
      <w:r w:rsidRPr="004C6D6D">
        <w:rPr>
          <w:rFonts w:ascii="Times New Roman" w:hAnsi="Times New Roman" w:cs="Times New Roman"/>
          <w:b/>
          <w:bCs/>
        </w:rPr>
        <w:t>Commercialisation</w:t>
      </w:r>
      <w:proofErr w:type="spellEnd"/>
    </w:p>
    <w:p w14:paraId="0FE5ECE3"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 xml:space="preserve">9.1 </w:t>
      </w:r>
      <w:proofErr w:type="spellStart"/>
      <w:r w:rsidRPr="004C6D6D">
        <w:rPr>
          <w:rFonts w:ascii="Times New Roman" w:hAnsi="Times New Roman" w:cs="Times New Roman"/>
          <w:b/>
          <w:bCs/>
        </w:rPr>
        <w:t>Monetisation</w:t>
      </w:r>
      <w:proofErr w:type="spellEnd"/>
      <w:r w:rsidRPr="004C6D6D">
        <w:rPr>
          <w:rFonts w:ascii="Times New Roman" w:hAnsi="Times New Roman" w:cs="Times New Roman"/>
          <w:b/>
          <w:bCs/>
        </w:rPr>
        <w:t xml:space="preserve"> Options</w:t>
      </w:r>
    </w:p>
    <w:tbl>
      <w:tblPr>
        <w:tblStyle w:val="TableGrid"/>
        <w:tblW w:w="0" w:type="auto"/>
        <w:tblLook w:val="04A0" w:firstRow="1" w:lastRow="0" w:firstColumn="1" w:lastColumn="0" w:noHBand="0" w:noVBand="1"/>
      </w:tblPr>
      <w:tblGrid>
        <w:gridCol w:w="1894"/>
        <w:gridCol w:w="1931"/>
        <w:gridCol w:w="1989"/>
        <w:gridCol w:w="3536"/>
      </w:tblGrid>
      <w:tr w:rsidR="004C6D6D" w:rsidRPr="004C6D6D" w14:paraId="465A0624" w14:textId="77777777" w:rsidTr="004C6D6D">
        <w:tc>
          <w:tcPr>
            <w:tcW w:w="0" w:type="auto"/>
            <w:hideMark/>
          </w:tcPr>
          <w:p w14:paraId="3957D340"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Product</w:t>
            </w:r>
          </w:p>
        </w:tc>
        <w:tc>
          <w:tcPr>
            <w:tcW w:w="0" w:type="auto"/>
            <w:hideMark/>
          </w:tcPr>
          <w:p w14:paraId="79500595"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Current Capacity</w:t>
            </w:r>
          </w:p>
        </w:tc>
        <w:tc>
          <w:tcPr>
            <w:tcW w:w="0" w:type="auto"/>
            <w:hideMark/>
          </w:tcPr>
          <w:p w14:paraId="0DF312FA"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Marginal Value</w:t>
            </w:r>
          </w:p>
        </w:tc>
        <w:tc>
          <w:tcPr>
            <w:tcW w:w="0" w:type="auto"/>
            <w:hideMark/>
          </w:tcPr>
          <w:p w14:paraId="412BBF63"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Strategic Fit</w:t>
            </w:r>
          </w:p>
        </w:tc>
      </w:tr>
      <w:tr w:rsidR="004C6D6D" w:rsidRPr="004C6D6D" w14:paraId="6F107A86" w14:textId="77777777" w:rsidTr="004C6D6D">
        <w:tc>
          <w:tcPr>
            <w:tcW w:w="0" w:type="auto"/>
            <w:hideMark/>
          </w:tcPr>
          <w:p w14:paraId="06AA705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LNG (EG LNG T1)</w:t>
            </w:r>
          </w:p>
        </w:tc>
        <w:tc>
          <w:tcPr>
            <w:tcW w:w="0" w:type="auto"/>
            <w:hideMark/>
          </w:tcPr>
          <w:p w14:paraId="53A57F1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3.7 </w:t>
            </w:r>
            <w:proofErr w:type="spellStart"/>
            <w:r w:rsidRPr="004C6D6D">
              <w:rPr>
                <w:rFonts w:ascii="Times New Roman" w:hAnsi="Times New Roman" w:cs="Times New Roman"/>
              </w:rPr>
              <w:t>mtpa</w:t>
            </w:r>
            <w:proofErr w:type="spellEnd"/>
          </w:p>
        </w:tc>
        <w:tc>
          <w:tcPr>
            <w:tcW w:w="0" w:type="auto"/>
            <w:hideMark/>
          </w:tcPr>
          <w:p w14:paraId="0F09975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 ($8–12/</w:t>
            </w:r>
            <w:proofErr w:type="spellStart"/>
            <w:r w:rsidRPr="004C6D6D">
              <w:rPr>
                <w:rFonts w:ascii="Times New Roman" w:hAnsi="Times New Roman" w:cs="Times New Roman"/>
              </w:rPr>
              <w:t>mmbtu</w:t>
            </w:r>
            <w:proofErr w:type="spellEnd"/>
            <w:r w:rsidRPr="004C6D6D">
              <w:rPr>
                <w:rFonts w:ascii="Times New Roman" w:hAnsi="Times New Roman" w:cs="Times New Roman"/>
              </w:rPr>
              <w:t xml:space="preserve"> spot)</w:t>
            </w:r>
          </w:p>
        </w:tc>
        <w:tc>
          <w:tcPr>
            <w:tcW w:w="0" w:type="auto"/>
            <w:hideMark/>
          </w:tcPr>
          <w:p w14:paraId="7E005D8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Core revenue driver; highest margin</w:t>
            </w:r>
          </w:p>
        </w:tc>
      </w:tr>
      <w:tr w:rsidR="004C6D6D" w:rsidRPr="004C6D6D" w14:paraId="4CC5F0DD" w14:textId="77777777" w:rsidTr="004C6D6D">
        <w:tc>
          <w:tcPr>
            <w:tcW w:w="0" w:type="auto"/>
            <w:hideMark/>
          </w:tcPr>
          <w:p w14:paraId="6639645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LPG</w:t>
            </w:r>
          </w:p>
        </w:tc>
        <w:tc>
          <w:tcPr>
            <w:tcW w:w="0" w:type="auto"/>
            <w:hideMark/>
          </w:tcPr>
          <w:p w14:paraId="42CB023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2,400 bpd</w:t>
            </w:r>
          </w:p>
        </w:tc>
        <w:tc>
          <w:tcPr>
            <w:tcW w:w="0" w:type="auto"/>
            <w:hideMark/>
          </w:tcPr>
          <w:p w14:paraId="0121FDE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Medium</w:t>
            </w:r>
          </w:p>
        </w:tc>
        <w:tc>
          <w:tcPr>
            <w:tcW w:w="0" w:type="auto"/>
            <w:hideMark/>
          </w:tcPr>
          <w:p w14:paraId="1016910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By-product of wet gas processing</w:t>
            </w:r>
          </w:p>
        </w:tc>
      </w:tr>
      <w:tr w:rsidR="004C6D6D" w:rsidRPr="004C6D6D" w14:paraId="24B4C9E8" w14:textId="77777777" w:rsidTr="004C6D6D">
        <w:tc>
          <w:tcPr>
            <w:tcW w:w="0" w:type="auto"/>
            <w:hideMark/>
          </w:tcPr>
          <w:p w14:paraId="60B62C4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NGLs</w:t>
            </w:r>
          </w:p>
        </w:tc>
        <w:tc>
          <w:tcPr>
            <w:tcW w:w="0" w:type="auto"/>
            <w:hideMark/>
          </w:tcPr>
          <w:p w14:paraId="47CDAE2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Variable</w:t>
            </w:r>
          </w:p>
        </w:tc>
        <w:tc>
          <w:tcPr>
            <w:tcW w:w="0" w:type="auto"/>
            <w:hideMark/>
          </w:tcPr>
          <w:p w14:paraId="389F12D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Medium</w:t>
            </w:r>
          </w:p>
        </w:tc>
        <w:tc>
          <w:tcPr>
            <w:tcW w:w="0" w:type="auto"/>
            <w:hideMark/>
          </w:tcPr>
          <w:p w14:paraId="49A39C6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Extracted at Alba Plant</w:t>
            </w:r>
          </w:p>
        </w:tc>
      </w:tr>
      <w:tr w:rsidR="004C6D6D" w:rsidRPr="004C6D6D" w14:paraId="129833AA" w14:textId="77777777" w:rsidTr="004C6D6D">
        <w:tc>
          <w:tcPr>
            <w:tcW w:w="0" w:type="auto"/>
            <w:hideMark/>
          </w:tcPr>
          <w:p w14:paraId="46B2879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lastRenderedPageBreak/>
              <w:t>Methanol (AMPCO)</w:t>
            </w:r>
          </w:p>
        </w:tc>
        <w:tc>
          <w:tcPr>
            <w:tcW w:w="0" w:type="auto"/>
            <w:hideMark/>
          </w:tcPr>
          <w:p w14:paraId="4A09BD6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~1.0 </w:t>
            </w:r>
            <w:proofErr w:type="spellStart"/>
            <w:r w:rsidRPr="004C6D6D">
              <w:rPr>
                <w:rFonts w:ascii="Times New Roman" w:hAnsi="Times New Roman" w:cs="Times New Roman"/>
              </w:rPr>
              <w:t>MMtpa</w:t>
            </w:r>
            <w:proofErr w:type="spellEnd"/>
          </w:p>
        </w:tc>
        <w:tc>
          <w:tcPr>
            <w:tcW w:w="0" w:type="auto"/>
            <w:hideMark/>
          </w:tcPr>
          <w:p w14:paraId="72B3B55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Medium ($300–400/t)</w:t>
            </w:r>
          </w:p>
        </w:tc>
        <w:tc>
          <w:tcPr>
            <w:tcW w:w="0" w:type="auto"/>
            <w:hideMark/>
          </w:tcPr>
          <w:p w14:paraId="7340A8C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Baseload domestic demand; lower margin than LNG</w:t>
            </w:r>
          </w:p>
        </w:tc>
      </w:tr>
      <w:tr w:rsidR="004C6D6D" w:rsidRPr="004C6D6D" w14:paraId="6BB45A9C" w14:textId="77777777" w:rsidTr="004C6D6D">
        <w:tc>
          <w:tcPr>
            <w:tcW w:w="0" w:type="auto"/>
            <w:hideMark/>
          </w:tcPr>
          <w:p w14:paraId="7402B1F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Domestic Gas / Power</w:t>
            </w:r>
          </w:p>
        </w:tc>
        <w:tc>
          <w:tcPr>
            <w:tcW w:w="0" w:type="auto"/>
            <w:hideMark/>
          </w:tcPr>
          <w:p w14:paraId="2672F75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Limited</w:t>
            </w:r>
          </w:p>
        </w:tc>
        <w:tc>
          <w:tcPr>
            <w:tcW w:w="0" w:type="auto"/>
            <w:hideMark/>
          </w:tcPr>
          <w:p w14:paraId="2387F34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w:t>
            </w:r>
          </w:p>
        </w:tc>
        <w:tc>
          <w:tcPr>
            <w:tcW w:w="0" w:type="auto"/>
            <w:hideMark/>
          </w:tcPr>
          <w:p w14:paraId="318C3AB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Social/political priority; lower commercial return</w:t>
            </w:r>
          </w:p>
        </w:tc>
      </w:tr>
      <w:tr w:rsidR="004C6D6D" w:rsidRPr="004C6D6D" w14:paraId="03FDCBED" w14:textId="77777777" w:rsidTr="004C6D6D">
        <w:tc>
          <w:tcPr>
            <w:tcW w:w="0" w:type="auto"/>
            <w:hideMark/>
          </w:tcPr>
          <w:p w14:paraId="0105095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Gas-to-Power</w:t>
            </w:r>
          </w:p>
        </w:tc>
        <w:tc>
          <w:tcPr>
            <w:tcW w:w="0" w:type="auto"/>
            <w:hideMark/>
          </w:tcPr>
          <w:p w14:paraId="3944DD7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~50 </w:t>
            </w:r>
            <w:proofErr w:type="spellStart"/>
            <w:r w:rsidRPr="004C6D6D">
              <w:rPr>
                <w:rFonts w:ascii="Times New Roman" w:hAnsi="Times New Roman" w:cs="Times New Roman"/>
              </w:rPr>
              <w:t>MMscf</w:t>
            </w:r>
            <w:proofErr w:type="spellEnd"/>
            <w:r w:rsidRPr="004C6D6D">
              <w:rPr>
                <w:rFonts w:ascii="Times New Roman" w:hAnsi="Times New Roman" w:cs="Times New Roman"/>
              </w:rPr>
              <w:t>/d equivalent</w:t>
            </w:r>
          </w:p>
        </w:tc>
        <w:tc>
          <w:tcPr>
            <w:tcW w:w="0" w:type="auto"/>
            <w:hideMark/>
          </w:tcPr>
          <w:p w14:paraId="21F136A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Low–Medium</w:t>
            </w:r>
          </w:p>
        </w:tc>
        <w:tc>
          <w:tcPr>
            <w:tcW w:w="0" w:type="auto"/>
            <w:hideMark/>
          </w:tcPr>
          <w:p w14:paraId="3DC9DBB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Grid </w:t>
            </w:r>
            <w:proofErr w:type="spellStart"/>
            <w:r w:rsidRPr="004C6D6D">
              <w:rPr>
                <w:rFonts w:ascii="Times New Roman" w:hAnsi="Times New Roman" w:cs="Times New Roman"/>
              </w:rPr>
              <w:t>stabilisation</w:t>
            </w:r>
            <w:proofErr w:type="spellEnd"/>
            <w:r w:rsidRPr="004C6D6D">
              <w:rPr>
                <w:rFonts w:ascii="Times New Roman" w:hAnsi="Times New Roman" w:cs="Times New Roman"/>
              </w:rPr>
              <w:t>; industrial development</w:t>
            </w:r>
          </w:p>
        </w:tc>
      </w:tr>
    </w:tbl>
    <w:p w14:paraId="0C3AD4A0" w14:textId="77777777" w:rsidR="004C6D6D" w:rsidRDefault="004C6D6D" w:rsidP="004C6D6D">
      <w:pPr>
        <w:jc w:val="both"/>
        <w:rPr>
          <w:rFonts w:ascii="Times New Roman" w:hAnsi="Times New Roman" w:cs="Times New Roman"/>
          <w:b/>
          <w:bCs/>
        </w:rPr>
      </w:pPr>
    </w:p>
    <w:p w14:paraId="3A850689" w14:textId="5376B642"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9.2 Trade-Off Analysis</w:t>
      </w:r>
    </w:p>
    <w:p w14:paraId="1C587B88"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rPr>
        <w:t>At current LNG spot prices ($8–12/</w:t>
      </w:r>
      <w:proofErr w:type="spellStart"/>
      <w:r w:rsidRPr="004C6D6D">
        <w:rPr>
          <w:rFonts w:ascii="Times New Roman" w:hAnsi="Times New Roman" w:cs="Times New Roman"/>
        </w:rPr>
        <w:t>mmbtu</w:t>
      </w:r>
      <w:proofErr w:type="spellEnd"/>
      <w:r w:rsidRPr="004C6D6D">
        <w:rPr>
          <w:rFonts w:ascii="Times New Roman" w:hAnsi="Times New Roman" w:cs="Times New Roman"/>
        </w:rPr>
        <w:t xml:space="preserve">), LNG export generates </w:t>
      </w:r>
      <w:r w:rsidRPr="004C6D6D">
        <w:rPr>
          <w:rFonts w:ascii="Times New Roman" w:hAnsi="Times New Roman" w:cs="Times New Roman"/>
          <w:b/>
          <w:bCs/>
        </w:rPr>
        <w:t>2.5–3.5x the value</w:t>
      </w:r>
      <w:r w:rsidRPr="004C6D6D">
        <w:rPr>
          <w:rFonts w:ascii="Times New Roman" w:hAnsi="Times New Roman" w:cs="Times New Roman"/>
        </w:rPr>
        <w:t xml:space="preserve"> of methanol per unit of gas and </w:t>
      </w:r>
      <w:r w:rsidRPr="004C6D6D">
        <w:rPr>
          <w:rFonts w:ascii="Times New Roman" w:hAnsi="Times New Roman" w:cs="Times New Roman"/>
          <w:b/>
          <w:bCs/>
        </w:rPr>
        <w:t>4–5x the value</w:t>
      </w:r>
      <w:r w:rsidRPr="004C6D6D">
        <w:rPr>
          <w:rFonts w:ascii="Times New Roman" w:hAnsi="Times New Roman" w:cs="Times New Roman"/>
        </w:rPr>
        <w:t xml:space="preserve"> of domestic gas-to-power. The optimal commercial strategy </w:t>
      </w:r>
      <w:proofErr w:type="spellStart"/>
      <w:r w:rsidRPr="004C6D6D">
        <w:rPr>
          <w:rFonts w:ascii="Times New Roman" w:hAnsi="Times New Roman" w:cs="Times New Roman"/>
        </w:rPr>
        <w:t>prioritises</w:t>
      </w:r>
      <w:proofErr w:type="spellEnd"/>
      <w:r w:rsidRPr="004C6D6D">
        <w:rPr>
          <w:rFonts w:ascii="Times New Roman" w:hAnsi="Times New Roman" w:cs="Times New Roman"/>
        </w:rPr>
        <w:t>:</w:t>
      </w:r>
    </w:p>
    <w:p w14:paraId="0987C802" w14:textId="77777777" w:rsidR="004C6D6D" w:rsidRPr="004C6D6D" w:rsidRDefault="004C6D6D" w:rsidP="004C6D6D">
      <w:pPr>
        <w:numPr>
          <w:ilvl w:val="0"/>
          <w:numId w:val="12"/>
        </w:numPr>
        <w:jc w:val="both"/>
        <w:rPr>
          <w:rFonts w:ascii="Times New Roman" w:hAnsi="Times New Roman" w:cs="Times New Roman"/>
        </w:rPr>
      </w:pPr>
      <w:r w:rsidRPr="004C6D6D">
        <w:rPr>
          <w:rFonts w:ascii="Times New Roman" w:hAnsi="Times New Roman" w:cs="Times New Roman"/>
          <w:b/>
          <w:bCs/>
        </w:rPr>
        <w:t>LNG export</w:t>
      </w:r>
      <w:r w:rsidRPr="004C6D6D">
        <w:rPr>
          <w:rFonts w:ascii="Times New Roman" w:hAnsi="Times New Roman" w:cs="Times New Roman"/>
        </w:rPr>
        <w:t xml:space="preserve"> for marginal gas volumes</w:t>
      </w:r>
    </w:p>
    <w:p w14:paraId="39109FA9" w14:textId="77777777" w:rsidR="004C6D6D" w:rsidRPr="004C6D6D" w:rsidRDefault="004C6D6D" w:rsidP="004C6D6D">
      <w:pPr>
        <w:numPr>
          <w:ilvl w:val="0"/>
          <w:numId w:val="12"/>
        </w:numPr>
        <w:jc w:val="both"/>
        <w:rPr>
          <w:rFonts w:ascii="Times New Roman" w:hAnsi="Times New Roman" w:cs="Times New Roman"/>
        </w:rPr>
      </w:pPr>
      <w:r w:rsidRPr="004C6D6D">
        <w:rPr>
          <w:rFonts w:ascii="Times New Roman" w:hAnsi="Times New Roman" w:cs="Times New Roman"/>
          <w:b/>
          <w:bCs/>
        </w:rPr>
        <w:t>Methanol/LPG</w:t>
      </w:r>
      <w:r w:rsidRPr="004C6D6D">
        <w:rPr>
          <w:rFonts w:ascii="Times New Roman" w:hAnsi="Times New Roman" w:cs="Times New Roman"/>
        </w:rPr>
        <w:t xml:space="preserve"> as baseload anchors using lower-cost legacy gas</w:t>
      </w:r>
    </w:p>
    <w:p w14:paraId="4DC9F34E" w14:textId="77777777" w:rsidR="004C6D6D" w:rsidRPr="004C6D6D" w:rsidRDefault="004C6D6D" w:rsidP="004C6D6D">
      <w:pPr>
        <w:numPr>
          <w:ilvl w:val="0"/>
          <w:numId w:val="12"/>
        </w:numPr>
        <w:jc w:val="both"/>
        <w:rPr>
          <w:rFonts w:ascii="Times New Roman" w:hAnsi="Times New Roman" w:cs="Times New Roman"/>
        </w:rPr>
      </w:pPr>
      <w:r w:rsidRPr="004C6D6D">
        <w:rPr>
          <w:rFonts w:ascii="Times New Roman" w:hAnsi="Times New Roman" w:cs="Times New Roman"/>
          <w:b/>
          <w:bCs/>
        </w:rPr>
        <w:t>Domestic gas</w:t>
      </w:r>
      <w:r w:rsidRPr="004C6D6D">
        <w:rPr>
          <w:rFonts w:ascii="Times New Roman" w:hAnsi="Times New Roman" w:cs="Times New Roman"/>
        </w:rPr>
        <w:t xml:space="preserve"> only where required by PSC obligations or national policy</w:t>
      </w:r>
    </w:p>
    <w:p w14:paraId="5787DA2A"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Exception:</w:t>
      </w:r>
      <w:r w:rsidRPr="004C6D6D">
        <w:rPr>
          <w:rFonts w:ascii="Times New Roman" w:hAnsi="Times New Roman" w:cs="Times New Roman"/>
        </w:rPr>
        <w:t xml:space="preserve"> If LNG prices fall below $6/</w:t>
      </w:r>
      <w:proofErr w:type="spellStart"/>
      <w:r w:rsidRPr="004C6D6D">
        <w:rPr>
          <w:rFonts w:ascii="Times New Roman" w:hAnsi="Times New Roman" w:cs="Times New Roman"/>
        </w:rPr>
        <w:t>mmbtu</w:t>
      </w:r>
      <w:proofErr w:type="spellEnd"/>
      <w:r w:rsidRPr="004C6D6D">
        <w:rPr>
          <w:rFonts w:ascii="Times New Roman" w:hAnsi="Times New Roman" w:cs="Times New Roman"/>
        </w:rPr>
        <w:t xml:space="preserve"> sustained, methanol and domestic industrial use become relatively more attractive. However, given global LNG demand growth and European diversification from Russian gas, LNG export remains the premium </w:t>
      </w:r>
      <w:proofErr w:type="spellStart"/>
      <w:r w:rsidRPr="004C6D6D">
        <w:rPr>
          <w:rFonts w:ascii="Times New Roman" w:hAnsi="Times New Roman" w:cs="Times New Roman"/>
        </w:rPr>
        <w:t>monetisation</w:t>
      </w:r>
      <w:proofErr w:type="spellEnd"/>
      <w:r w:rsidRPr="004C6D6D">
        <w:rPr>
          <w:rFonts w:ascii="Times New Roman" w:hAnsi="Times New Roman" w:cs="Times New Roman"/>
        </w:rPr>
        <w:t xml:space="preserve"> route.</w:t>
      </w:r>
    </w:p>
    <w:p w14:paraId="11C96D81" w14:textId="47FBBF03" w:rsidR="004C6D6D" w:rsidRPr="004C6D6D" w:rsidRDefault="004C6D6D" w:rsidP="004C6D6D">
      <w:pPr>
        <w:jc w:val="both"/>
        <w:rPr>
          <w:rFonts w:ascii="Times New Roman" w:hAnsi="Times New Roman" w:cs="Times New Roman"/>
        </w:rPr>
      </w:pPr>
    </w:p>
    <w:p w14:paraId="777AA515"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10. Commercial and Investment Economics</w:t>
      </w:r>
    </w:p>
    <w:p w14:paraId="371C11D0"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10.1 Cost Structure</w:t>
      </w:r>
    </w:p>
    <w:tbl>
      <w:tblPr>
        <w:tblStyle w:val="TableGrid"/>
        <w:tblW w:w="0" w:type="auto"/>
        <w:tblLook w:val="04A0" w:firstRow="1" w:lastRow="0" w:firstColumn="1" w:lastColumn="0" w:noHBand="0" w:noVBand="1"/>
      </w:tblPr>
      <w:tblGrid>
        <w:gridCol w:w="4086"/>
        <w:gridCol w:w="1751"/>
        <w:gridCol w:w="3513"/>
      </w:tblGrid>
      <w:tr w:rsidR="004C6D6D" w:rsidRPr="004C6D6D" w14:paraId="2A240177" w14:textId="77777777" w:rsidTr="004C6D6D">
        <w:tc>
          <w:tcPr>
            <w:tcW w:w="0" w:type="auto"/>
            <w:hideMark/>
          </w:tcPr>
          <w:p w14:paraId="2D3B0470"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Category</w:t>
            </w:r>
          </w:p>
        </w:tc>
        <w:tc>
          <w:tcPr>
            <w:tcW w:w="0" w:type="auto"/>
            <w:hideMark/>
          </w:tcPr>
          <w:p w14:paraId="4C26182D"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Estimated Cost</w:t>
            </w:r>
          </w:p>
        </w:tc>
        <w:tc>
          <w:tcPr>
            <w:tcW w:w="0" w:type="auto"/>
            <w:hideMark/>
          </w:tcPr>
          <w:p w14:paraId="6C7A47DE"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Notes</w:t>
            </w:r>
          </w:p>
        </w:tc>
      </w:tr>
      <w:tr w:rsidR="004C6D6D" w:rsidRPr="004C6D6D" w14:paraId="6D10BF1A" w14:textId="77777777" w:rsidTr="004C6D6D">
        <w:tc>
          <w:tcPr>
            <w:tcW w:w="0" w:type="auto"/>
            <w:hideMark/>
          </w:tcPr>
          <w:p w14:paraId="425908C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Upstream development (Aseng)</w:t>
            </w:r>
          </w:p>
        </w:tc>
        <w:tc>
          <w:tcPr>
            <w:tcW w:w="0" w:type="auto"/>
            <w:hideMark/>
          </w:tcPr>
          <w:p w14:paraId="6CB265E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$690m</w:t>
            </w:r>
          </w:p>
        </w:tc>
        <w:tc>
          <w:tcPr>
            <w:tcW w:w="0" w:type="auto"/>
            <w:hideMark/>
          </w:tcPr>
          <w:p w14:paraId="12FC1DD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Chevron FID; tie-back model</w:t>
            </w:r>
          </w:p>
        </w:tc>
      </w:tr>
      <w:tr w:rsidR="004C6D6D" w:rsidRPr="004C6D6D" w14:paraId="50E6D7C9" w14:textId="77777777" w:rsidTr="004C6D6D">
        <w:tc>
          <w:tcPr>
            <w:tcW w:w="0" w:type="auto"/>
            <w:hideMark/>
          </w:tcPr>
          <w:p w14:paraId="3680430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Upstream development (Yoyo-Yolanda)</w:t>
            </w:r>
          </w:p>
        </w:tc>
        <w:tc>
          <w:tcPr>
            <w:tcW w:w="0" w:type="auto"/>
            <w:hideMark/>
          </w:tcPr>
          <w:p w14:paraId="719843A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$4.0bn</w:t>
            </w:r>
          </w:p>
        </w:tc>
        <w:tc>
          <w:tcPr>
            <w:tcW w:w="0" w:type="auto"/>
            <w:hideMark/>
          </w:tcPr>
          <w:p w14:paraId="79691F6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Chevron plan; shared Cameroon/EG</w:t>
            </w:r>
          </w:p>
        </w:tc>
      </w:tr>
      <w:tr w:rsidR="004C6D6D" w:rsidRPr="004C6D6D" w14:paraId="64D7B2BB" w14:textId="77777777" w:rsidTr="004C6D6D">
        <w:tc>
          <w:tcPr>
            <w:tcW w:w="0" w:type="auto"/>
            <w:hideMark/>
          </w:tcPr>
          <w:p w14:paraId="42F10F5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Pipeline CAPEX (regional)</w:t>
            </w:r>
          </w:p>
        </w:tc>
        <w:tc>
          <w:tcPr>
            <w:tcW w:w="0" w:type="auto"/>
            <w:hideMark/>
          </w:tcPr>
          <w:p w14:paraId="34E7385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$2–3bn</w:t>
            </w:r>
          </w:p>
        </w:tc>
        <w:tc>
          <w:tcPr>
            <w:tcW w:w="0" w:type="auto"/>
            <w:hideMark/>
          </w:tcPr>
          <w:p w14:paraId="2569BF2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Excluding GOGGP</w:t>
            </w:r>
          </w:p>
        </w:tc>
      </w:tr>
      <w:tr w:rsidR="004C6D6D" w:rsidRPr="004C6D6D" w14:paraId="4F2B2B11" w14:textId="77777777" w:rsidTr="004C6D6D">
        <w:tc>
          <w:tcPr>
            <w:tcW w:w="0" w:type="auto"/>
            <w:hideMark/>
          </w:tcPr>
          <w:p w14:paraId="41F08F2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GOGGP (Nigeria-EG)</w:t>
            </w:r>
          </w:p>
        </w:tc>
        <w:tc>
          <w:tcPr>
            <w:tcW w:w="0" w:type="auto"/>
            <w:hideMark/>
          </w:tcPr>
          <w:p w14:paraId="44B1394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$25bn</w:t>
            </w:r>
          </w:p>
        </w:tc>
        <w:tc>
          <w:tcPr>
            <w:tcW w:w="0" w:type="auto"/>
            <w:hideMark/>
          </w:tcPr>
          <w:p w14:paraId="5DEFAF7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Regional; multi-country</w:t>
            </w:r>
          </w:p>
        </w:tc>
      </w:tr>
      <w:tr w:rsidR="004C6D6D" w:rsidRPr="004C6D6D" w14:paraId="3298371D" w14:textId="77777777" w:rsidTr="004C6D6D">
        <w:tc>
          <w:tcPr>
            <w:tcW w:w="0" w:type="auto"/>
            <w:hideMark/>
          </w:tcPr>
          <w:p w14:paraId="462005E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Processing/compression</w:t>
            </w:r>
          </w:p>
        </w:tc>
        <w:tc>
          <w:tcPr>
            <w:tcW w:w="0" w:type="auto"/>
            <w:hideMark/>
          </w:tcPr>
          <w:p w14:paraId="558FBA9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$500m–1bn</w:t>
            </w:r>
          </w:p>
        </w:tc>
        <w:tc>
          <w:tcPr>
            <w:tcW w:w="0" w:type="auto"/>
            <w:hideMark/>
          </w:tcPr>
          <w:p w14:paraId="05F567B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Brownfield expansions</w:t>
            </w:r>
          </w:p>
        </w:tc>
      </w:tr>
      <w:tr w:rsidR="004C6D6D" w:rsidRPr="004C6D6D" w14:paraId="26D8EDD0" w14:textId="77777777" w:rsidTr="004C6D6D">
        <w:tc>
          <w:tcPr>
            <w:tcW w:w="0" w:type="auto"/>
            <w:hideMark/>
          </w:tcPr>
          <w:p w14:paraId="14871B6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LNG operating costs</w:t>
            </w:r>
          </w:p>
        </w:tc>
        <w:tc>
          <w:tcPr>
            <w:tcW w:w="0" w:type="auto"/>
            <w:hideMark/>
          </w:tcPr>
          <w:p w14:paraId="1E32AC9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$1.5–2.0/</w:t>
            </w:r>
            <w:proofErr w:type="spellStart"/>
            <w:r w:rsidRPr="004C6D6D">
              <w:rPr>
                <w:rFonts w:ascii="Times New Roman" w:hAnsi="Times New Roman" w:cs="Times New Roman"/>
              </w:rPr>
              <w:t>mmbtu</w:t>
            </w:r>
            <w:proofErr w:type="spellEnd"/>
          </w:p>
        </w:tc>
        <w:tc>
          <w:tcPr>
            <w:tcW w:w="0" w:type="auto"/>
            <w:hideMark/>
          </w:tcPr>
          <w:p w14:paraId="1913C77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Existing EG LNG </w:t>
            </w:r>
            <w:proofErr w:type="spellStart"/>
            <w:r w:rsidRPr="004C6D6D">
              <w:rPr>
                <w:rFonts w:ascii="Times New Roman" w:hAnsi="Times New Roman" w:cs="Times New Roman"/>
              </w:rPr>
              <w:t>opex</w:t>
            </w:r>
            <w:proofErr w:type="spellEnd"/>
          </w:p>
        </w:tc>
      </w:tr>
      <w:tr w:rsidR="004C6D6D" w:rsidRPr="004C6D6D" w14:paraId="715B288D" w14:textId="77777777" w:rsidTr="004C6D6D">
        <w:tc>
          <w:tcPr>
            <w:tcW w:w="0" w:type="auto"/>
            <w:hideMark/>
          </w:tcPr>
          <w:p w14:paraId="6B28118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lastRenderedPageBreak/>
              <w:t>Gas purchase costs (tolling)</w:t>
            </w:r>
          </w:p>
        </w:tc>
        <w:tc>
          <w:tcPr>
            <w:tcW w:w="0" w:type="auto"/>
            <w:hideMark/>
          </w:tcPr>
          <w:p w14:paraId="7B34BD5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$1.0–2.5/</w:t>
            </w:r>
            <w:proofErr w:type="spellStart"/>
            <w:r w:rsidRPr="004C6D6D">
              <w:rPr>
                <w:rFonts w:ascii="Times New Roman" w:hAnsi="Times New Roman" w:cs="Times New Roman"/>
              </w:rPr>
              <w:t>mmbtu</w:t>
            </w:r>
            <w:proofErr w:type="spellEnd"/>
          </w:p>
        </w:tc>
        <w:tc>
          <w:tcPr>
            <w:tcW w:w="0" w:type="auto"/>
            <w:hideMark/>
          </w:tcPr>
          <w:p w14:paraId="315051B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Depending on source</w:t>
            </w:r>
          </w:p>
        </w:tc>
      </w:tr>
    </w:tbl>
    <w:p w14:paraId="03CE19E4" w14:textId="77777777" w:rsidR="004C6D6D" w:rsidRDefault="004C6D6D" w:rsidP="004C6D6D">
      <w:pPr>
        <w:jc w:val="both"/>
        <w:rPr>
          <w:rFonts w:ascii="Times New Roman" w:hAnsi="Times New Roman" w:cs="Times New Roman"/>
          <w:b/>
          <w:bCs/>
        </w:rPr>
      </w:pPr>
    </w:p>
    <w:p w14:paraId="28FFD4E6" w14:textId="3BB030A3"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10.2 Revenue and Returns</w:t>
      </w:r>
    </w:p>
    <w:tbl>
      <w:tblPr>
        <w:tblStyle w:val="TableGrid"/>
        <w:tblW w:w="0" w:type="auto"/>
        <w:tblLook w:val="04A0" w:firstRow="1" w:lastRow="0" w:firstColumn="1" w:lastColumn="0" w:noHBand="0" w:noVBand="1"/>
      </w:tblPr>
      <w:tblGrid>
        <w:gridCol w:w="3539"/>
        <w:gridCol w:w="2173"/>
        <w:gridCol w:w="3123"/>
      </w:tblGrid>
      <w:tr w:rsidR="004C6D6D" w:rsidRPr="004C6D6D" w14:paraId="643A9BCE" w14:textId="77777777" w:rsidTr="004C6D6D">
        <w:tc>
          <w:tcPr>
            <w:tcW w:w="0" w:type="auto"/>
            <w:hideMark/>
          </w:tcPr>
          <w:p w14:paraId="7997546B"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Parameter</w:t>
            </w:r>
          </w:p>
        </w:tc>
        <w:tc>
          <w:tcPr>
            <w:tcW w:w="0" w:type="auto"/>
            <w:hideMark/>
          </w:tcPr>
          <w:p w14:paraId="3D8E770C"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Base Case</w:t>
            </w:r>
          </w:p>
        </w:tc>
        <w:tc>
          <w:tcPr>
            <w:tcW w:w="0" w:type="auto"/>
            <w:hideMark/>
          </w:tcPr>
          <w:p w14:paraId="1D79C9AC"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Sensitivity Range</w:t>
            </w:r>
          </w:p>
        </w:tc>
      </w:tr>
      <w:tr w:rsidR="004C6D6D" w:rsidRPr="004C6D6D" w14:paraId="5ECED498" w14:textId="77777777" w:rsidTr="004C6D6D">
        <w:tc>
          <w:tcPr>
            <w:tcW w:w="0" w:type="auto"/>
            <w:hideMark/>
          </w:tcPr>
          <w:p w14:paraId="3778234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LNG price</w:t>
            </w:r>
          </w:p>
        </w:tc>
        <w:tc>
          <w:tcPr>
            <w:tcW w:w="0" w:type="auto"/>
            <w:hideMark/>
          </w:tcPr>
          <w:p w14:paraId="16ED19E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$9.0/</w:t>
            </w:r>
            <w:proofErr w:type="spellStart"/>
            <w:r w:rsidRPr="004C6D6D">
              <w:rPr>
                <w:rFonts w:ascii="Times New Roman" w:hAnsi="Times New Roman" w:cs="Times New Roman"/>
              </w:rPr>
              <w:t>mmbtu</w:t>
            </w:r>
            <w:proofErr w:type="spellEnd"/>
          </w:p>
        </w:tc>
        <w:tc>
          <w:tcPr>
            <w:tcW w:w="0" w:type="auto"/>
            <w:hideMark/>
          </w:tcPr>
          <w:p w14:paraId="2108847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$6.00–$14.00/</w:t>
            </w:r>
            <w:proofErr w:type="spellStart"/>
            <w:r w:rsidRPr="004C6D6D">
              <w:rPr>
                <w:rFonts w:ascii="Times New Roman" w:hAnsi="Times New Roman" w:cs="Times New Roman"/>
              </w:rPr>
              <w:t>mmbtu</w:t>
            </w:r>
            <w:proofErr w:type="spellEnd"/>
          </w:p>
        </w:tc>
      </w:tr>
      <w:tr w:rsidR="004C6D6D" w:rsidRPr="004C6D6D" w14:paraId="632FC54C" w14:textId="77777777" w:rsidTr="004C6D6D">
        <w:tc>
          <w:tcPr>
            <w:tcW w:w="0" w:type="auto"/>
            <w:hideMark/>
          </w:tcPr>
          <w:p w14:paraId="3FBEC5B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Gas purchase price</w:t>
            </w:r>
          </w:p>
        </w:tc>
        <w:tc>
          <w:tcPr>
            <w:tcW w:w="0" w:type="auto"/>
            <w:hideMark/>
          </w:tcPr>
          <w:p w14:paraId="14B449B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$2.0/</w:t>
            </w:r>
            <w:proofErr w:type="spellStart"/>
            <w:r w:rsidRPr="004C6D6D">
              <w:rPr>
                <w:rFonts w:ascii="Times New Roman" w:hAnsi="Times New Roman" w:cs="Times New Roman"/>
              </w:rPr>
              <w:t>mmbtu</w:t>
            </w:r>
            <w:proofErr w:type="spellEnd"/>
          </w:p>
        </w:tc>
        <w:tc>
          <w:tcPr>
            <w:tcW w:w="0" w:type="auto"/>
            <w:hideMark/>
          </w:tcPr>
          <w:p w14:paraId="637D90F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$1.00–$4.00/</w:t>
            </w:r>
            <w:proofErr w:type="spellStart"/>
            <w:r w:rsidRPr="004C6D6D">
              <w:rPr>
                <w:rFonts w:ascii="Times New Roman" w:hAnsi="Times New Roman" w:cs="Times New Roman"/>
              </w:rPr>
              <w:t>mmbtu</w:t>
            </w:r>
            <w:proofErr w:type="spellEnd"/>
          </w:p>
        </w:tc>
      </w:tr>
      <w:tr w:rsidR="004C6D6D" w:rsidRPr="004C6D6D" w14:paraId="2EB5DB1C" w14:textId="77777777" w:rsidTr="004C6D6D">
        <w:tc>
          <w:tcPr>
            <w:tcW w:w="0" w:type="auto"/>
            <w:hideMark/>
          </w:tcPr>
          <w:p w14:paraId="3AB0E5D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 xml:space="preserve">Annual LNG revenue (3.7 </w:t>
            </w:r>
            <w:proofErr w:type="spellStart"/>
            <w:r w:rsidRPr="004C6D6D">
              <w:rPr>
                <w:rFonts w:ascii="Times New Roman" w:hAnsi="Times New Roman" w:cs="Times New Roman"/>
                <w:b/>
                <w:bCs/>
              </w:rPr>
              <w:t>mtpa</w:t>
            </w:r>
            <w:proofErr w:type="spellEnd"/>
            <w:r w:rsidRPr="004C6D6D">
              <w:rPr>
                <w:rFonts w:ascii="Times New Roman" w:hAnsi="Times New Roman" w:cs="Times New Roman"/>
                <w:b/>
                <w:bCs/>
              </w:rPr>
              <w:t>)</w:t>
            </w:r>
          </w:p>
        </w:tc>
        <w:tc>
          <w:tcPr>
            <w:tcW w:w="0" w:type="auto"/>
            <w:hideMark/>
          </w:tcPr>
          <w:p w14:paraId="2F6DBB1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~$1.8–2.2bn</w:t>
            </w:r>
          </w:p>
        </w:tc>
        <w:tc>
          <w:tcPr>
            <w:tcW w:w="0" w:type="auto"/>
            <w:hideMark/>
          </w:tcPr>
          <w:p w14:paraId="1FAF9A0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Proportional to price</w:t>
            </w:r>
          </w:p>
        </w:tc>
      </w:tr>
      <w:tr w:rsidR="004C6D6D" w:rsidRPr="004C6D6D" w14:paraId="59C159D9" w14:textId="77777777" w:rsidTr="004C6D6D">
        <w:tc>
          <w:tcPr>
            <w:tcW w:w="0" w:type="auto"/>
            <w:hideMark/>
          </w:tcPr>
          <w:p w14:paraId="11A39AB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Break-even gas price</w:t>
            </w:r>
          </w:p>
        </w:tc>
        <w:tc>
          <w:tcPr>
            <w:tcW w:w="0" w:type="auto"/>
            <w:hideMark/>
          </w:tcPr>
          <w:p w14:paraId="4C73144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~$3.50–4.50/</w:t>
            </w:r>
            <w:proofErr w:type="spellStart"/>
            <w:r w:rsidRPr="004C6D6D">
              <w:rPr>
                <w:rFonts w:ascii="Times New Roman" w:hAnsi="Times New Roman" w:cs="Times New Roman"/>
              </w:rPr>
              <w:t>mmbtu</w:t>
            </w:r>
            <w:proofErr w:type="spellEnd"/>
          </w:p>
        </w:tc>
        <w:tc>
          <w:tcPr>
            <w:tcW w:w="0" w:type="auto"/>
            <w:hideMark/>
          </w:tcPr>
          <w:p w14:paraId="75DDD1A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Including capex recovery</w:t>
            </w:r>
          </w:p>
        </w:tc>
      </w:tr>
      <w:tr w:rsidR="004C6D6D" w:rsidRPr="004C6D6D" w14:paraId="19731DF6" w14:textId="77777777" w:rsidTr="004C6D6D">
        <w:tc>
          <w:tcPr>
            <w:tcW w:w="0" w:type="auto"/>
            <w:hideMark/>
          </w:tcPr>
          <w:p w14:paraId="69A0B3A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Project NPV (regional hub)</w:t>
            </w:r>
          </w:p>
        </w:tc>
        <w:tc>
          <w:tcPr>
            <w:tcW w:w="0" w:type="auto"/>
            <w:hideMark/>
          </w:tcPr>
          <w:p w14:paraId="55199F2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$2–4bn</w:t>
            </w:r>
          </w:p>
        </w:tc>
        <w:tc>
          <w:tcPr>
            <w:tcW w:w="0" w:type="auto"/>
            <w:hideMark/>
          </w:tcPr>
          <w:p w14:paraId="52FB9AE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Highly sensitive to LNG price</w:t>
            </w:r>
          </w:p>
        </w:tc>
      </w:tr>
      <w:tr w:rsidR="004C6D6D" w:rsidRPr="004C6D6D" w14:paraId="7D96BE54" w14:textId="77777777" w:rsidTr="004C6D6D">
        <w:tc>
          <w:tcPr>
            <w:tcW w:w="0" w:type="auto"/>
            <w:hideMark/>
          </w:tcPr>
          <w:p w14:paraId="7051321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IRR</w:t>
            </w:r>
          </w:p>
        </w:tc>
        <w:tc>
          <w:tcPr>
            <w:tcW w:w="0" w:type="auto"/>
            <w:hideMark/>
          </w:tcPr>
          <w:p w14:paraId="75FC9B3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15–22%</w:t>
            </w:r>
          </w:p>
        </w:tc>
        <w:tc>
          <w:tcPr>
            <w:tcW w:w="0" w:type="auto"/>
            <w:hideMark/>
          </w:tcPr>
          <w:p w14:paraId="76DC543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Depending on feedstock cost</w:t>
            </w:r>
          </w:p>
        </w:tc>
      </w:tr>
      <w:tr w:rsidR="004C6D6D" w:rsidRPr="004C6D6D" w14:paraId="2467E67D" w14:textId="77777777" w:rsidTr="004C6D6D">
        <w:tc>
          <w:tcPr>
            <w:tcW w:w="0" w:type="auto"/>
            <w:hideMark/>
          </w:tcPr>
          <w:p w14:paraId="1B10975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Payback period</w:t>
            </w:r>
          </w:p>
        </w:tc>
        <w:tc>
          <w:tcPr>
            <w:tcW w:w="0" w:type="auto"/>
            <w:hideMark/>
          </w:tcPr>
          <w:p w14:paraId="668A19E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7–10 years</w:t>
            </w:r>
          </w:p>
        </w:tc>
        <w:tc>
          <w:tcPr>
            <w:tcW w:w="0" w:type="auto"/>
            <w:hideMark/>
          </w:tcPr>
          <w:p w14:paraId="5B10891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From first regional gas</w:t>
            </w:r>
          </w:p>
        </w:tc>
      </w:tr>
    </w:tbl>
    <w:p w14:paraId="578A4047" w14:textId="77777777" w:rsidR="004C6D6D" w:rsidRDefault="004C6D6D" w:rsidP="004C6D6D">
      <w:pPr>
        <w:jc w:val="both"/>
        <w:rPr>
          <w:rFonts w:ascii="Times New Roman" w:hAnsi="Times New Roman" w:cs="Times New Roman"/>
          <w:b/>
          <w:bCs/>
        </w:rPr>
      </w:pPr>
    </w:p>
    <w:p w14:paraId="05C23175" w14:textId="495D333A"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10.3 Commercial Structures</w:t>
      </w:r>
    </w:p>
    <w:tbl>
      <w:tblPr>
        <w:tblStyle w:val="TableGrid"/>
        <w:tblW w:w="0" w:type="auto"/>
        <w:tblLook w:val="04A0" w:firstRow="1" w:lastRow="0" w:firstColumn="1" w:lastColumn="0" w:noHBand="0" w:noVBand="1"/>
      </w:tblPr>
      <w:tblGrid>
        <w:gridCol w:w="2203"/>
        <w:gridCol w:w="2850"/>
        <w:gridCol w:w="4297"/>
      </w:tblGrid>
      <w:tr w:rsidR="004C6D6D" w:rsidRPr="004C6D6D" w14:paraId="02BB7E18" w14:textId="77777777" w:rsidTr="004C6D6D">
        <w:tc>
          <w:tcPr>
            <w:tcW w:w="0" w:type="auto"/>
            <w:hideMark/>
          </w:tcPr>
          <w:p w14:paraId="05F00E01"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Structure</w:t>
            </w:r>
          </w:p>
        </w:tc>
        <w:tc>
          <w:tcPr>
            <w:tcW w:w="0" w:type="auto"/>
            <w:hideMark/>
          </w:tcPr>
          <w:p w14:paraId="6555EE30"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Application</w:t>
            </w:r>
          </w:p>
        </w:tc>
        <w:tc>
          <w:tcPr>
            <w:tcW w:w="0" w:type="auto"/>
            <w:hideMark/>
          </w:tcPr>
          <w:p w14:paraId="2C9F9FA0"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Risk Allocation</w:t>
            </w:r>
          </w:p>
        </w:tc>
      </w:tr>
      <w:tr w:rsidR="004C6D6D" w:rsidRPr="004C6D6D" w14:paraId="42731937" w14:textId="77777777" w:rsidTr="004C6D6D">
        <w:tc>
          <w:tcPr>
            <w:tcW w:w="0" w:type="auto"/>
            <w:hideMark/>
          </w:tcPr>
          <w:p w14:paraId="6DE0FE5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Gas Tolling</w:t>
            </w:r>
          </w:p>
        </w:tc>
        <w:tc>
          <w:tcPr>
            <w:tcW w:w="0" w:type="auto"/>
            <w:hideMark/>
          </w:tcPr>
          <w:p w14:paraId="6B8A1C1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Alen, Aseng → Punta Europa</w:t>
            </w:r>
          </w:p>
        </w:tc>
        <w:tc>
          <w:tcPr>
            <w:tcW w:w="0" w:type="auto"/>
            <w:hideMark/>
          </w:tcPr>
          <w:p w14:paraId="2C653A1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Upstream bears reservoir risk; midstream earns processing fee</w:t>
            </w:r>
          </w:p>
        </w:tc>
      </w:tr>
      <w:tr w:rsidR="004C6D6D" w:rsidRPr="004C6D6D" w14:paraId="130D2C89" w14:textId="77777777" w:rsidTr="004C6D6D">
        <w:tc>
          <w:tcPr>
            <w:tcW w:w="0" w:type="auto"/>
            <w:hideMark/>
          </w:tcPr>
          <w:p w14:paraId="549B330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Gas Purchase Agreements</w:t>
            </w:r>
          </w:p>
        </w:tc>
        <w:tc>
          <w:tcPr>
            <w:tcW w:w="0" w:type="auto"/>
            <w:hideMark/>
          </w:tcPr>
          <w:p w14:paraId="6101DB3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Regional imports</w:t>
            </w:r>
          </w:p>
        </w:tc>
        <w:tc>
          <w:tcPr>
            <w:tcW w:w="0" w:type="auto"/>
            <w:hideMark/>
          </w:tcPr>
          <w:p w14:paraId="1F441CA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Offtake guarantee; price risk on buyer</w:t>
            </w:r>
          </w:p>
        </w:tc>
      </w:tr>
      <w:tr w:rsidR="004C6D6D" w:rsidRPr="004C6D6D" w14:paraId="0E979920" w14:textId="77777777" w:rsidTr="004C6D6D">
        <w:tc>
          <w:tcPr>
            <w:tcW w:w="0" w:type="auto"/>
            <w:hideMark/>
          </w:tcPr>
          <w:p w14:paraId="7B7237C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Take-or-Pay</w:t>
            </w:r>
          </w:p>
        </w:tc>
        <w:tc>
          <w:tcPr>
            <w:tcW w:w="0" w:type="auto"/>
            <w:hideMark/>
          </w:tcPr>
          <w:p w14:paraId="67D25CA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LNG offtake</w:t>
            </w:r>
          </w:p>
        </w:tc>
        <w:tc>
          <w:tcPr>
            <w:tcW w:w="0" w:type="auto"/>
            <w:hideMark/>
          </w:tcPr>
          <w:p w14:paraId="0C3955A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Ship-or-pay for pipeline; take-or-pay for plant</w:t>
            </w:r>
          </w:p>
        </w:tc>
      </w:tr>
      <w:tr w:rsidR="004C6D6D" w:rsidRPr="004C6D6D" w14:paraId="45AF23F1" w14:textId="77777777" w:rsidTr="004C6D6D">
        <w:tc>
          <w:tcPr>
            <w:tcW w:w="0" w:type="auto"/>
            <w:hideMark/>
          </w:tcPr>
          <w:p w14:paraId="68DA0F9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Joint Ventures</w:t>
            </w:r>
          </w:p>
        </w:tc>
        <w:tc>
          <w:tcPr>
            <w:tcW w:w="0" w:type="auto"/>
            <w:hideMark/>
          </w:tcPr>
          <w:p w14:paraId="109582E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Yoyo-Yolanda, ConocoPhillips blocks</w:t>
            </w:r>
          </w:p>
        </w:tc>
        <w:tc>
          <w:tcPr>
            <w:tcW w:w="0" w:type="auto"/>
            <w:hideMark/>
          </w:tcPr>
          <w:p w14:paraId="52CAB5D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Shared upstream/midstream risk</w:t>
            </w:r>
          </w:p>
        </w:tc>
      </w:tr>
      <w:tr w:rsidR="004C6D6D" w:rsidRPr="004C6D6D" w14:paraId="5F6111E4" w14:textId="77777777" w:rsidTr="004C6D6D">
        <w:tc>
          <w:tcPr>
            <w:tcW w:w="0" w:type="auto"/>
            <w:hideMark/>
          </w:tcPr>
          <w:p w14:paraId="6B02B3C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Processing Agreements</w:t>
            </w:r>
          </w:p>
        </w:tc>
        <w:tc>
          <w:tcPr>
            <w:tcW w:w="0" w:type="auto"/>
            <w:hideMark/>
          </w:tcPr>
          <w:p w14:paraId="61B7FAB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Third-party access to Punta Europa</w:t>
            </w:r>
          </w:p>
        </w:tc>
        <w:tc>
          <w:tcPr>
            <w:tcW w:w="0" w:type="auto"/>
            <w:hideMark/>
          </w:tcPr>
          <w:p w14:paraId="6A1915A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Tariff-based; regulated by MMH</w:t>
            </w:r>
          </w:p>
        </w:tc>
      </w:tr>
      <w:tr w:rsidR="004C6D6D" w:rsidRPr="004C6D6D" w14:paraId="582E7FE2" w14:textId="77777777" w:rsidTr="004C6D6D">
        <w:tc>
          <w:tcPr>
            <w:tcW w:w="0" w:type="auto"/>
            <w:hideMark/>
          </w:tcPr>
          <w:p w14:paraId="29F850B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Cross-border Sales</w:t>
            </w:r>
          </w:p>
        </w:tc>
        <w:tc>
          <w:tcPr>
            <w:tcW w:w="0" w:type="auto"/>
            <w:hideMark/>
          </w:tcPr>
          <w:p w14:paraId="363C494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Cameroon, Nigeria</w:t>
            </w:r>
          </w:p>
        </w:tc>
        <w:tc>
          <w:tcPr>
            <w:tcW w:w="0" w:type="auto"/>
            <w:hideMark/>
          </w:tcPr>
          <w:p w14:paraId="41D309D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Sovereign risk; requires treaty frameworks</w:t>
            </w:r>
          </w:p>
        </w:tc>
      </w:tr>
    </w:tbl>
    <w:p w14:paraId="0AECF312" w14:textId="3C84E691" w:rsidR="004C6D6D" w:rsidRPr="004C6D6D" w:rsidRDefault="004C6D6D" w:rsidP="004C6D6D">
      <w:pPr>
        <w:jc w:val="both"/>
        <w:rPr>
          <w:rFonts w:ascii="Times New Roman" w:hAnsi="Times New Roman" w:cs="Times New Roman"/>
        </w:rPr>
      </w:pPr>
    </w:p>
    <w:p w14:paraId="3F35B794"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 xml:space="preserve">11. Regional Integration and Cross-Border </w:t>
      </w:r>
      <w:proofErr w:type="spellStart"/>
      <w:r w:rsidRPr="004C6D6D">
        <w:rPr>
          <w:rFonts w:ascii="Times New Roman" w:hAnsi="Times New Roman" w:cs="Times New Roman"/>
          <w:b/>
          <w:bCs/>
        </w:rPr>
        <w:t>Commercialisation</w:t>
      </w:r>
      <w:proofErr w:type="spellEnd"/>
    </w:p>
    <w:p w14:paraId="0AD091E5" w14:textId="7777777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11.1 Legal and Regulatory Requirements</w:t>
      </w:r>
    </w:p>
    <w:p w14:paraId="7E79AB98"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lastRenderedPageBreak/>
        <w:t>Equatorial Guinea–Cameroon:</w:t>
      </w:r>
    </w:p>
    <w:p w14:paraId="1CB8E945" w14:textId="77777777" w:rsidR="004C6D6D" w:rsidRPr="004C6D6D" w:rsidRDefault="004C6D6D" w:rsidP="004C6D6D">
      <w:pPr>
        <w:numPr>
          <w:ilvl w:val="0"/>
          <w:numId w:val="13"/>
        </w:numPr>
        <w:jc w:val="both"/>
        <w:rPr>
          <w:rFonts w:ascii="Times New Roman" w:hAnsi="Times New Roman" w:cs="Times New Roman"/>
        </w:rPr>
      </w:pPr>
      <w:r w:rsidRPr="004C6D6D">
        <w:rPr>
          <w:rFonts w:ascii="Times New Roman" w:hAnsi="Times New Roman" w:cs="Times New Roman"/>
        </w:rPr>
        <w:t>Bilateral treaty ratified March 2023; unitization agreement signed February 2026</w:t>
      </w:r>
    </w:p>
    <w:p w14:paraId="7CD9CA10" w14:textId="77777777" w:rsidR="004C6D6D" w:rsidRPr="004C6D6D" w:rsidRDefault="004C6D6D" w:rsidP="004C6D6D">
      <w:pPr>
        <w:numPr>
          <w:ilvl w:val="0"/>
          <w:numId w:val="13"/>
        </w:numPr>
        <w:jc w:val="both"/>
        <w:rPr>
          <w:rFonts w:ascii="Times New Roman" w:hAnsi="Times New Roman" w:cs="Times New Roman"/>
        </w:rPr>
      </w:pPr>
      <w:r w:rsidRPr="004C6D6D">
        <w:rPr>
          <w:rFonts w:ascii="Times New Roman" w:hAnsi="Times New Roman" w:cs="Times New Roman"/>
        </w:rPr>
        <w:t xml:space="preserve">Framework covers: regulatory </w:t>
      </w:r>
      <w:proofErr w:type="spellStart"/>
      <w:r w:rsidRPr="004C6D6D">
        <w:rPr>
          <w:rFonts w:ascii="Times New Roman" w:hAnsi="Times New Roman" w:cs="Times New Roman"/>
        </w:rPr>
        <w:t>harmonisation</w:t>
      </w:r>
      <w:proofErr w:type="spellEnd"/>
      <w:r w:rsidRPr="004C6D6D">
        <w:rPr>
          <w:rFonts w:ascii="Times New Roman" w:hAnsi="Times New Roman" w:cs="Times New Roman"/>
        </w:rPr>
        <w:t>, fiscal terms, infrastructure access, revenue allocation</w:t>
      </w:r>
    </w:p>
    <w:p w14:paraId="4A29CB63" w14:textId="77777777" w:rsidR="004C6D6D" w:rsidRPr="004C6D6D" w:rsidRDefault="004C6D6D" w:rsidP="004C6D6D">
      <w:pPr>
        <w:numPr>
          <w:ilvl w:val="0"/>
          <w:numId w:val="13"/>
        </w:numPr>
        <w:jc w:val="both"/>
        <w:rPr>
          <w:rFonts w:ascii="Times New Roman" w:hAnsi="Times New Roman" w:cs="Times New Roman"/>
        </w:rPr>
      </w:pPr>
      <w:r w:rsidRPr="004C6D6D">
        <w:rPr>
          <w:rFonts w:ascii="Times New Roman" w:hAnsi="Times New Roman" w:cs="Times New Roman"/>
          <w:b/>
          <w:bCs/>
        </w:rPr>
        <w:t>Gap:</w:t>
      </w:r>
      <w:r w:rsidRPr="004C6D6D">
        <w:rPr>
          <w:rFonts w:ascii="Times New Roman" w:hAnsi="Times New Roman" w:cs="Times New Roman"/>
        </w:rPr>
        <w:t xml:space="preserve"> Detailed gas sales agreements, transportation tariffs, and fiscal terms for Yoyo-Yolanda volumes remain to be </w:t>
      </w:r>
      <w:proofErr w:type="spellStart"/>
      <w:r w:rsidRPr="004C6D6D">
        <w:rPr>
          <w:rFonts w:ascii="Times New Roman" w:hAnsi="Times New Roman" w:cs="Times New Roman"/>
        </w:rPr>
        <w:t>finalised</w:t>
      </w:r>
      <w:proofErr w:type="spellEnd"/>
    </w:p>
    <w:p w14:paraId="406C6D4E"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Equatorial Guinea–Nigeria:</w:t>
      </w:r>
    </w:p>
    <w:p w14:paraId="1AAA2919" w14:textId="77777777" w:rsidR="004C6D6D" w:rsidRPr="004C6D6D" w:rsidRDefault="004C6D6D" w:rsidP="004C6D6D">
      <w:pPr>
        <w:numPr>
          <w:ilvl w:val="0"/>
          <w:numId w:val="14"/>
        </w:numPr>
        <w:jc w:val="both"/>
        <w:rPr>
          <w:rFonts w:ascii="Times New Roman" w:hAnsi="Times New Roman" w:cs="Times New Roman"/>
        </w:rPr>
      </w:pPr>
      <w:r w:rsidRPr="004C6D6D">
        <w:rPr>
          <w:rFonts w:ascii="Times New Roman" w:hAnsi="Times New Roman" w:cs="Times New Roman"/>
        </w:rPr>
        <w:t>GOGGP treaty signed August 2024; joint communiqué June 2025</w:t>
      </w:r>
    </w:p>
    <w:p w14:paraId="0CF75CCE" w14:textId="77777777" w:rsidR="004C6D6D" w:rsidRPr="004C6D6D" w:rsidRDefault="004C6D6D" w:rsidP="004C6D6D">
      <w:pPr>
        <w:numPr>
          <w:ilvl w:val="0"/>
          <w:numId w:val="14"/>
        </w:numPr>
        <w:jc w:val="both"/>
        <w:rPr>
          <w:rFonts w:ascii="Times New Roman" w:hAnsi="Times New Roman" w:cs="Times New Roman"/>
        </w:rPr>
      </w:pPr>
      <w:r w:rsidRPr="004C6D6D">
        <w:rPr>
          <w:rFonts w:ascii="Times New Roman" w:hAnsi="Times New Roman" w:cs="Times New Roman"/>
        </w:rPr>
        <w:t>Joint Steering Committee and Sub-Committee on Gas Supply established</w:t>
      </w:r>
    </w:p>
    <w:p w14:paraId="08B01192" w14:textId="77777777" w:rsidR="004C6D6D" w:rsidRPr="004C6D6D" w:rsidRDefault="004C6D6D" w:rsidP="004C6D6D">
      <w:pPr>
        <w:numPr>
          <w:ilvl w:val="0"/>
          <w:numId w:val="14"/>
        </w:numPr>
        <w:jc w:val="both"/>
        <w:rPr>
          <w:rFonts w:ascii="Times New Roman" w:hAnsi="Times New Roman" w:cs="Times New Roman"/>
        </w:rPr>
      </w:pPr>
      <w:r w:rsidRPr="004C6D6D">
        <w:rPr>
          <w:rFonts w:ascii="Times New Roman" w:hAnsi="Times New Roman" w:cs="Times New Roman"/>
          <w:b/>
          <w:bCs/>
        </w:rPr>
        <w:t>Gap:</w:t>
      </w:r>
      <w:r w:rsidRPr="004C6D6D">
        <w:rPr>
          <w:rFonts w:ascii="Times New Roman" w:hAnsi="Times New Roman" w:cs="Times New Roman"/>
        </w:rPr>
        <w:t xml:space="preserve"> No ratified PSC-level gas sales; Nigerian domestic gas obligations may constrain export availability; UN deposit of institutional documents pending</w:t>
      </w:r>
    </w:p>
    <w:p w14:paraId="5267CF4D" w14:textId="77777777" w:rsidR="004C6D6D" w:rsidRDefault="004C6D6D" w:rsidP="004C6D6D">
      <w:pPr>
        <w:jc w:val="both"/>
        <w:rPr>
          <w:rFonts w:ascii="Times New Roman" w:hAnsi="Times New Roman" w:cs="Times New Roman"/>
          <w:b/>
          <w:bCs/>
        </w:rPr>
      </w:pPr>
    </w:p>
    <w:p w14:paraId="659ED37F" w14:textId="518E127B"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11.2 Institutional Framework</w:t>
      </w:r>
    </w:p>
    <w:p w14:paraId="2BD83746" w14:textId="4D4D8FA6" w:rsidR="004C6D6D" w:rsidRPr="004C6D6D" w:rsidRDefault="004C6D6D" w:rsidP="004C6D6D">
      <w:pPr>
        <w:jc w:val="both"/>
        <w:rPr>
          <w:rFonts w:ascii="Times New Roman" w:hAnsi="Times New Roman" w:cs="Times New Roman"/>
        </w:rPr>
      </w:pPr>
      <w:r w:rsidRPr="004C6D6D">
        <w:rPr>
          <w:rFonts w:ascii="Times New Roman" w:hAnsi="Times New Roman" w:cs="Times New Roman"/>
        </w:rPr>
        <w:t>For Punta Europa to function as a sustainable regional hub, the following institutional architecture is required:</w:t>
      </w:r>
    </w:p>
    <w:tbl>
      <w:tblPr>
        <w:tblStyle w:val="TableGrid"/>
        <w:tblW w:w="0" w:type="auto"/>
        <w:tblLook w:val="04A0" w:firstRow="1" w:lastRow="0" w:firstColumn="1" w:lastColumn="0" w:noHBand="0" w:noVBand="1"/>
      </w:tblPr>
      <w:tblGrid>
        <w:gridCol w:w="3616"/>
        <w:gridCol w:w="4078"/>
        <w:gridCol w:w="1656"/>
      </w:tblGrid>
      <w:tr w:rsidR="004C6D6D" w:rsidRPr="004C6D6D" w14:paraId="32975335" w14:textId="77777777" w:rsidTr="004C6D6D">
        <w:tc>
          <w:tcPr>
            <w:tcW w:w="0" w:type="auto"/>
            <w:hideMark/>
          </w:tcPr>
          <w:p w14:paraId="20CD53D8"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Element</w:t>
            </w:r>
          </w:p>
        </w:tc>
        <w:tc>
          <w:tcPr>
            <w:tcW w:w="0" w:type="auto"/>
            <w:hideMark/>
          </w:tcPr>
          <w:p w14:paraId="00165007"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Status</w:t>
            </w:r>
          </w:p>
        </w:tc>
        <w:tc>
          <w:tcPr>
            <w:tcW w:w="0" w:type="auto"/>
            <w:hideMark/>
          </w:tcPr>
          <w:p w14:paraId="7308C5C0"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Priority</w:t>
            </w:r>
          </w:p>
        </w:tc>
      </w:tr>
      <w:tr w:rsidR="004C6D6D" w:rsidRPr="004C6D6D" w14:paraId="1A877C4D" w14:textId="77777777" w:rsidTr="004C6D6D">
        <w:tc>
          <w:tcPr>
            <w:tcW w:w="0" w:type="auto"/>
            <w:hideMark/>
          </w:tcPr>
          <w:p w14:paraId="725FF47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Cross-border pipeline treaty (Cameroon)</w:t>
            </w:r>
          </w:p>
        </w:tc>
        <w:tc>
          <w:tcPr>
            <w:tcW w:w="0" w:type="auto"/>
            <w:hideMark/>
          </w:tcPr>
          <w:p w14:paraId="6633504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In place (2023/2026)</w:t>
            </w:r>
          </w:p>
        </w:tc>
        <w:tc>
          <w:tcPr>
            <w:tcW w:w="0" w:type="auto"/>
            <w:hideMark/>
          </w:tcPr>
          <w:p w14:paraId="599A965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w:t>
            </w:r>
          </w:p>
        </w:tc>
      </w:tr>
      <w:tr w:rsidR="004C6D6D" w:rsidRPr="004C6D6D" w14:paraId="2E4694CE" w14:textId="77777777" w:rsidTr="004C6D6D">
        <w:tc>
          <w:tcPr>
            <w:tcW w:w="0" w:type="auto"/>
            <w:hideMark/>
          </w:tcPr>
          <w:p w14:paraId="5AB85BE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Cross-border pipeline treaty (Nigeria)</w:t>
            </w:r>
          </w:p>
        </w:tc>
        <w:tc>
          <w:tcPr>
            <w:tcW w:w="0" w:type="auto"/>
            <w:hideMark/>
          </w:tcPr>
          <w:p w14:paraId="6DA9B2A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Signed; implementation pending</w:t>
            </w:r>
          </w:p>
        </w:tc>
        <w:tc>
          <w:tcPr>
            <w:tcW w:w="0" w:type="auto"/>
            <w:hideMark/>
          </w:tcPr>
          <w:p w14:paraId="2236E04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w:t>
            </w:r>
          </w:p>
        </w:tc>
      </w:tr>
      <w:tr w:rsidR="004C6D6D" w:rsidRPr="004C6D6D" w14:paraId="75E9B34A" w14:textId="77777777" w:rsidTr="004C6D6D">
        <w:tc>
          <w:tcPr>
            <w:tcW w:w="0" w:type="auto"/>
            <w:hideMark/>
          </w:tcPr>
          <w:p w14:paraId="64C75F3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Gas ownership / unitization framework</w:t>
            </w:r>
          </w:p>
        </w:tc>
        <w:tc>
          <w:tcPr>
            <w:tcW w:w="0" w:type="auto"/>
            <w:hideMark/>
          </w:tcPr>
          <w:p w14:paraId="4F9D1D5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Yoyo-Yolanda complete; others pending</w:t>
            </w:r>
          </w:p>
        </w:tc>
        <w:tc>
          <w:tcPr>
            <w:tcW w:w="0" w:type="auto"/>
            <w:hideMark/>
          </w:tcPr>
          <w:p w14:paraId="597B9AA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w:t>
            </w:r>
          </w:p>
        </w:tc>
      </w:tr>
      <w:tr w:rsidR="004C6D6D" w:rsidRPr="004C6D6D" w14:paraId="5AC32799" w14:textId="77777777" w:rsidTr="004C6D6D">
        <w:tc>
          <w:tcPr>
            <w:tcW w:w="0" w:type="auto"/>
            <w:hideMark/>
          </w:tcPr>
          <w:p w14:paraId="219012EC"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Transportation tariffs</w:t>
            </w:r>
          </w:p>
        </w:tc>
        <w:tc>
          <w:tcPr>
            <w:tcW w:w="0" w:type="auto"/>
            <w:hideMark/>
          </w:tcPr>
          <w:p w14:paraId="2F32B71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Not yet set</w:t>
            </w:r>
          </w:p>
        </w:tc>
        <w:tc>
          <w:tcPr>
            <w:tcW w:w="0" w:type="auto"/>
            <w:hideMark/>
          </w:tcPr>
          <w:p w14:paraId="47A6882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Critical</w:t>
            </w:r>
          </w:p>
        </w:tc>
      </w:tr>
      <w:tr w:rsidR="004C6D6D" w:rsidRPr="004C6D6D" w14:paraId="6B1549FA" w14:textId="77777777" w:rsidTr="004C6D6D">
        <w:tc>
          <w:tcPr>
            <w:tcW w:w="0" w:type="auto"/>
            <w:hideMark/>
          </w:tcPr>
          <w:p w14:paraId="0BD2FF16"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Fiscal terms for regional gas</w:t>
            </w:r>
          </w:p>
        </w:tc>
        <w:tc>
          <w:tcPr>
            <w:tcW w:w="0" w:type="auto"/>
            <w:hideMark/>
          </w:tcPr>
          <w:p w14:paraId="3890B50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Under negotiation</w:t>
            </w:r>
          </w:p>
        </w:tc>
        <w:tc>
          <w:tcPr>
            <w:tcW w:w="0" w:type="auto"/>
            <w:hideMark/>
          </w:tcPr>
          <w:p w14:paraId="227E873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Critical</w:t>
            </w:r>
          </w:p>
        </w:tc>
      </w:tr>
      <w:tr w:rsidR="004C6D6D" w:rsidRPr="004C6D6D" w14:paraId="7A668C44" w14:textId="77777777" w:rsidTr="004C6D6D">
        <w:tc>
          <w:tcPr>
            <w:tcW w:w="0" w:type="auto"/>
            <w:hideMark/>
          </w:tcPr>
          <w:p w14:paraId="2AC3DA3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Cross-border taxation protocol</w:t>
            </w:r>
          </w:p>
        </w:tc>
        <w:tc>
          <w:tcPr>
            <w:tcW w:w="0" w:type="auto"/>
            <w:hideMark/>
          </w:tcPr>
          <w:p w14:paraId="3697DE2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Not yet established</w:t>
            </w:r>
          </w:p>
        </w:tc>
        <w:tc>
          <w:tcPr>
            <w:tcW w:w="0" w:type="auto"/>
            <w:hideMark/>
          </w:tcPr>
          <w:p w14:paraId="7B334EE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Medium</w:t>
            </w:r>
          </w:p>
        </w:tc>
      </w:tr>
      <w:tr w:rsidR="004C6D6D" w:rsidRPr="004C6D6D" w14:paraId="04BEC9AD" w14:textId="77777777" w:rsidTr="004C6D6D">
        <w:tc>
          <w:tcPr>
            <w:tcW w:w="0" w:type="auto"/>
            <w:hideMark/>
          </w:tcPr>
          <w:p w14:paraId="4B200E4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Gas measurement and quality standards</w:t>
            </w:r>
          </w:p>
        </w:tc>
        <w:tc>
          <w:tcPr>
            <w:tcW w:w="0" w:type="auto"/>
            <w:hideMark/>
          </w:tcPr>
          <w:p w14:paraId="27CFAFB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 xml:space="preserve">EG standards exist; regional </w:t>
            </w:r>
            <w:proofErr w:type="spellStart"/>
            <w:r w:rsidRPr="004C6D6D">
              <w:rPr>
                <w:rFonts w:ascii="Times New Roman" w:hAnsi="Times New Roman" w:cs="Times New Roman"/>
              </w:rPr>
              <w:t>harmonisation</w:t>
            </w:r>
            <w:proofErr w:type="spellEnd"/>
            <w:r w:rsidRPr="004C6D6D">
              <w:rPr>
                <w:rFonts w:ascii="Times New Roman" w:hAnsi="Times New Roman" w:cs="Times New Roman"/>
              </w:rPr>
              <w:t xml:space="preserve"> needed</w:t>
            </w:r>
          </w:p>
        </w:tc>
        <w:tc>
          <w:tcPr>
            <w:tcW w:w="0" w:type="auto"/>
            <w:hideMark/>
          </w:tcPr>
          <w:p w14:paraId="659448E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Medium</w:t>
            </w:r>
          </w:p>
        </w:tc>
      </w:tr>
      <w:tr w:rsidR="004C6D6D" w:rsidRPr="004C6D6D" w14:paraId="45BBBD35" w14:textId="77777777" w:rsidTr="004C6D6D">
        <w:tc>
          <w:tcPr>
            <w:tcW w:w="0" w:type="auto"/>
            <w:hideMark/>
          </w:tcPr>
          <w:p w14:paraId="264BA4F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Contract enforcement mechanism</w:t>
            </w:r>
          </w:p>
        </w:tc>
        <w:tc>
          <w:tcPr>
            <w:tcW w:w="0" w:type="auto"/>
            <w:hideMark/>
          </w:tcPr>
          <w:p w14:paraId="3F03D37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Domestic courts + international arbitration</w:t>
            </w:r>
          </w:p>
        </w:tc>
        <w:tc>
          <w:tcPr>
            <w:tcW w:w="0" w:type="auto"/>
            <w:hideMark/>
          </w:tcPr>
          <w:p w14:paraId="10D4909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Medium</w:t>
            </w:r>
          </w:p>
        </w:tc>
      </w:tr>
      <w:tr w:rsidR="004C6D6D" w:rsidRPr="004C6D6D" w14:paraId="535AF999" w14:textId="77777777" w:rsidTr="004C6D6D">
        <w:tc>
          <w:tcPr>
            <w:tcW w:w="0" w:type="auto"/>
            <w:hideMark/>
          </w:tcPr>
          <w:p w14:paraId="4E56779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lastRenderedPageBreak/>
              <w:t>Third-party access regulation</w:t>
            </w:r>
          </w:p>
        </w:tc>
        <w:tc>
          <w:tcPr>
            <w:tcW w:w="0" w:type="auto"/>
            <w:hideMark/>
          </w:tcPr>
          <w:p w14:paraId="6637A84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MMH developing framework</w:t>
            </w:r>
          </w:p>
        </w:tc>
        <w:tc>
          <w:tcPr>
            <w:tcW w:w="0" w:type="auto"/>
            <w:hideMark/>
          </w:tcPr>
          <w:p w14:paraId="0040DC9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w:t>
            </w:r>
          </w:p>
        </w:tc>
      </w:tr>
      <w:tr w:rsidR="004C6D6D" w:rsidRPr="004C6D6D" w14:paraId="558B45C4" w14:textId="77777777" w:rsidTr="004C6D6D">
        <w:tc>
          <w:tcPr>
            <w:tcW w:w="0" w:type="auto"/>
            <w:hideMark/>
          </w:tcPr>
          <w:p w14:paraId="642648A2"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Political risk insurance</w:t>
            </w:r>
          </w:p>
        </w:tc>
        <w:tc>
          <w:tcPr>
            <w:tcW w:w="0" w:type="auto"/>
            <w:hideMark/>
          </w:tcPr>
          <w:p w14:paraId="2BBD663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Available (MIGA, ATI)</w:t>
            </w:r>
          </w:p>
        </w:tc>
        <w:tc>
          <w:tcPr>
            <w:tcW w:w="0" w:type="auto"/>
            <w:hideMark/>
          </w:tcPr>
          <w:p w14:paraId="1C070D0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Recommended</w:t>
            </w:r>
          </w:p>
        </w:tc>
      </w:tr>
    </w:tbl>
    <w:p w14:paraId="5B005EF2" w14:textId="3B512EAC" w:rsidR="004C6D6D" w:rsidRPr="004C6D6D" w:rsidRDefault="004C6D6D" w:rsidP="004C6D6D">
      <w:pPr>
        <w:jc w:val="both"/>
        <w:rPr>
          <w:rFonts w:ascii="Times New Roman" w:hAnsi="Times New Roman" w:cs="Times New Roman"/>
        </w:rPr>
      </w:pPr>
    </w:p>
    <w:p w14:paraId="23AB3602" w14:textId="05473A57"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12. Project and Infrastructure Risk Assessment</w:t>
      </w:r>
    </w:p>
    <w:tbl>
      <w:tblPr>
        <w:tblStyle w:val="TableGrid"/>
        <w:tblW w:w="0" w:type="auto"/>
        <w:tblLook w:val="04A0" w:firstRow="1" w:lastRow="0" w:firstColumn="1" w:lastColumn="0" w:noHBand="0" w:noVBand="1"/>
      </w:tblPr>
      <w:tblGrid>
        <w:gridCol w:w="2536"/>
        <w:gridCol w:w="1434"/>
        <w:gridCol w:w="1267"/>
        <w:gridCol w:w="4113"/>
      </w:tblGrid>
      <w:tr w:rsidR="004C6D6D" w:rsidRPr="004C6D6D" w14:paraId="5AF1EEA2" w14:textId="77777777" w:rsidTr="004C6D6D">
        <w:tc>
          <w:tcPr>
            <w:tcW w:w="0" w:type="auto"/>
            <w:hideMark/>
          </w:tcPr>
          <w:p w14:paraId="7A43AE62"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Risk</w:t>
            </w:r>
          </w:p>
        </w:tc>
        <w:tc>
          <w:tcPr>
            <w:tcW w:w="0" w:type="auto"/>
            <w:hideMark/>
          </w:tcPr>
          <w:p w14:paraId="1185E6A2"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Probability</w:t>
            </w:r>
          </w:p>
        </w:tc>
        <w:tc>
          <w:tcPr>
            <w:tcW w:w="0" w:type="auto"/>
            <w:hideMark/>
          </w:tcPr>
          <w:p w14:paraId="58ED803C"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Impact</w:t>
            </w:r>
          </w:p>
        </w:tc>
        <w:tc>
          <w:tcPr>
            <w:tcW w:w="0" w:type="auto"/>
            <w:hideMark/>
          </w:tcPr>
          <w:p w14:paraId="2A5D5E28" w14:textId="77777777" w:rsidR="004C6D6D" w:rsidRPr="004C6D6D" w:rsidRDefault="004C6D6D" w:rsidP="004C6D6D">
            <w:pPr>
              <w:spacing w:after="160" w:line="278" w:lineRule="auto"/>
              <w:jc w:val="both"/>
              <w:rPr>
                <w:rFonts w:ascii="Times New Roman" w:hAnsi="Times New Roman" w:cs="Times New Roman"/>
                <w:b/>
                <w:bCs/>
              </w:rPr>
            </w:pPr>
            <w:r w:rsidRPr="004C6D6D">
              <w:rPr>
                <w:rFonts w:ascii="Times New Roman" w:hAnsi="Times New Roman" w:cs="Times New Roman"/>
                <w:b/>
                <w:bCs/>
              </w:rPr>
              <w:t>Mitigation</w:t>
            </w:r>
          </w:p>
        </w:tc>
      </w:tr>
      <w:tr w:rsidR="004C6D6D" w:rsidRPr="004C6D6D" w14:paraId="65E15499" w14:textId="77777777" w:rsidTr="004C6D6D">
        <w:tc>
          <w:tcPr>
            <w:tcW w:w="0" w:type="auto"/>
            <w:hideMark/>
          </w:tcPr>
          <w:p w14:paraId="0E5CAF5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Feedstock shortage</w:t>
            </w:r>
          </w:p>
        </w:tc>
        <w:tc>
          <w:tcPr>
            <w:tcW w:w="0" w:type="auto"/>
            <w:hideMark/>
          </w:tcPr>
          <w:p w14:paraId="14BF8B6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 (4/5)</w:t>
            </w:r>
          </w:p>
        </w:tc>
        <w:tc>
          <w:tcPr>
            <w:tcW w:w="0" w:type="auto"/>
            <w:hideMark/>
          </w:tcPr>
          <w:p w14:paraId="1354A0E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Very High (5/5)</w:t>
            </w:r>
          </w:p>
        </w:tc>
        <w:tc>
          <w:tcPr>
            <w:tcW w:w="0" w:type="auto"/>
            <w:hideMark/>
          </w:tcPr>
          <w:p w14:paraId="30AC87C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Accelerate Yoyo-Yolanda FID; diversify to Nigerian supply; enforce drilling commitments</w:t>
            </w:r>
          </w:p>
        </w:tc>
      </w:tr>
      <w:tr w:rsidR="004C6D6D" w:rsidRPr="004C6D6D" w14:paraId="27A1C983" w14:textId="77777777" w:rsidTr="004C6D6D">
        <w:tc>
          <w:tcPr>
            <w:tcW w:w="0" w:type="auto"/>
            <w:hideMark/>
          </w:tcPr>
          <w:p w14:paraId="10776F17"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Pipeline delays</w:t>
            </w:r>
          </w:p>
        </w:tc>
        <w:tc>
          <w:tcPr>
            <w:tcW w:w="0" w:type="auto"/>
            <w:hideMark/>
          </w:tcPr>
          <w:p w14:paraId="50ED8259"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Medium (3/5)</w:t>
            </w:r>
          </w:p>
        </w:tc>
        <w:tc>
          <w:tcPr>
            <w:tcW w:w="0" w:type="auto"/>
            <w:hideMark/>
          </w:tcPr>
          <w:p w14:paraId="42AE64A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 (4/5)</w:t>
            </w:r>
          </w:p>
        </w:tc>
        <w:tc>
          <w:tcPr>
            <w:tcW w:w="0" w:type="auto"/>
            <w:hideMark/>
          </w:tcPr>
          <w:p w14:paraId="3757353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Front-end engineering; pre-order long-lead items; dual-source contractors</w:t>
            </w:r>
          </w:p>
        </w:tc>
      </w:tr>
      <w:tr w:rsidR="004C6D6D" w:rsidRPr="004C6D6D" w14:paraId="147A7AB5" w14:textId="77777777" w:rsidTr="004C6D6D">
        <w:tc>
          <w:tcPr>
            <w:tcW w:w="0" w:type="auto"/>
            <w:hideMark/>
          </w:tcPr>
          <w:p w14:paraId="04BC7F7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Gas quality incompatibility</w:t>
            </w:r>
          </w:p>
        </w:tc>
        <w:tc>
          <w:tcPr>
            <w:tcW w:w="0" w:type="auto"/>
            <w:hideMark/>
          </w:tcPr>
          <w:p w14:paraId="4E726F5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 (2/5)</w:t>
            </w:r>
          </w:p>
        </w:tc>
        <w:tc>
          <w:tcPr>
            <w:tcW w:w="0" w:type="auto"/>
            <w:hideMark/>
          </w:tcPr>
          <w:p w14:paraId="172538A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Medium (3/5)</w:t>
            </w:r>
          </w:p>
        </w:tc>
        <w:tc>
          <w:tcPr>
            <w:tcW w:w="0" w:type="auto"/>
            <w:hideMark/>
          </w:tcPr>
          <w:p w14:paraId="09FB9B1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Pre-commissioning gas blending studies; modular treatment units</w:t>
            </w:r>
          </w:p>
        </w:tc>
      </w:tr>
      <w:tr w:rsidR="004C6D6D" w:rsidRPr="004C6D6D" w14:paraId="6D7DD826" w14:textId="77777777" w:rsidTr="004C6D6D">
        <w:tc>
          <w:tcPr>
            <w:tcW w:w="0" w:type="auto"/>
            <w:hideMark/>
          </w:tcPr>
          <w:p w14:paraId="39C23D0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Cross-border regulatory risk</w:t>
            </w:r>
          </w:p>
        </w:tc>
        <w:tc>
          <w:tcPr>
            <w:tcW w:w="0" w:type="auto"/>
            <w:hideMark/>
          </w:tcPr>
          <w:p w14:paraId="6BAD30FA"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 (4/5)</w:t>
            </w:r>
          </w:p>
        </w:tc>
        <w:tc>
          <w:tcPr>
            <w:tcW w:w="0" w:type="auto"/>
            <w:hideMark/>
          </w:tcPr>
          <w:p w14:paraId="6E3CE06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 (4/5)</w:t>
            </w:r>
          </w:p>
        </w:tc>
        <w:tc>
          <w:tcPr>
            <w:tcW w:w="0" w:type="auto"/>
            <w:hideMark/>
          </w:tcPr>
          <w:p w14:paraId="307AAE4F"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Binding treaties; international arbitration clauses; political risk insurance</w:t>
            </w:r>
          </w:p>
        </w:tc>
      </w:tr>
      <w:tr w:rsidR="004C6D6D" w:rsidRPr="004C6D6D" w14:paraId="25EA2D22" w14:textId="77777777" w:rsidTr="004C6D6D">
        <w:tc>
          <w:tcPr>
            <w:tcW w:w="0" w:type="auto"/>
            <w:hideMark/>
          </w:tcPr>
          <w:p w14:paraId="0FDA26A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LNG market volatility</w:t>
            </w:r>
          </w:p>
        </w:tc>
        <w:tc>
          <w:tcPr>
            <w:tcW w:w="0" w:type="auto"/>
            <w:hideMark/>
          </w:tcPr>
          <w:p w14:paraId="3F09065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Medium (3/5)</w:t>
            </w:r>
          </w:p>
        </w:tc>
        <w:tc>
          <w:tcPr>
            <w:tcW w:w="0" w:type="auto"/>
            <w:hideMark/>
          </w:tcPr>
          <w:p w14:paraId="5846251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 (4/5)</w:t>
            </w:r>
          </w:p>
        </w:tc>
        <w:tc>
          <w:tcPr>
            <w:tcW w:w="0" w:type="auto"/>
            <w:hideMark/>
          </w:tcPr>
          <w:p w14:paraId="160A584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Long-term offtake contracts; portfolio diversification; hedging</w:t>
            </w:r>
          </w:p>
        </w:tc>
      </w:tr>
      <w:tr w:rsidR="004C6D6D" w:rsidRPr="004C6D6D" w14:paraId="1942E1DB" w14:textId="77777777" w:rsidTr="004C6D6D">
        <w:tc>
          <w:tcPr>
            <w:tcW w:w="0" w:type="auto"/>
            <w:hideMark/>
          </w:tcPr>
          <w:p w14:paraId="23D23CC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Upstream project delays</w:t>
            </w:r>
          </w:p>
        </w:tc>
        <w:tc>
          <w:tcPr>
            <w:tcW w:w="0" w:type="auto"/>
            <w:hideMark/>
          </w:tcPr>
          <w:p w14:paraId="5373814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Medium (3/5)</w:t>
            </w:r>
          </w:p>
        </w:tc>
        <w:tc>
          <w:tcPr>
            <w:tcW w:w="0" w:type="auto"/>
            <w:hideMark/>
          </w:tcPr>
          <w:p w14:paraId="1134585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 (4/5)</w:t>
            </w:r>
          </w:p>
        </w:tc>
        <w:tc>
          <w:tcPr>
            <w:tcW w:w="0" w:type="auto"/>
            <w:hideMark/>
          </w:tcPr>
          <w:p w14:paraId="202DD4A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Parallel development paths; incentives for operator acceleration</w:t>
            </w:r>
          </w:p>
        </w:tc>
      </w:tr>
      <w:tr w:rsidR="004C6D6D" w:rsidRPr="004C6D6D" w14:paraId="2C73C853" w14:textId="77777777" w:rsidTr="004C6D6D">
        <w:tc>
          <w:tcPr>
            <w:tcW w:w="0" w:type="auto"/>
            <w:hideMark/>
          </w:tcPr>
          <w:p w14:paraId="35DF5F55"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Financing constraints</w:t>
            </w:r>
          </w:p>
        </w:tc>
        <w:tc>
          <w:tcPr>
            <w:tcW w:w="0" w:type="auto"/>
            <w:hideMark/>
          </w:tcPr>
          <w:p w14:paraId="5559126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Medium (3/5)</w:t>
            </w:r>
          </w:p>
        </w:tc>
        <w:tc>
          <w:tcPr>
            <w:tcW w:w="0" w:type="auto"/>
            <w:hideMark/>
          </w:tcPr>
          <w:p w14:paraId="5522C63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Medium (3/5)</w:t>
            </w:r>
          </w:p>
        </w:tc>
        <w:tc>
          <w:tcPr>
            <w:tcW w:w="0" w:type="auto"/>
            <w:hideMark/>
          </w:tcPr>
          <w:p w14:paraId="321A0D0F" w14:textId="77777777" w:rsidR="004C6D6D" w:rsidRPr="004C6D6D" w:rsidRDefault="004C6D6D" w:rsidP="004C6D6D">
            <w:pPr>
              <w:spacing w:after="160" w:line="278" w:lineRule="auto"/>
              <w:jc w:val="both"/>
              <w:rPr>
                <w:rFonts w:ascii="Times New Roman" w:hAnsi="Times New Roman" w:cs="Times New Roman"/>
              </w:rPr>
            </w:pPr>
            <w:proofErr w:type="spellStart"/>
            <w:r w:rsidRPr="004C6D6D">
              <w:rPr>
                <w:rFonts w:ascii="Times New Roman" w:hAnsi="Times New Roman" w:cs="Times New Roman"/>
              </w:rPr>
              <w:t>GEPetrol</w:t>
            </w:r>
            <w:proofErr w:type="spellEnd"/>
            <w:r w:rsidRPr="004C6D6D">
              <w:rPr>
                <w:rFonts w:ascii="Times New Roman" w:hAnsi="Times New Roman" w:cs="Times New Roman"/>
              </w:rPr>
              <w:t xml:space="preserve"> equity participation; development finance; tolling structures</w:t>
            </w:r>
          </w:p>
        </w:tc>
      </w:tr>
      <w:tr w:rsidR="004C6D6D" w:rsidRPr="004C6D6D" w14:paraId="2E2F38F5" w14:textId="77777777" w:rsidTr="004C6D6D">
        <w:tc>
          <w:tcPr>
            <w:tcW w:w="0" w:type="auto"/>
            <w:hideMark/>
          </w:tcPr>
          <w:p w14:paraId="70D8E3C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Reservoir underperformance</w:t>
            </w:r>
          </w:p>
        </w:tc>
        <w:tc>
          <w:tcPr>
            <w:tcW w:w="0" w:type="auto"/>
            <w:hideMark/>
          </w:tcPr>
          <w:p w14:paraId="4BA6478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Medium (3/5)</w:t>
            </w:r>
          </w:p>
        </w:tc>
        <w:tc>
          <w:tcPr>
            <w:tcW w:w="0" w:type="auto"/>
            <w:hideMark/>
          </w:tcPr>
          <w:p w14:paraId="45127C14"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 (4/5)</w:t>
            </w:r>
          </w:p>
        </w:tc>
        <w:tc>
          <w:tcPr>
            <w:tcW w:w="0" w:type="auto"/>
            <w:hideMark/>
          </w:tcPr>
          <w:p w14:paraId="712EDF0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Conservative reserve estimates; phased development; pressure monitoring</w:t>
            </w:r>
          </w:p>
        </w:tc>
      </w:tr>
      <w:tr w:rsidR="004C6D6D" w:rsidRPr="004C6D6D" w14:paraId="73A462E3" w14:textId="77777777" w:rsidTr="004C6D6D">
        <w:tc>
          <w:tcPr>
            <w:tcW w:w="0" w:type="auto"/>
            <w:hideMark/>
          </w:tcPr>
          <w:p w14:paraId="64A8DD01"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Political/regulatory risk</w:t>
            </w:r>
          </w:p>
        </w:tc>
        <w:tc>
          <w:tcPr>
            <w:tcW w:w="0" w:type="auto"/>
            <w:hideMark/>
          </w:tcPr>
          <w:p w14:paraId="3D334C93"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 (4/5)</w:t>
            </w:r>
          </w:p>
        </w:tc>
        <w:tc>
          <w:tcPr>
            <w:tcW w:w="0" w:type="auto"/>
            <w:hideMark/>
          </w:tcPr>
          <w:p w14:paraId="740D7BBD"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High (4/5)</w:t>
            </w:r>
          </w:p>
        </w:tc>
        <w:tc>
          <w:tcPr>
            <w:tcW w:w="0" w:type="auto"/>
            <w:hideMark/>
          </w:tcPr>
          <w:p w14:paraId="445107C8"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Stable fiscal terms; international arbitration; MIGA insurance</w:t>
            </w:r>
          </w:p>
        </w:tc>
      </w:tr>
      <w:tr w:rsidR="004C6D6D" w:rsidRPr="004C6D6D" w14:paraId="4FDD3953" w14:textId="77777777" w:rsidTr="004C6D6D">
        <w:tc>
          <w:tcPr>
            <w:tcW w:w="0" w:type="auto"/>
            <w:hideMark/>
          </w:tcPr>
          <w:p w14:paraId="04729980"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b/>
                <w:bCs/>
              </w:rPr>
              <w:t>Infrastructure failure</w:t>
            </w:r>
          </w:p>
        </w:tc>
        <w:tc>
          <w:tcPr>
            <w:tcW w:w="0" w:type="auto"/>
            <w:hideMark/>
          </w:tcPr>
          <w:p w14:paraId="3B7780DE"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Low (2/5)</w:t>
            </w:r>
          </w:p>
        </w:tc>
        <w:tc>
          <w:tcPr>
            <w:tcW w:w="0" w:type="auto"/>
            <w:hideMark/>
          </w:tcPr>
          <w:p w14:paraId="7297956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Medium (3/5)</w:t>
            </w:r>
          </w:p>
        </w:tc>
        <w:tc>
          <w:tcPr>
            <w:tcW w:w="0" w:type="auto"/>
            <w:hideMark/>
          </w:tcPr>
          <w:p w14:paraId="3C4C22BB" w14:textId="77777777" w:rsidR="004C6D6D" w:rsidRPr="004C6D6D" w:rsidRDefault="004C6D6D" w:rsidP="004C6D6D">
            <w:pPr>
              <w:spacing w:after="160" w:line="278" w:lineRule="auto"/>
              <w:jc w:val="both"/>
              <w:rPr>
                <w:rFonts w:ascii="Times New Roman" w:hAnsi="Times New Roman" w:cs="Times New Roman"/>
              </w:rPr>
            </w:pPr>
            <w:r w:rsidRPr="004C6D6D">
              <w:rPr>
                <w:rFonts w:ascii="Times New Roman" w:hAnsi="Times New Roman" w:cs="Times New Roman"/>
              </w:rPr>
              <w:t>Preventive maintenance; spare capacity; insurance</w:t>
            </w:r>
          </w:p>
        </w:tc>
      </w:tr>
    </w:tbl>
    <w:p w14:paraId="1928A065" w14:textId="5A39205C" w:rsidR="004C6D6D" w:rsidRDefault="004C6D6D" w:rsidP="004C6D6D">
      <w:pPr>
        <w:jc w:val="both"/>
        <w:rPr>
          <w:rFonts w:ascii="Times New Roman" w:hAnsi="Times New Roman" w:cs="Times New Roman"/>
        </w:rPr>
      </w:pPr>
    </w:p>
    <w:p w14:paraId="4414512A" w14:textId="77777777" w:rsidR="004C6D6D" w:rsidRPr="004C6D6D" w:rsidRDefault="004C6D6D" w:rsidP="004C6D6D">
      <w:pPr>
        <w:jc w:val="both"/>
        <w:rPr>
          <w:rFonts w:ascii="Times New Roman" w:hAnsi="Times New Roman" w:cs="Times New Roman"/>
        </w:rPr>
      </w:pPr>
    </w:p>
    <w:p w14:paraId="469DF7E4" w14:textId="333B01C2"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1</w:t>
      </w:r>
      <w:r>
        <w:rPr>
          <w:rFonts w:ascii="Times New Roman" w:hAnsi="Times New Roman" w:cs="Times New Roman"/>
          <w:b/>
          <w:bCs/>
        </w:rPr>
        <w:t>3</w:t>
      </w:r>
      <w:r w:rsidRPr="004C6D6D">
        <w:rPr>
          <w:rFonts w:ascii="Times New Roman" w:hAnsi="Times New Roman" w:cs="Times New Roman"/>
          <w:b/>
          <w:bCs/>
        </w:rPr>
        <w:t>. Strategic Assessment</w:t>
      </w:r>
    </w:p>
    <w:p w14:paraId="353BBE52" w14:textId="38DCEC13"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1</w:t>
      </w:r>
      <w:r>
        <w:rPr>
          <w:rFonts w:ascii="Times New Roman" w:hAnsi="Times New Roman" w:cs="Times New Roman"/>
          <w:b/>
          <w:bCs/>
        </w:rPr>
        <w:t>3</w:t>
      </w:r>
      <w:r w:rsidRPr="004C6D6D">
        <w:rPr>
          <w:rFonts w:ascii="Times New Roman" w:hAnsi="Times New Roman" w:cs="Times New Roman"/>
          <w:b/>
          <w:bCs/>
        </w:rPr>
        <w:t>.1 Five Critical Questions</w:t>
      </w:r>
    </w:p>
    <w:p w14:paraId="5001171F"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lastRenderedPageBreak/>
        <w:t xml:space="preserve">1. How much additional gas does Punta Europa require to sustain high LNG </w:t>
      </w:r>
      <w:proofErr w:type="spellStart"/>
      <w:r w:rsidRPr="004C6D6D">
        <w:rPr>
          <w:rFonts w:ascii="Times New Roman" w:hAnsi="Times New Roman" w:cs="Times New Roman"/>
          <w:b/>
          <w:bCs/>
        </w:rPr>
        <w:t>utilisation</w:t>
      </w:r>
      <w:proofErr w:type="spellEnd"/>
      <w:r w:rsidRPr="004C6D6D">
        <w:rPr>
          <w:rFonts w:ascii="Times New Roman" w:hAnsi="Times New Roman" w:cs="Times New Roman"/>
          <w:b/>
          <w:bCs/>
        </w:rPr>
        <w:t xml:space="preserve"> beyond existing domestic supply?</w:t>
      </w:r>
    </w:p>
    <w:p w14:paraId="54E0D71A"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rPr>
        <w:t xml:space="preserve">Approximately </w:t>
      </w:r>
      <w:r w:rsidRPr="004C6D6D">
        <w:rPr>
          <w:rFonts w:ascii="Times New Roman" w:hAnsi="Times New Roman" w:cs="Times New Roman"/>
          <w:b/>
          <w:bCs/>
        </w:rPr>
        <w:t xml:space="preserve">300–400 </w:t>
      </w:r>
      <w:proofErr w:type="spellStart"/>
      <w:r w:rsidRPr="004C6D6D">
        <w:rPr>
          <w:rFonts w:ascii="Times New Roman" w:hAnsi="Times New Roman" w:cs="Times New Roman"/>
          <w:b/>
          <w:bCs/>
        </w:rPr>
        <w:t>MMscf</w:t>
      </w:r>
      <w:proofErr w:type="spellEnd"/>
      <w:r w:rsidRPr="004C6D6D">
        <w:rPr>
          <w:rFonts w:ascii="Times New Roman" w:hAnsi="Times New Roman" w:cs="Times New Roman"/>
          <w:b/>
          <w:bCs/>
        </w:rPr>
        <w:t>/d of additional, sustained supply</w:t>
      </w:r>
      <w:r w:rsidRPr="004C6D6D">
        <w:rPr>
          <w:rFonts w:ascii="Times New Roman" w:hAnsi="Times New Roman" w:cs="Times New Roman"/>
        </w:rPr>
        <w:t xml:space="preserve"> is required from regional sources by the early 2030s to maintain EG LNG at &gt;90% </w:t>
      </w:r>
      <w:proofErr w:type="spellStart"/>
      <w:r w:rsidRPr="004C6D6D">
        <w:rPr>
          <w:rFonts w:ascii="Times New Roman" w:hAnsi="Times New Roman" w:cs="Times New Roman"/>
        </w:rPr>
        <w:t>utilisation</w:t>
      </w:r>
      <w:proofErr w:type="spellEnd"/>
      <w:r w:rsidRPr="004C6D6D">
        <w:rPr>
          <w:rFonts w:ascii="Times New Roman" w:hAnsi="Times New Roman" w:cs="Times New Roman"/>
        </w:rPr>
        <w:t xml:space="preserve">. This assumes Alba declines to &lt;50 </w:t>
      </w:r>
      <w:proofErr w:type="spellStart"/>
      <w:r w:rsidRPr="004C6D6D">
        <w:rPr>
          <w:rFonts w:ascii="Times New Roman" w:hAnsi="Times New Roman" w:cs="Times New Roman"/>
        </w:rPr>
        <w:t>MMscf</w:t>
      </w:r>
      <w:proofErr w:type="spellEnd"/>
      <w:r w:rsidRPr="004C6D6D">
        <w:rPr>
          <w:rFonts w:ascii="Times New Roman" w:hAnsi="Times New Roman" w:cs="Times New Roman"/>
        </w:rPr>
        <w:t xml:space="preserve">/d and Alen declines to &lt;100 </w:t>
      </w:r>
      <w:proofErr w:type="spellStart"/>
      <w:r w:rsidRPr="004C6D6D">
        <w:rPr>
          <w:rFonts w:ascii="Times New Roman" w:hAnsi="Times New Roman" w:cs="Times New Roman"/>
        </w:rPr>
        <w:t>MMscf</w:t>
      </w:r>
      <w:proofErr w:type="spellEnd"/>
      <w:r w:rsidRPr="004C6D6D">
        <w:rPr>
          <w:rFonts w:ascii="Times New Roman" w:hAnsi="Times New Roman" w:cs="Times New Roman"/>
        </w:rPr>
        <w:t>/d by 2035.</w:t>
      </w:r>
    </w:p>
    <w:p w14:paraId="50A8EE4A"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2. Can Equatorial Guinea's domestic resources alone provide long-term feedstock security?</w:t>
      </w:r>
    </w:p>
    <w:p w14:paraId="7BCA71A8"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No.</w:t>
      </w:r>
      <w:r w:rsidRPr="004C6D6D">
        <w:rPr>
          <w:rFonts w:ascii="Times New Roman" w:hAnsi="Times New Roman" w:cs="Times New Roman"/>
        </w:rPr>
        <w:t xml:space="preserve"> Confirmed domestic resources (Alba, Alen, Aseng, and near-field prospects) total approximately 1.0–1.2 </w:t>
      </w:r>
      <w:proofErr w:type="spellStart"/>
      <w:r w:rsidRPr="004C6D6D">
        <w:rPr>
          <w:rFonts w:ascii="Times New Roman" w:hAnsi="Times New Roman" w:cs="Times New Roman"/>
        </w:rPr>
        <w:t>Tcf</w:t>
      </w:r>
      <w:proofErr w:type="spellEnd"/>
      <w:r w:rsidRPr="004C6D6D">
        <w:rPr>
          <w:rFonts w:ascii="Times New Roman" w:hAnsi="Times New Roman" w:cs="Times New Roman"/>
        </w:rPr>
        <w:t xml:space="preserve"> of recoverable gas. At required consumption rates, this provides at most 8–10 years of full-</w:t>
      </w:r>
      <w:proofErr w:type="spellStart"/>
      <w:r w:rsidRPr="004C6D6D">
        <w:rPr>
          <w:rFonts w:ascii="Times New Roman" w:hAnsi="Times New Roman" w:cs="Times New Roman"/>
        </w:rPr>
        <w:t>utilisation</w:t>
      </w:r>
      <w:proofErr w:type="spellEnd"/>
      <w:r w:rsidRPr="004C6D6D">
        <w:rPr>
          <w:rFonts w:ascii="Times New Roman" w:hAnsi="Times New Roman" w:cs="Times New Roman"/>
        </w:rPr>
        <w:t xml:space="preserve"> supply. Without regional aggregation, Punta Europa faces a structural deficit from 2028 onward.</w:t>
      </w:r>
    </w:p>
    <w:p w14:paraId="20774600"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3. Which regional gas resources are technically and commercially closest to Punta Europa?</w:t>
      </w:r>
    </w:p>
    <w:p w14:paraId="1AC52D2B"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rPr>
        <w:t>In order of proximity and readiness:</w:t>
      </w:r>
    </w:p>
    <w:p w14:paraId="196282D2" w14:textId="77777777" w:rsidR="004C6D6D" w:rsidRPr="004C6D6D" w:rsidRDefault="004C6D6D" w:rsidP="004C6D6D">
      <w:pPr>
        <w:numPr>
          <w:ilvl w:val="0"/>
          <w:numId w:val="17"/>
        </w:numPr>
        <w:jc w:val="both"/>
        <w:rPr>
          <w:rFonts w:ascii="Times New Roman" w:hAnsi="Times New Roman" w:cs="Times New Roman"/>
        </w:rPr>
      </w:pPr>
      <w:r w:rsidRPr="004C6D6D">
        <w:rPr>
          <w:rFonts w:ascii="Times New Roman" w:hAnsi="Times New Roman" w:cs="Times New Roman"/>
          <w:b/>
          <w:bCs/>
        </w:rPr>
        <w:t>Yoyo-Yolanda</w:t>
      </w:r>
      <w:r w:rsidRPr="004C6D6D">
        <w:rPr>
          <w:rFonts w:ascii="Times New Roman" w:hAnsi="Times New Roman" w:cs="Times New Roman"/>
        </w:rPr>
        <w:t xml:space="preserve"> (2.5 </w:t>
      </w:r>
      <w:proofErr w:type="spellStart"/>
      <w:r w:rsidRPr="004C6D6D">
        <w:rPr>
          <w:rFonts w:ascii="Times New Roman" w:hAnsi="Times New Roman" w:cs="Times New Roman"/>
        </w:rPr>
        <w:t>Tcf</w:t>
      </w:r>
      <w:proofErr w:type="spellEnd"/>
      <w:r w:rsidRPr="004C6D6D">
        <w:rPr>
          <w:rFonts w:ascii="Times New Roman" w:hAnsi="Times New Roman" w:cs="Times New Roman"/>
        </w:rPr>
        <w:t>; unitized; Chevron-operated; tie-back to Alen)</w:t>
      </w:r>
    </w:p>
    <w:p w14:paraId="73416E9B" w14:textId="77777777" w:rsidR="004C6D6D" w:rsidRPr="004C6D6D" w:rsidRDefault="004C6D6D" w:rsidP="004C6D6D">
      <w:pPr>
        <w:numPr>
          <w:ilvl w:val="0"/>
          <w:numId w:val="17"/>
        </w:numPr>
        <w:jc w:val="both"/>
        <w:rPr>
          <w:rFonts w:ascii="Times New Roman" w:hAnsi="Times New Roman" w:cs="Times New Roman"/>
        </w:rPr>
      </w:pPr>
      <w:r w:rsidRPr="004C6D6D">
        <w:rPr>
          <w:rFonts w:ascii="Times New Roman" w:hAnsi="Times New Roman" w:cs="Times New Roman"/>
          <w:b/>
          <w:bCs/>
        </w:rPr>
        <w:t>Etinde</w:t>
      </w:r>
      <w:r w:rsidRPr="004C6D6D">
        <w:rPr>
          <w:rFonts w:ascii="Times New Roman" w:hAnsi="Times New Roman" w:cs="Times New Roman"/>
        </w:rPr>
        <w:t xml:space="preserve"> (Cameroon; Perenco-operated; potential Punta Europa route)</w:t>
      </w:r>
    </w:p>
    <w:p w14:paraId="303D129E" w14:textId="77777777" w:rsidR="004C6D6D" w:rsidRPr="004C6D6D" w:rsidRDefault="004C6D6D" w:rsidP="004C6D6D">
      <w:pPr>
        <w:numPr>
          <w:ilvl w:val="0"/>
          <w:numId w:val="17"/>
        </w:numPr>
        <w:jc w:val="both"/>
        <w:rPr>
          <w:rFonts w:ascii="Times New Roman" w:hAnsi="Times New Roman" w:cs="Times New Roman"/>
        </w:rPr>
      </w:pPr>
      <w:r w:rsidRPr="004C6D6D">
        <w:rPr>
          <w:rFonts w:ascii="Times New Roman" w:hAnsi="Times New Roman" w:cs="Times New Roman"/>
          <w:b/>
          <w:bCs/>
        </w:rPr>
        <w:t>ConocoPhillips Blocks EG-27/B/4</w:t>
      </w:r>
      <w:r w:rsidRPr="004C6D6D">
        <w:rPr>
          <w:rFonts w:ascii="Times New Roman" w:hAnsi="Times New Roman" w:cs="Times New Roman"/>
        </w:rPr>
        <w:t xml:space="preserve"> (3.5 </w:t>
      </w:r>
      <w:proofErr w:type="spellStart"/>
      <w:r w:rsidRPr="004C6D6D">
        <w:rPr>
          <w:rFonts w:ascii="Times New Roman" w:hAnsi="Times New Roman" w:cs="Times New Roman"/>
        </w:rPr>
        <w:t>Tcf</w:t>
      </w:r>
      <w:proofErr w:type="spellEnd"/>
      <w:r w:rsidRPr="004C6D6D">
        <w:rPr>
          <w:rFonts w:ascii="Times New Roman" w:hAnsi="Times New Roman" w:cs="Times New Roman"/>
        </w:rPr>
        <w:t>; HOA signed; longer development timeline)</w:t>
      </w:r>
    </w:p>
    <w:p w14:paraId="31FFF6DD" w14:textId="77777777" w:rsidR="004C6D6D" w:rsidRPr="004C6D6D" w:rsidRDefault="004C6D6D" w:rsidP="004C6D6D">
      <w:pPr>
        <w:numPr>
          <w:ilvl w:val="0"/>
          <w:numId w:val="17"/>
        </w:numPr>
        <w:jc w:val="both"/>
        <w:rPr>
          <w:rFonts w:ascii="Times New Roman" w:hAnsi="Times New Roman" w:cs="Times New Roman"/>
        </w:rPr>
      </w:pPr>
      <w:r w:rsidRPr="004C6D6D">
        <w:rPr>
          <w:rFonts w:ascii="Times New Roman" w:hAnsi="Times New Roman" w:cs="Times New Roman"/>
          <w:b/>
          <w:bCs/>
        </w:rPr>
        <w:t>Nigerian gas via GOGGP</w:t>
      </w:r>
      <w:r w:rsidRPr="004C6D6D">
        <w:rPr>
          <w:rFonts w:ascii="Times New Roman" w:hAnsi="Times New Roman" w:cs="Times New Roman"/>
        </w:rPr>
        <w:t xml:space="preserve"> (largest resource; highest commercial and political risk)</w:t>
      </w:r>
    </w:p>
    <w:p w14:paraId="43AE505B"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4. What infrastructure and commercial agreements are required to integrate those resources?</w:t>
      </w:r>
    </w:p>
    <w:p w14:paraId="114D8542" w14:textId="77777777" w:rsidR="004C6D6D" w:rsidRPr="004C6D6D" w:rsidRDefault="004C6D6D" w:rsidP="004C6D6D">
      <w:pPr>
        <w:numPr>
          <w:ilvl w:val="0"/>
          <w:numId w:val="18"/>
        </w:numPr>
        <w:jc w:val="both"/>
        <w:rPr>
          <w:rFonts w:ascii="Times New Roman" w:hAnsi="Times New Roman" w:cs="Times New Roman"/>
        </w:rPr>
      </w:pPr>
      <w:r w:rsidRPr="004C6D6D">
        <w:rPr>
          <w:rFonts w:ascii="Times New Roman" w:hAnsi="Times New Roman" w:cs="Times New Roman"/>
          <w:b/>
          <w:bCs/>
        </w:rPr>
        <w:t>Yoyo-Yolanda:</w:t>
      </w:r>
      <w:r w:rsidRPr="004C6D6D">
        <w:rPr>
          <w:rFonts w:ascii="Times New Roman" w:hAnsi="Times New Roman" w:cs="Times New Roman"/>
        </w:rPr>
        <w:t xml:space="preserve"> FID by 2028; subsea tie-back construction ($1–1.5bn); gas sales agreement between Chevron, SNH, and </w:t>
      </w:r>
      <w:proofErr w:type="spellStart"/>
      <w:r w:rsidRPr="004C6D6D">
        <w:rPr>
          <w:rFonts w:ascii="Times New Roman" w:hAnsi="Times New Roman" w:cs="Times New Roman"/>
        </w:rPr>
        <w:t>GEPetrol</w:t>
      </w:r>
      <w:proofErr w:type="spellEnd"/>
      <w:r w:rsidRPr="004C6D6D">
        <w:rPr>
          <w:rFonts w:ascii="Times New Roman" w:hAnsi="Times New Roman" w:cs="Times New Roman"/>
        </w:rPr>
        <w:t>; tariff structure for Punta Europa processing.</w:t>
      </w:r>
    </w:p>
    <w:p w14:paraId="65FDF26A" w14:textId="77777777" w:rsidR="004C6D6D" w:rsidRPr="004C6D6D" w:rsidRDefault="004C6D6D" w:rsidP="004C6D6D">
      <w:pPr>
        <w:numPr>
          <w:ilvl w:val="0"/>
          <w:numId w:val="18"/>
        </w:numPr>
        <w:jc w:val="both"/>
        <w:rPr>
          <w:rFonts w:ascii="Times New Roman" w:hAnsi="Times New Roman" w:cs="Times New Roman"/>
        </w:rPr>
      </w:pPr>
      <w:r w:rsidRPr="004C6D6D">
        <w:rPr>
          <w:rFonts w:ascii="Times New Roman" w:hAnsi="Times New Roman" w:cs="Times New Roman"/>
          <w:b/>
          <w:bCs/>
        </w:rPr>
        <w:t>Cameroon integration:</w:t>
      </w:r>
      <w:r w:rsidRPr="004C6D6D">
        <w:rPr>
          <w:rFonts w:ascii="Times New Roman" w:hAnsi="Times New Roman" w:cs="Times New Roman"/>
        </w:rPr>
        <w:t xml:space="preserve"> Bilateral transportation tariff; quality standards; metering protocol.</w:t>
      </w:r>
    </w:p>
    <w:p w14:paraId="5A49CA9C" w14:textId="77777777" w:rsidR="004C6D6D" w:rsidRPr="004C6D6D" w:rsidRDefault="004C6D6D" w:rsidP="004C6D6D">
      <w:pPr>
        <w:numPr>
          <w:ilvl w:val="0"/>
          <w:numId w:val="18"/>
        </w:numPr>
        <w:jc w:val="both"/>
        <w:rPr>
          <w:rFonts w:ascii="Times New Roman" w:hAnsi="Times New Roman" w:cs="Times New Roman"/>
        </w:rPr>
      </w:pPr>
      <w:r w:rsidRPr="004C6D6D">
        <w:rPr>
          <w:rFonts w:ascii="Times New Roman" w:hAnsi="Times New Roman" w:cs="Times New Roman"/>
          <w:b/>
          <w:bCs/>
        </w:rPr>
        <w:t>Nigerian integration:</w:t>
      </w:r>
      <w:r w:rsidRPr="004C6D6D">
        <w:rPr>
          <w:rFonts w:ascii="Times New Roman" w:hAnsi="Times New Roman" w:cs="Times New Roman"/>
        </w:rPr>
        <w:t xml:space="preserve"> Ratified GOGGP treaty; gas sales agreements with NNPC; $25bn pipeline financing; resolution of Nigerian domestic gas obligation conflicts.</w:t>
      </w:r>
    </w:p>
    <w:p w14:paraId="5BEEB769"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5. Can Punta Europa realistically evolve from a national LNG facility into a sustainable regional gas aggregation and processing hub?</w:t>
      </w:r>
    </w:p>
    <w:p w14:paraId="6FFF10D5"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Yes, but conditional.</w:t>
      </w:r>
      <w:r w:rsidRPr="004C6D6D">
        <w:rPr>
          <w:rFonts w:ascii="Times New Roman" w:hAnsi="Times New Roman" w:cs="Times New Roman"/>
        </w:rPr>
        <w:t xml:space="preserve"> Punta Europa possesses world-class existing infrastructure, spare pipeline capacity, and an established commercial framework. The technical case is sound. However, sustainability depends on:</w:t>
      </w:r>
    </w:p>
    <w:p w14:paraId="2735A57B" w14:textId="77777777" w:rsidR="004C6D6D" w:rsidRPr="004C6D6D" w:rsidRDefault="004C6D6D" w:rsidP="004C6D6D">
      <w:pPr>
        <w:numPr>
          <w:ilvl w:val="0"/>
          <w:numId w:val="19"/>
        </w:numPr>
        <w:jc w:val="both"/>
        <w:rPr>
          <w:rFonts w:ascii="Times New Roman" w:hAnsi="Times New Roman" w:cs="Times New Roman"/>
        </w:rPr>
      </w:pPr>
      <w:r w:rsidRPr="004C6D6D">
        <w:rPr>
          <w:rFonts w:ascii="Times New Roman" w:hAnsi="Times New Roman" w:cs="Times New Roman"/>
        </w:rPr>
        <w:t>Execution of Yoyo-Yolanda by 2031</w:t>
      </w:r>
    </w:p>
    <w:p w14:paraId="501A1AF4" w14:textId="77777777" w:rsidR="004C6D6D" w:rsidRPr="004C6D6D" w:rsidRDefault="004C6D6D" w:rsidP="004C6D6D">
      <w:pPr>
        <w:numPr>
          <w:ilvl w:val="0"/>
          <w:numId w:val="19"/>
        </w:numPr>
        <w:jc w:val="both"/>
        <w:rPr>
          <w:rFonts w:ascii="Times New Roman" w:hAnsi="Times New Roman" w:cs="Times New Roman"/>
        </w:rPr>
      </w:pPr>
      <w:proofErr w:type="spellStart"/>
      <w:r w:rsidRPr="004C6D6D">
        <w:rPr>
          <w:rFonts w:ascii="Times New Roman" w:hAnsi="Times New Roman" w:cs="Times New Roman"/>
        </w:rPr>
        <w:t>Finalisation</w:t>
      </w:r>
      <w:proofErr w:type="spellEnd"/>
      <w:r w:rsidRPr="004C6D6D">
        <w:rPr>
          <w:rFonts w:ascii="Times New Roman" w:hAnsi="Times New Roman" w:cs="Times New Roman"/>
        </w:rPr>
        <w:t xml:space="preserve"> of cross-border commercial frameworks</w:t>
      </w:r>
    </w:p>
    <w:p w14:paraId="1488D01F" w14:textId="77777777" w:rsidR="004C6D6D" w:rsidRPr="004C6D6D" w:rsidRDefault="004C6D6D" w:rsidP="004C6D6D">
      <w:pPr>
        <w:numPr>
          <w:ilvl w:val="0"/>
          <w:numId w:val="19"/>
        </w:numPr>
        <w:jc w:val="both"/>
        <w:rPr>
          <w:rFonts w:ascii="Times New Roman" w:hAnsi="Times New Roman" w:cs="Times New Roman"/>
        </w:rPr>
      </w:pPr>
      <w:r w:rsidRPr="004C6D6D">
        <w:rPr>
          <w:rFonts w:ascii="Times New Roman" w:hAnsi="Times New Roman" w:cs="Times New Roman"/>
        </w:rPr>
        <w:lastRenderedPageBreak/>
        <w:t>Securing at least one major regional gas supply contract (Cameroon or Nigeria) by 2030</w:t>
      </w:r>
    </w:p>
    <w:p w14:paraId="5FA4E1B1" w14:textId="77777777" w:rsidR="004C6D6D" w:rsidRPr="004C6D6D" w:rsidRDefault="004C6D6D" w:rsidP="004C6D6D">
      <w:pPr>
        <w:numPr>
          <w:ilvl w:val="0"/>
          <w:numId w:val="19"/>
        </w:numPr>
        <w:jc w:val="both"/>
        <w:rPr>
          <w:rFonts w:ascii="Times New Roman" w:hAnsi="Times New Roman" w:cs="Times New Roman"/>
        </w:rPr>
      </w:pPr>
      <w:r w:rsidRPr="004C6D6D">
        <w:rPr>
          <w:rFonts w:ascii="Times New Roman" w:hAnsi="Times New Roman" w:cs="Times New Roman"/>
        </w:rPr>
        <w:t>Maintaining political stability and investor confidence</w:t>
      </w:r>
    </w:p>
    <w:p w14:paraId="2C5A6E36" w14:textId="77777777" w:rsidR="004C6D6D" w:rsidRDefault="004C6D6D" w:rsidP="004C6D6D">
      <w:pPr>
        <w:jc w:val="both"/>
        <w:rPr>
          <w:rFonts w:ascii="Times New Roman" w:hAnsi="Times New Roman" w:cs="Times New Roman"/>
          <w:b/>
          <w:bCs/>
        </w:rPr>
      </w:pPr>
    </w:p>
    <w:p w14:paraId="5373387D" w14:textId="178745DF" w:rsidR="004C6D6D" w:rsidRPr="004C6D6D" w:rsidRDefault="004C6D6D" w:rsidP="004C6D6D">
      <w:pPr>
        <w:jc w:val="both"/>
        <w:rPr>
          <w:rFonts w:ascii="Times New Roman" w:hAnsi="Times New Roman" w:cs="Times New Roman"/>
          <w:b/>
          <w:bCs/>
        </w:rPr>
      </w:pPr>
      <w:r w:rsidRPr="004C6D6D">
        <w:rPr>
          <w:rFonts w:ascii="Times New Roman" w:hAnsi="Times New Roman" w:cs="Times New Roman"/>
          <w:b/>
          <w:bCs/>
        </w:rPr>
        <w:t>1</w:t>
      </w:r>
      <w:r>
        <w:rPr>
          <w:rFonts w:ascii="Times New Roman" w:hAnsi="Times New Roman" w:cs="Times New Roman"/>
          <w:b/>
          <w:bCs/>
        </w:rPr>
        <w:t>3</w:t>
      </w:r>
      <w:r w:rsidRPr="004C6D6D">
        <w:rPr>
          <w:rFonts w:ascii="Times New Roman" w:hAnsi="Times New Roman" w:cs="Times New Roman"/>
          <w:b/>
          <w:bCs/>
        </w:rPr>
        <w:t>.2 Conclusion</w:t>
      </w:r>
    </w:p>
    <w:p w14:paraId="064AF08D"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Most Viable Feedstock Sources (Ranked):</w:t>
      </w:r>
    </w:p>
    <w:p w14:paraId="03FAFC3C" w14:textId="77777777" w:rsidR="004C6D6D" w:rsidRPr="004C6D6D" w:rsidRDefault="004C6D6D" w:rsidP="004C6D6D">
      <w:pPr>
        <w:numPr>
          <w:ilvl w:val="0"/>
          <w:numId w:val="20"/>
        </w:numPr>
        <w:jc w:val="both"/>
        <w:rPr>
          <w:rFonts w:ascii="Times New Roman" w:hAnsi="Times New Roman" w:cs="Times New Roman"/>
        </w:rPr>
      </w:pPr>
      <w:r w:rsidRPr="004C6D6D">
        <w:rPr>
          <w:rFonts w:ascii="Times New Roman" w:hAnsi="Times New Roman" w:cs="Times New Roman"/>
        </w:rPr>
        <w:t>Yoyo-Yolanda (cross-border; infrastructure-ready; Chevron commitment)</w:t>
      </w:r>
    </w:p>
    <w:p w14:paraId="4EAB4750" w14:textId="77777777" w:rsidR="004C6D6D" w:rsidRPr="004C6D6D" w:rsidRDefault="004C6D6D" w:rsidP="004C6D6D">
      <w:pPr>
        <w:numPr>
          <w:ilvl w:val="0"/>
          <w:numId w:val="20"/>
        </w:numPr>
        <w:jc w:val="both"/>
        <w:rPr>
          <w:rFonts w:ascii="Times New Roman" w:hAnsi="Times New Roman" w:cs="Times New Roman"/>
        </w:rPr>
      </w:pPr>
      <w:r w:rsidRPr="004C6D6D">
        <w:rPr>
          <w:rFonts w:ascii="Times New Roman" w:hAnsi="Times New Roman" w:cs="Times New Roman"/>
        </w:rPr>
        <w:t>Aseng (FID achieved; near-term; low execution risk)</w:t>
      </w:r>
    </w:p>
    <w:p w14:paraId="1BDBA6C6" w14:textId="77777777" w:rsidR="004C6D6D" w:rsidRPr="004C6D6D" w:rsidRDefault="004C6D6D" w:rsidP="004C6D6D">
      <w:pPr>
        <w:numPr>
          <w:ilvl w:val="0"/>
          <w:numId w:val="20"/>
        </w:numPr>
        <w:jc w:val="both"/>
        <w:rPr>
          <w:rFonts w:ascii="Times New Roman" w:hAnsi="Times New Roman" w:cs="Times New Roman"/>
        </w:rPr>
      </w:pPr>
      <w:r w:rsidRPr="004C6D6D">
        <w:rPr>
          <w:rFonts w:ascii="Times New Roman" w:hAnsi="Times New Roman" w:cs="Times New Roman"/>
        </w:rPr>
        <w:t>ConocoPhillips blocks (large resource; longer timeline)</w:t>
      </w:r>
    </w:p>
    <w:p w14:paraId="5499C42F" w14:textId="77777777" w:rsidR="004C6D6D" w:rsidRPr="004C6D6D" w:rsidRDefault="004C6D6D" w:rsidP="004C6D6D">
      <w:pPr>
        <w:numPr>
          <w:ilvl w:val="0"/>
          <w:numId w:val="20"/>
        </w:numPr>
        <w:jc w:val="both"/>
        <w:rPr>
          <w:rFonts w:ascii="Times New Roman" w:hAnsi="Times New Roman" w:cs="Times New Roman"/>
        </w:rPr>
      </w:pPr>
      <w:r w:rsidRPr="004C6D6D">
        <w:rPr>
          <w:rFonts w:ascii="Times New Roman" w:hAnsi="Times New Roman" w:cs="Times New Roman"/>
        </w:rPr>
        <w:t>Nigerian GOGGP (strategic; high volume; highest risk)</w:t>
      </w:r>
    </w:p>
    <w:p w14:paraId="2A081924"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Priority Infrastructure:</w:t>
      </w:r>
    </w:p>
    <w:p w14:paraId="13B93A4B" w14:textId="77777777" w:rsidR="004C6D6D" w:rsidRPr="004C6D6D" w:rsidRDefault="004C6D6D" w:rsidP="004C6D6D">
      <w:pPr>
        <w:numPr>
          <w:ilvl w:val="0"/>
          <w:numId w:val="21"/>
        </w:numPr>
        <w:jc w:val="both"/>
        <w:rPr>
          <w:rFonts w:ascii="Times New Roman" w:hAnsi="Times New Roman" w:cs="Times New Roman"/>
        </w:rPr>
      </w:pPr>
      <w:r w:rsidRPr="004C6D6D">
        <w:rPr>
          <w:rFonts w:ascii="Times New Roman" w:hAnsi="Times New Roman" w:cs="Times New Roman"/>
        </w:rPr>
        <w:t>Aseng tie-back completion (2026–2028)</w:t>
      </w:r>
    </w:p>
    <w:p w14:paraId="43FE1C46" w14:textId="77777777" w:rsidR="004C6D6D" w:rsidRPr="004C6D6D" w:rsidRDefault="004C6D6D" w:rsidP="004C6D6D">
      <w:pPr>
        <w:numPr>
          <w:ilvl w:val="0"/>
          <w:numId w:val="21"/>
        </w:numPr>
        <w:jc w:val="both"/>
        <w:rPr>
          <w:rFonts w:ascii="Times New Roman" w:hAnsi="Times New Roman" w:cs="Times New Roman"/>
        </w:rPr>
      </w:pPr>
      <w:r w:rsidRPr="004C6D6D">
        <w:rPr>
          <w:rFonts w:ascii="Times New Roman" w:hAnsi="Times New Roman" w:cs="Times New Roman"/>
        </w:rPr>
        <w:t>Yoyo-Yolanda subsea pipeline and Alen platform modifications (2028–2032)</w:t>
      </w:r>
    </w:p>
    <w:p w14:paraId="068F78C8" w14:textId="77777777" w:rsidR="004C6D6D" w:rsidRPr="004C6D6D" w:rsidRDefault="004C6D6D" w:rsidP="004C6D6D">
      <w:pPr>
        <w:numPr>
          <w:ilvl w:val="0"/>
          <w:numId w:val="21"/>
        </w:numPr>
        <w:jc w:val="both"/>
        <w:rPr>
          <w:rFonts w:ascii="Times New Roman" w:hAnsi="Times New Roman" w:cs="Times New Roman"/>
        </w:rPr>
      </w:pPr>
      <w:r w:rsidRPr="004C6D6D">
        <w:rPr>
          <w:rFonts w:ascii="Times New Roman" w:hAnsi="Times New Roman" w:cs="Times New Roman"/>
        </w:rPr>
        <w:t>Onshore compression and gas quality management upgrades (ongoing)</w:t>
      </w:r>
    </w:p>
    <w:p w14:paraId="491951D8" w14:textId="77777777" w:rsidR="004C6D6D" w:rsidRPr="004C6D6D" w:rsidRDefault="004C6D6D" w:rsidP="004C6D6D">
      <w:pPr>
        <w:numPr>
          <w:ilvl w:val="0"/>
          <w:numId w:val="21"/>
        </w:numPr>
        <w:jc w:val="both"/>
        <w:rPr>
          <w:rFonts w:ascii="Times New Roman" w:hAnsi="Times New Roman" w:cs="Times New Roman"/>
        </w:rPr>
      </w:pPr>
      <w:r w:rsidRPr="004C6D6D">
        <w:rPr>
          <w:rFonts w:ascii="Times New Roman" w:hAnsi="Times New Roman" w:cs="Times New Roman"/>
        </w:rPr>
        <w:t>Cameroon-Equatorial Guinea interconnector and metering facilities (2029–2032)</w:t>
      </w:r>
    </w:p>
    <w:p w14:paraId="6B65A65B" w14:textId="77777777" w:rsidR="004C6D6D" w:rsidRPr="004C6D6D" w:rsidRDefault="004C6D6D" w:rsidP="004C6D6D">
      <w:pPr>
        <w:numPr>
          <w:ilvl w:val="0"/>
          <w:numId w:val="21"/>
        </w:numPr>
        <w:jc w:val="both"/>
        <w:rPr>
          <w:rFonts w:ascii="Times New Roman" w:hAnsi="Times New Roman" w:cs="Times New Roman"/>
        </w:rPr>
      </w:pPr>
      <w:r w:rsidRPr="004C6D6D">
        <w:rPr>
          <w:rFonts w:ascii="Times New Roman" w:hAnsi="Times New Roman" w:cs="Times New Roman"/>
        </w:rPr>
        <w:t>GOGGP (long-term; 2030–2038)</w:t>
      </w:r>
    </w:p>
    <w:p w14:paraId="35ABD790"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Required Investment:</w:t>
      </w:r>
    </w:p>
    <w:p w14:paraId="1C79755F" w14:textId="77777777" w:rsidR="004C6D6D" w:rsidRPr="004C6D6D" w:rsidRDefault="004C6D6D" w:rsidP="004C6D6D">
      <w:pPr>
        <w:numPr>
          <w:ilvl w:val="0"/>
          <w:numId w:val="22"/>
        </w:numPr>
        <w:jc w:val="both"/>
        <w:rPr>
          <w:rFonts w:ascii="Times New Roman" w:hAnsi="Times New Roman" w:cs="Times New Roman"/>
        </w:rPr>
      </w:pPr>
      <w:r w:rsidRPr="004C6D6D">
        <w:rPr>
          <w:rFonts w:ascii="Times New Roman" w:hAnsi="Times New Roman" w:cs="Times New Roman"/>
          <w:b/>
          <w:bCs/>
        </w:rPr>
        <w:t>Near-term (2026–2030):</w:t>
      </w:r>
      <w:r w:rsidRPr="004C6D6D">
        <w:rPr>
          <w:rFonts w:ascii="Times New Roman" w:hAnsi="Times New Roman" w:cs="Times New Roman"/>
        </w:rPr>
        <w:t xml:space="preserve"> $1.5–2.0 billion (Aseng, Yoyo-Yolanda FEED, compression)</w:t>
      </w:r>
    </w:p>
    <w:p w14:paraId="7A9890FB" w14:textId="77777777" w:rsidR="004C6D6D" w:rsidRPr="004C6D6D" w:rsidRDefault="004C6D6D" w:rsidP="004C6D6D">
      <w:pPr>
        <w:numPr>
          <w:ilvl w:val="0"/>
          <w:numId w:val="22"/>
        </w:numPr>
        <w:jc w:val="both"/>
        <w:rPr>
          <w:rFonts w:ascii="Times New Roman" w:hAnsi="Times New Roman" w:cs="Times New Roman"/>
        </w:rPr>
      </w:pPr>
      <w:r w:rsidRPr="004C6D6D">
        <w:rPr>
          <w:rFonts w:ascii="Times New Roman" w:hAnsi="Times New Roman" w:cs="Times New Roman"/>
          <w:b/>
          <w:bCs/>
        </w:rPr>
        <w:t>Medium-term (2030–2035):</w:t>
      </w:r>
      <w:r w:rsidRPr="004C6D6D">
        <w:rPr>
          <w:rFonts w:ascii="Times New Roman" w:hAnsi="Times New Roman" w:cs="Times New Roman"/>
        </w:rPr>
        <w:t xml:space="preserve"> $3–5 billion (Yoyo-Yolanda development, Cameroon tie-in, ConocoPhillips blocks)</w:t>
      </w:r>
    </w:p>
    <w:p w14:paraId="49FED45C" w14:textId="77777777" w:rsidR="004C6D6D" w:rsidRPr="004C6D6D" w:rsidRDefault="004C6D6D" w:rsidP="004C6D6D">
      <w:pPr>
        <w:numPr>
          <w:ilvl w:val="0"/>
          <w:numId w:val="22"/>
        </w:numPr>
        <w:jc w:val="both"/>
        <w:rPr>
          <w:rFonts w:ascii="Times New Roman" w:hAnsi="Times New Roman" w:cs="Times New Roman"/>
        </w:rPr>
      </w:pPr>
      <w:r w:rsidRPr="004C6D6D">
        <w:rPr>
          <w:rFonts w:ascii="Times New Roman" w:hAnsi="Times New Roman" w:cs="Times New Roman"/>
          <w:b/>
          <w:bCs/>
        </w:rPr>
        <w:t>Long-term (2035–2040):</w:t>
      </w:r>
      <w:r w:rsidRPr="004C6D6D">
        <w:rPr>
          <w:rFonts w:ascii="Times New Roman" w:hAnsi="Times New Roman" w:cs="Times New Roman"/>
        </w:rPr>
        <w:t xml:space="preserve"> $25 billion (if GOGGP proceeds)</w:t>
      </w:r>
    </w:p>
    <w:p w14:paraId="5025ABE8"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Key Commercial Structures:</w:t>
      </w:r>
    </w:p>
    <w:p w14:paraId="5040BEFE" w14:textId="77777777" w:rsidR="004C6D6D" w:rsidRPr="004C6D6D" w:rsidRDefault="004C6D6D" w:rsidP="004C6D6D">
      <w:pPr>
        <w:numPr>
          <w:ilvl w:val="0"/>
          <w:numId w:val="23"/>
        </w:numPr>
        <w:jc w:val="both"/>
        <w:rPr>
          <w:rFonts w:ascii="Times New Roman" w:hAnsi="Times New Roman" w:cs="Times New Roman"/>
        </w:rPr>
      </w:pPr>
      <w:r w:rsidRPr="004C6D6D">
        <w:rPr>
          <w:rFonts w:ascii="Times New Roman" w:hAnsi="Times New Roman" w:cs="Times New Roman"/>
        </w:rPr>
        <w:t>Tolling agreements for domestic gas (proven model)</w:t>
      </w:r>
    </w:p>
    <w:p w14:paraId="5EEBFCB3" w14:textId="77777777" w:rsidR="004C6D6D" w:rsidRPr="004C6D6D" w:rsidRDefault="004C6D6D" w:rsidP="004C6D6D">
      <w:pPr>
        <w:numPr>
          <w:ilvl w:val="0"/>
          <w:numId w:val="23"/>
        </w:numPr>
        <w:jc w:val="both"/>
        <w:rPr>
          <w:rFonts w:ascii="Times New Roman" w:hAnsi="Times New Roman" w:cs="Times New Roman"/>
        </w:rPr>
      </w:pPr>
      <w:r w:rsidRPr="004C6D6D">
        <w:rPr>
          <w:rFonts w:ascii="Times New Roman" w:hAnsi="Times New Roman" w:cs="Times New Roman"/>
        </w:rPr>
        <w:t>Unitization and joint development for cross-border fields</w:t>
      </w:r>
    </w:p>
    <w:p w14:paraId="1E4A447C" w14:textId="77777777" w:rsidR="004C6D6D" w:rsidRPr="004C6D6D" w:rsidRDefault="004C6D6D" w:rsidP="004C6D6D">
      <w:pPr>
        <w:numPr>
          <w:ilvl w:val="0"/>
          <w:numId w:val="23"/>
        </w:numPr>
        <w:jc w:val="both"/>
        <w:rPr>
          <w:rFonts w:ascii="Times New Roman" w:hAnsi="Times New Roman" w:cs="Times New Roman"/>
        </w:rPr>
      </w:pPr>
      <w:r w:rsidRPr="004C6D6D">
        <w:rPr>
          <w:rFonts w:ascii="Times New Roman" w:hAnsi="Times New Roman" w:cs="Times New Roman"/>
        </w:rPr>
        <w:t>Take-or-pay LNG offtake to underpin financing</w:t>
      </w:r>
    </w:p>
    <w:p w14:paraId="2231FA47" w14:textId="77777777" w:rsidR="004C6D6D" w:rsidRPr="004C6D6D" w:rsidRDefault="004C6D6D" w:rsidP="004C6D6D">
      <w:pPr>
        <w:numPr>
          <w:ilvl w:val="0"/>
          <w:numId w:val="23"/>
        </w:numPr>
        <w:jc w:val="both"/>
        <w:rPr>
          <w:rFonts w:ascii="Times New Roman" w:hAnsi="Times New Roman" w:cs="Times New Roman"/>
        </w:rPr>
      </w:pPr>
      <w:r w:rsidRPr="004C6D6D">
        <w:rPr>
          <w:rFonts w:ascii="Times New Roman" w:hAnsi="Times New Roman" w:cs="Times New Roman"/>
        </w:rPr>
        <w:t>Third-party access tariffs for regional shippers</w:t>
      </w:r>
    </w:p>
    <w:p w14:paraId="725B363B"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Major Risks:</w:t>
      </w:r>
    </w:p>
    <w:p w14:paraId="303C575E" w14:textId="77777777" w:rsidR="004C6D6D" w:rsidRPr="004C6D6D" w:rsidRDefault="004C6D6D" w:rsidP="004C6D6D">
      <w:pPr>
        <w:numPr>
          <w:ilvl w:val="0"/>
          <w:numId w:val="24"/>
        </w:numPr>
        <w:jc w:val="both"/>
        <w:rPr>
          <w:rFonts w:ascii="Times New Roman" w:hAnsi="Times New Roman" w:cs="Times New Roman"/>
        </w:rPr>
      </w:pPr>
      <w:r w:rsidRPr="004C6D6D">
        <w:rPr>
          <w:rFonts w:ascii="Times New Roman" w:hAnsi="Times New Roman" w:cs="Times New Roman"/>
        </w:rPr>
        <w:t>Feedstock shortage if regional projects delay</w:t>
      </w:r>
    </w:p>
    <w:p w14:paraId="15F07436" w14:textId="77777777" w:rsidR="004C6D6D" w:rsidRPr="004C6D6D" w:rsidRDefault="004C6D6D" w:rsidP="004C6D6D">
      <w:pPr>
        <w:numPr>
          <w:ilvl w:val="0"/>
          <w:numId w:val="24"/>
        </w:numPr>
        <w:jc w:val="both"/>
        <w:rPr>
          <w:rFonts w:ascii="Times New Roman" w:hAnsi="Times New Roman" w:cs="Times New Roman"/>
        </w:rPr>
      </w:pPr>
      <w:r w:rsidRPr="004C6D6D">
        <w:rPr>
          <w:rFonts w:ascii="Times New Roman" w:hAnsi="Times New Roman" w:cs="Times New Roman"/>
        </w:rPr>
        <w:lastRenderedPageBreak/>
        <w:t>Cross-border regulatory fragmentation</w:t>
      </w:r>
    </w:p>
    <w:p w14:paraId="44A704E6" w14:textId="77777777" w:rsidR="004C6D6D" w:rsidRPr="004C6D6D" w:rsidRDefault="004C6D6D" w:rsidP="004C6D6D">
      <w:pPr>
        <w:numPr>
          <w:ilvl w:val="0"/>
          <w:numId w:val="24"/>
        </w:numPr>
        <w:jc w:val="both"/>
        <w:rPr>
          <w:rFonts w:ascii="Times New Roman" w:hAnsi="Times New Roman" w:cs="Times New Roman"/>
        </w:rPr>
      </w:pPr>
      <w:r w:rsidRPr="004C6D6D">
        <w:rPr>
          <w:rFonts w:ascii="Times New Roman" w:hAnsi="Times New Roman" w:cs="Times New Roman"/>
        </w:rPr>
        <w:t>LNG price volatility undermining project economics</w:t>
      </w:r>
    </w:p>
    <w:p w14:paraId="5673B7C1" w14:textId="77777777" w:rsidR="004C6D6D" w:rsidRPr="004C6D6D" w:rsidRDefault="004C6D6D" w:rsidP="004C6D6D">
      <w:pPr>
        <w:numPr>
          <w:ilvl w:val="0"/>
          <w:numId w:val="24"/>
        </w:numPr>
        <w:jc w:val="both"/>
        <w:rPr>
          <w:rFonts w:ascii="Times New Roman" w:hAnsi="Times New Roman" w:cs="Times New Roman"/>
        </w:rPr>
      </w:pPr>
      <w:r w:rsidRPr="004C6D6D">
        <w:rPr>
          <w:rFonts w:ascii="Times New Roman" w:hAnsi="Times New Roman" w:cs="Times New Roman"/>
        </w:rPr>
        <w:t>Nigerian supply non-availability due to domestic obligations</w:t>
      </w:r>
    </w:p>
    <w:p w14:paraId="305D5CE7" w14:textId="77777777" w:rsidR="004C6D6D" w:rsidRPr="004C6D6D" w:rsidRDefault="004C6D6D" w:rsidP="004C6D6D">
      <w:pPr>
        <w:jc w:val="both"/>
        <w:rPr>
          <w:rFonts w:ascii="Times New Roman" w:hAnsi="Times New Roman" w:cs="Times New Roman"/>
        </w:rPr>
      </w:pPr>
      <w:r w:rsidRPr="004C6D6D">
        <w:rPr>
          <w:rFonts w:ascii="Times New Roman" w:hAnsi="Times New Roman" w:cs="Times New Roman"/>
          <w:b/>
          <w:bCs/>
        </w:rPr>
        <w:t>Recommended Development Pathway:</w:t>
      </w:r>
    </w:p>
    <w:p w14:paraId="08C1D214" w14:textId="77777777" w:rsidR="004C6D6D" w:rsidRPr="004C6D6D" w:rsidRDefault="004C6D6D" w:rsidP="004C6D6D">
      <w:pPr>
        <w:numPr>
          <w:ilvl w:val="0"/>
          <w:numId w:val="25"/>
        </w:numPr>
        <w:jc w:val="both"/>
        <w:rPr>
          <w:rFonts w:ascii="Times New Roman" w:hAnsi="Times New Roman" w:cs="Times New Roman"/>
        </w:rPr>
      </w:pPr>
      <w:r w:rsidRPr="004C6D6D">
        <w:rPr>
          <w:rFonts w:ascii="Times New Roman" w:hAnsi="Times New Roman" w:cs="Times New Roman"/>
          <w:b/>
          <w:bCs/>
        </w:rPr>
        <w:t>2026–2028:</w:t>
      </w:r>
      <w:r w:rsidRPr="004C6D6D">
        <w:rPr>
          <w:rFonts w:ascii="Times New Roman" w:hAnsi="Times New Roman" w:cs="Times New Roman"/>
        </w:rPr>
        <w:t xml:space="preserve"> Execute Aseng; advance Yoyo-Yolanda to FID; </w:t>
      </w:r>
      <w:proofErr w:type="spellStart"/>
      <w:r w:rsidRPr="004C6D6D">
        <w:rPr>
          <w:rFonts w:ascii="Times New Roman" w:hAnsi="Times New Roman" w:cs="Times New Roman"/>
        </w:rPr>
        <w:t>finalise</w:t>
      </w:r>
      <w:proofErr w:type="spellEnd"/>
      <w:r w:rsidRPr="004C6D6D">
        <w:rPr>
          <w:rFonts w:ascii="Times New Roman" w:hAnsi="Times New Roman" w:cs="Times New Roman"/>
        </w:rPr>
        <w:t xml:space="preserve"> Cameroon gas sales terms</w:t>
      </w:r>
    </w:p>
    <w:p w14:paraId="0EA4F9AC" w14:textId="77777777" w:rsidR="004C6D6D" w:rsidRPr="004C6D6D" w:rsidRDefault="004C6D6D" w:rsidP="004C6D6D">
      <w:pPr>
        <w:numPr>
          <w:ilvl w:val="0"/>
          <w:numId w:val="25"/>
        </w:numPr>
        <w:jc w:val="both"/>
        <w:rPr>
          <w:rFonts w:ascii="Times New Roman" w:hAnsi="Times New Roman" w:cs="Times New Roman"/>
        </w:rPr>
      </w:pPr>
      <w:r w:rsidRPr="004C6D6D">
        <w:rPr>
          <w:rFonts w:ascii="Times New Roman" w:hAnsi="Times New Roman" w:cs="Times New Roman"/>
          <w:b/>
          <w:bCs/>
        </w:rPr>
        <w:t>2028–2032:</w:t>
      </w:r>
      <w:r w:rsidRPr="004C6D6D">
        <w:rPr>
          <w:rFonts w:ascii="Times New Roman" w:hAnsi="Times New Roman" w:cs="Times New Roman"/>
        </w:rPr>
        <w:t xml:space="preserve"> Build Yoyo-Yolanda tie-back; integrate Cameroon volumes; expand compression</w:t>
      </w:r>
    </w:p>
    <w:p w14:paraId="6A0AFBFF" w14:textId="77777777" w:rsidR="004C6D6D" w:rsidRPr="004C6D6D" w:rsidRDefault="004C6D6D" w:rsidP="004C6D6D">
      <w:pPr>
        <w:numPr>
          <w:ilvl w:val="0"/>
          <w:numId w:val="25"/>
        </w:numPr>
        <w:jc w:val="both"/>
        <w:rPr>
          <w:rFonts w:ascii="Times New Roman" w:hAnsi="Times New Roman" w:cs="Times New Roman"/>
        </w:rPr>
      </w:pPr>
      <w:r w:rsidRPr="004C6D6D">
        <w:rPr>
          <w:rFonts w:ascii="Times New Roman" w:hAnsi="Times New Roman" w:cs="Times New Roman"/>
          <w:b/>
          <w:bCs/>
        </w:rPr>
        <w:t>2030–2035:</w:t>
      </w:r>
      <w:r w:rsidRPr="004C6D6D">
        <w:rPr>
          <w:rFonts w:ascii="Times New Roman" w:hAnsi="Times New Roman" w:cs="Times New Roman"/>
        </w:rPr>
        <w:t xml:space="preserve"> Bring ConocoPhillips blocks online; </w:t>
      </w:r>
      <w:proofErr w:type="spellStart"/>
      <w:r w:rsidRPr="004C6D6D">
        <w:rPr>
          <w:rFonts w:ascii="Times New Roman" w:hAnsi="Times New Roman" w:cs="Times New Roman"/>
        </w:rPr>
        <w:t>formalise</w:t>
      </w:r>
      <w:proofErr w:type="spellEnd"/>
      <w:r w:rsidRPr="004C6D6D">
        <w:rPr>
          <w:rFonts w:ascii="Times New Roman" w:hAnsi="Times New Roman" w:cs="Times New Roman"/>
        </w:rPr>
        <w:t xml:space="preserve"> GOGGP commercial framework</w:t>
      </w:r>
    </w:p>
    <w:p w14:paraId="42724E89" w14:textId="77777777" w:rsidR="004C6D6D" w:rsidRPr="004C6D6D" w:rsidRDefault="004C6D6D" w:rsidP="004C6D6D">
      <w:pPr>
        <w:numPr>
          <w:ilvl w:val="0"/>
          <w:numId w:val="25"/>
        </w:numPr>
        <w:jc w:val="both"/>
        <w:rPr>
          <w:rFonts w:ascii="Times New Roman" w:hAnsi="Times New Roman" w:cs="Times New Roman"/>
        </w:rPr>
      </w:pPr>
      <w:r w:rsidRPr="004C6D6D">
        <w:rPr>
          <w:rFonts w:ascii="Times New Roman" w:hAnsi="Times New Roman" w:cs="Times New Roman"/>
          <w:b/>
          <w:bCs/>
        </w:rPr>
        <w:t>2035–2040:</w:t>
      </w:r>
      <w:r w:rsidRPr="004C6D6D">
        <w:rPr>
          <w:rFonts w:ascii="Times New Roman" w:hAnsi="Times New Roman" w:cs="Times New Roman"/>
        </w:rPr>
        <w:t xml:space="preserve"> Commission GOGGP if viable; evaluate Train 2 expansion if feedstock surplus </w:t>
      </w:r>
      <w:proofErr w:type="spellStart"/>
      <w:r w:rsidRPr="004C6D6D">
        <w:rPr>
          <w:rFonts w:ascii="Times New Roman" w:hAnsi="Times New Roman" w:cs="Times New Roman"/>
        </w:rPr>
        <w:t>materialises</w:t>
      </w:r>
      <w:proofErr w:type="spellEnd"/>
    </w:p>
    <w:p w14:paraId="363BC300" w14:textId="5C9B3F5D" w:rsidR="004C6D6D" w:rsidRPr="004C6D6D" w:rsidRDefault="004C6D6D" w:rsidP="004C6D6D">
      <w:pPr>
        <w:jc w:val="both"/>
        <w:rPr>
          <w:rFonts w:ascii="Times New Roman" w:hAnsi="Times New Roman" w:cs="Times New Roman"/>
        </w:rPr>
      </w:pPr>
    </w:p>
    <w:p w14:paraId="30AE5BC6" w14:textId="77777777" w:rsidR="00623A7E" w:rsidRPr="00623A7E" w:rsidRDefault="00623A7E" w:rsidP="00623A7E">
      <w:pPr>
        <w:jc w:val="both"/>
        <w:rPr>
          <w:rFonts w:ascii="Times New Roman" w:hAnsi="Times New Roman" w:cs="Times New Roman"/>
          <w:b/>
          <w:bCs/>
        </w:rPr>
      </w:pPr>
      <w:r w:rsidRPr="00623A7E">
        <w:rPr>
          <w:rFonts w:ascii="Times New Roman" w:hAnsi="Times New Roman" w:cs="Times New Roman"/>
          <w:b/>
          <w:bCs/>
        </w:rPr>
        <w:t>References</w:t>
      </w:r>
    </w:p>
    <w:p w14:paraId="2C039179"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African Energy Chamber. (2024). </w:t>
      </w:r>
      <w:r w:rsidRPr="00623A7E">
        <w:rPr>
          <w:rFonts w:ascii="Times New Roman" w:hAnsi="Times New Roman" w:cs="Times New Roman"/>
          <w:i/>
          <w:iCs/>
        </w:rPr>
        <w:t>Equatorial Guinea Gas Mega Hub: Progress Report 2024</w:t>
      </w:r>
      <w:r w:rsidRPr="00623A7E">
        <w:rPr>
          <w:rFonts w:ascii="Times New Roman" w:hAnsi="Times New Roman" w:cs="Times New Roman"/>
        </w:rPr>
        <w:t>. African Energy Chamber Publications.</w:t>
      </w:r>
    </w:p>
    <w:p w14:paraId="1FF0A0EE"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African Energy Chamber. (2026, March 31). </w:t>
      </w:r>
      <w:r w:rsidRPr="00623A7E">
        <w:rPr>
          <w:rFonts w:ascii="Times New Roman" w:hAnsi="Times New Roman" w:cs="Times New Roman"/>
          <w:i/>
          <w:iCs/>
        </w:rPr>
        <w:t>Chevron reaches FID on Aseng Gas Project, Equatorial Guinea</w:t>
      </w:r>
      <w:r w:rsidRPr="00623A7E">
        <w:rPr>
          <w:rFonts w:ascii="Times New Roman" w:hAnsi="Times New Roman" w:cs="Times New Roman"/>
        </w:rPr>
        <w:t>. AEC Press Release.</w:t>
      </w:r>
    </w:p>
    <w:p w14:paraId="6D5A995C"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Chevron Corporation. (2024). </w:t>
      </w:r>
      <w:r w:rsidRPr="00623A7E">
        <w:rPr>
          <w:rFonts w:ascii="Times New Roman" w:hAnsi="Times New Roman" w:cs="Times New Roman"/>
          <w:i/>
          <w:iCs/>
        </w:rPr>
        <w:t xml:space="preserve">Alen Gas </w:t>
      </w:r>
      <w:proofErr w:type="spellStart"/>
      <w:r w:rsidRPr="00623A7E">
        <w:rPr>
          <w:rFonts w:ascii="Times New Roman" w:hAnsi="Times New Roman" w:cs="Times New Roman"/>
          <w:i/>
          <w:iCs/>
        </w:rPr>
        <w:t>Monetisation</w:t>
      </w:r>
      <w:proofErr w:type="spellEnd"/>
      <w:r w:rsidRPr="00623A7E">
        <w:rPr>
          <w:rFonts w:ascii="Times New Roman" w:hAnsi="Times New Roman" w:cs="Times New Roman"/>
          <w:i/>
          <w:iCs/>
        </w:rPr>
        <w:t xml:space="preserve"> Project: Annual Report</w:t>
      </w:r>
      <w:r w:rsidRPr="00623A7E">
        <w:rPr>
          <w:rFonts w:ascii="Times New Roman" w:hAnsi="Times New Roman" w:cs="Times New Roman"/>
        </w:rPr>
        <w:t>. San Ramon, CA: Chevron.</w:t>
      </w:r>
    </w:p>
    <w:p w14:paraId="47BA4287"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Chevron Corporation. (2026, March 31). </w:t>
      </w:r>
      <w:r w:rsidRPr="00623A7E">
        <w:rPr>
          <w:rFonts w:ascii="Times New Roman" w:hAnsi="Times New Roman" w:cs="Times New Roman"/>
          <w:i/>
          <w:iCs/>
        </w:rPr>
        <w:t>Chevron announces Final Investment Decision on Aseng Gas Project</w:t>
      </w:r>
      <w:r w:rsidRPr="00623A7E">
        <w:rPr>
          <w:rFonts w:ascii="Times New Roman" w:hAnsi="Times New Roman" w:cs="Times New Roman"/>
        </w:rPr>
        <w:t>. Press Release.</w:t>
      </w:r>
    </w:p>
    <w:p w14:paraId="4F97024B"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Chevron Corporation. (2026, February). </w:t>
      </w:r>
      <w:r w:rsidRPr="00623A7E">
        <w:rPr>
          <w:rFonts w:ascii="Times New Roman" w:hAnsi="Times New Roman" w:cs="Times New Roman"/>
          <w:i/>
          <w:iCs/>
        </w:rPr>
        <w:t>Yoyo-Yolanda Unitization Agreement: Technical Disclosure</w:t>
      </w:r>
      <w:r w:rsidRPr="00623A7E">
        <w:rPr>
          <w:rFonts w:ascii="Times New Roman" w:hAnsi="Times New Roman" w:cs="Times New Roman"/>
        </w:rPr>
        <w:t>. Houston, TX: Chevron.</w:t>
      </w:r>
    </w:p>
    <w:p w14:paraId="6F3FDB7F"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ConocoPhillips. (2007). </w:t>
      </w:r>
      <w:r w:rsidRPr="00623A7E">
        <w:rPr>
          <w:rFonts w:ascii="Times New Roman" w:hAnsi="Times New Roman" w:cs="Times New Roman"/>
          <w:i/>
          <w:iCs/>
        </w:rPr>
        <w:t>EG LNG Train 1: Project Completion Report</w:t>
      </w:r>
      <w:r w:rsidRPr="00623A7E">
        <w:rPr>
          <w:rFonts w:ascii="Times New Roman" w:hAnsi="Times New Roman" w:cs="Times New Roman"/>
        </w:rPr>
        <w:t>. Houston, TX: ConocoPhillips.</w:t>
      </w:r>
    </w:p>
    <w:p w14:paraId="7FD498AF"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ConocoPhillips. (2025, September). </w:t>
      </w:r>
      <w:r w:rsidRPr="00623A7E">
        <w:rPr>
          <w:rFonts w:ascii="Times New Roman" w:hAnsi="Times New Roman" w:cs="Times New Roman"/>
          <w:i/>
          <w:iCs/>
        </w:rPr>
        <w:t>Heads of Agreement for Blocks EG-27 and B/4: Disclosure</w:t>
      </w:r>
      <w:r w:rsidRPr="00623A7E">
        <w:rPr>
          <w:rFonts w:ascii="Times New Roman" w:hAnsi="Times New Roman" w:cs="Times New Roman"/>
        </w:rPr>
        <w:t>. Houston, TX: ConocoPhillips.</w:t>
      </w:r>
    </w:p>
    <w:p w14:paraId="19F27407"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Equatorial Guinea Ministry of Mines and Hydrocarbons. (2023, March). </w:t>
      </w:r>
      <w:r w:rsidRPr="00623A7E">
        <w:rPr>
          <w:rFonts w:ascii="Times New Roman" w:hAnsi="Times New Roman" w:cs="Times New Roman"/>
          <w:i/>
          <w:iCs/>
        </w:rPr>
        <w:t>Bilateral Treaty with Cameroon on Cross-Border Hydrocarbon Resources</w:t>
      </w:r>
      <w:r w:rsidRPr="00623A7E">
        <w:rPr>
          <w:rFonts w:ascii="Times New Roman" w:hAnsi="Times New Roman" w:cs="Times New Roman"/>
        </w:rPr>
        <w:t>. Malabo: MMH.</w:t>
      </w:r>
    </w:p>
    <w:p w14:paraId="0559ED2A"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lastRenderedPageBreak/>
        <w:t xml:space="preserve">Equatorial Guinea Ministry of Mines and Hydrocarbons. (2025, June). </w:t>
      </w:r>
      <w:r w:rsidRPr="00623A7E">
        <w:rPr>
          <w:rFonts w:ascii="Times New Roman" w:hAnsi="Times New Roman" w:cs="Times New Roman"/>
          <w:i/>
          <w:iCs/>
        </w:rPr>
        <w:t>Joint Communiqué with Nigeria on Gulf of Guinea Gas Pipeline</w:t>
      </w:r>
      <w:r w:rsidRPr="00623A7E">
        <w:rPr>
          <w:rFonts w:ascii="Times New Roman" w:hAnsi="Times New Roman" w:cs="Times New Roman"/>
        </w:rPr>
        <w:t>. Malabo: MMH.</w:t>
      </w:r>
    </w:p>
    <w:p w14:paraId="65EC15B5"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Gas Exporting Countries Forum. (2025). </w:t>
      </w:r>
      <w:r w:rsidRPr="00623A7E">
        <w:rPr>
          <w:rFonts w:ascii="Times New Roman" w:hAnsi="Times New Roman" w:cs="Times New Roman"/>
          <w:i/>
          <w:iCs/>
        </w:rPr>
        <w:t>Annual Gas Market Report 2025</w:t>
      </w:r>
      <w:r w:rsidRPr="00623A7E">
        <w:rPr>
          <w:rFonts w:ascii="Times New Roman" w:hAnsi="Times New Roman" w:cs="Times New Roman"/>
        </w:rPr>
        <w:t>. Doha: GECF Secretariat.</w:t>
      </w:r>
    </w:p>
    <w:p w14:paraId="2D09BC76"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Global Energy Monitor. (2024). </w:t>
      </w:r>
      <w:r w:rsidRPr="00623A7E">
        <w:rPr>
          <w:rFonts w:ascii="Times New Roman" w:hAnsi="Times New Roman" w:cs="Times New Roman"/>
          <w:i/>
          <w:iCs/>
        </w:rPr>
        <w:t>Equatorial Guinea LNG Train 2</w:t>
      </w:r>
      <w:r w:rsidRPr="00623A7E">
        <w:rPr>
          <w:rFonts w:ascii="Times New Roman" w:hAnsi="Times New Roman" w:cs="Times New Roman"/>
        </w:rPr>
        <w:t>. Global Energy Monitor Wiki.</w:t>
      </w:r>
    </w:p>
    <w:p w14:paraId="698FD06F"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International Energy Agency. (2025). </w:t>
      </w:r>
      <w:r w:rsidRPr="00623A7E">
        <w:rPr>
          <w:rFonts w:ascii="Times New Roman" w:hAnsi="Times New Roman" w:cs="Times New Roman"/>
          <w:i/>
          <w:iCs/>
        </w:rPr>
        <w:t>World Energy Outlook 2025</w:t>
      </w:r>
      <w:r w:rsidRPr="00623A7E">
        <w:rPr>
          <w:rFonts w:ascii="Times New Roman" w:hAnsi="Times New Roman" w:cs="Times New Roman"/>
        </w:rPr>
        <w:t>. Paris: IEA Publications.</w:t>
      </w:r>
    </w:p>
    <w:p w14:paraId="4D3C1CCC"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Marathon Oil Corporation. (2012). </w:t>
      </w:r>
      <w:r w:rsidRPr="00623A7E">
        <w:rPr>
          <w:rFonts w:ascii="Times New Roman" w:hAnsi="Times New Roman" w:cs="Times New Roman"/>
          <w:i/>
          <w:iCs/>
        </w:rPr>
        <w:t>Alba Field Development Plan: Technical Report</w:t>
      </w:r>
      <w:r w:rsidRPr="00623A7E">
        <w:rPr>
          <w:rFonts w:ascii="Times New Roman" w:hAnsi="Times New Roman" w:cs="Times New Roman"/>
        </w:rPr>
        <w:t>. Houston, TX: Marathon Oil.</w:t>
      </w:r>
    </w:p>
    <w:p w14:paraId="16299C39"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New Age (African Global Energy) Ltd. (2024). </w:t>
      </w:r>
      <w:r w:rsidRPr="00623A7E">
        <w:rPr>
          <w:rFonts w:ascii="Times New Roman" w:hAnsi="Times New Roman" w:cs="Times New Roman"/>
          <w:i/>
          <w:iCs/>
        </w:rPr>
        <w:t>Etinde Field Development Update</w:t>
      </w:r>
      <w:r w:rsidRPr="00623A7E">
        <w:rPr>
          <w:rFonts w:ascii="Times New Roman" w:hAnsi="Times New Roman" w:cs="Times New Roman"/>
        </w:rPr>
        <w:t>. London: New Age.</w:t>
      </w:r>
    </w:p>
    <w:p w14:paraId="555AEF94"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Nigerian National Petroleum Company Limited. (2024, August). </w:t>
      </w:r>
      <w:r w:rsidRPr="00623A7E">
        <w:rPr>
          <w:rFonts w:ascii="Times New Roman" w:hAnsi="Times New Roman" w:cs="Times New Roman"/>
          <w:i/>
          <w:iCs/>
        </w:rPr>
        <w:t>Nigeria-Equatorial Guinea Gulf of Guinea Gas Pipeline Treaty</w:t>
      </w:r>
      <w:r w:rsidRPr="00623A7E">
        <w:rPr>
          <w:rFonts w:ascii="Times New Roman" w:hAnsi="Times New Roman" w:cs="Times New Roman"/>
        </w:rPr>
        <w:t>. Abuja: NNPC.</w:t>
      </w:r>
    </w:p>
    <w:p w14:paraId="1CA5D570"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Noble Energy, Inc. (2021, February). </w:t>
      </w:r>
      <w:r w:rsidRPr="00623A7E">
        <w:rPr>
          <w:rFonts w:ascii="Times New Roman" w:hAnsi="Times New Roman" w:cs="Times New Roman"/>
          <w:i/>
          <w:iCs/>
        </w:rPr>
        <w:t xml:space="preserve">Alen Gas </w:t>
      </w:r>
      <w:proofErr w:type="spellStart"/>
      <w:r w:rsidRPr="00623A7E">
        <w:rPr>
          <w:rFonts w:ascii="Times New Roman" w:hAnsi="Times New Roman" w:cs="Times New Roman"/>
          <w:i/>
          <w:iCs/>
        </w:rPr>
        <w:t>Monetisation</w:t>
      </w:r>
      <w:proofErr w:type="spellEnd"/>
      <w:r w:rsidRPr="00623A7E">
        <w:rPr>
          <w:rFonts w:ascii="Times New Roman" w:hAnsi="Times New Roman" w:cs="Times New Roman"/>
          <w:i/>
          <w:iCs/>
        </w:rPr>
        <w:t xml:space="preserve"> Project: First Gas Achievement</w:t>
      </w:r>
      <w:r w:rsidRPr="00623A7E">
        <w:rPr>
          <w:rFonts w:ascii="Times New Roman" w:hAnsi="Times New Roman" w:cs="Times New Roman"/>
        </w:rPr>
        <w:t>. Houston, TX: Noble Energy.</w:t>
      </w:r>
    </w:p>
    <w:p w14:paraId="20F9E6E8"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Perenco. (2025). </w:t>
      </w:r>
      <w:r w:rsidRPr="00623A7E">
        <w:rPr>
          <w:rFonts w:ascii="Times New Roman" w:hAnsi="Times New Roman" w:cs="Times New Roman"/>
          <w:i/>
          <w:iCs/>
        </w:rPr>
        <w:t>Etinde Field: Operatorship Transition Update</w:t>
      </w:r>
      <w:r w:rsidRPr="00623A7E">
        <w:rPr>
          <w:rFonts w:ascii="Times New Roman" w:hAnsi="Times New Roman" w:cs="Times New Roman"/>
        </w:rPr>
        <w:t>. Paris: Perenco.</w:t>
      </w:r>
    </w:p>
    <w:p w14:paraId="2E1C151E"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Rystad Energy. (2025). </w:t>
      </w:r>
      <w:r w:rsidRPr="00623A7E">
        <w:rPr>
          <w:rFonts w:ascii="Times New Roman" w:hAnsi="Times New Roman" w:cs="Times New Roman"/>
          <w:i/>
          <w:iCs/>
        </w:rPr>
        <w:t>Equatorial Guinea Upstream Dashboard</w:t>
      </w:r>
      <w:r w:rsidRPr="00623A7E">
        <w:rPr>
          <w:rFonts w:ascii="Times New Roman" w:hAnsi="Times New Roman" w:cs="Times New Roman"/>
        </w:rPr>
        <w:t>. Oslo: Rystad Energy.</w:t>
      </w:r>
    </w:p>
    <w:p w14:paraId="0662FAA4"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S&amp;P Global Commodity Insights. (2024). </w:t>
      </w:r>
      <w:r w:rsidRPr="00623A7E">
        <w:rPr>
          <w:rFonts w:ascii="Times New Roman" w:hAnsi="Times New Roman" w:cs="Times New Roman"/>
          <w:i/>
          <w:iCs/>
        </w:rPr>
        <w:t>Equatorial Guinea Gas Market Profile</w:t>
      </w:r>
      <w:r w:rsidRPr="00623A7E">
        <w:rPr>
          <w:rFonts w:ascii="Times New Roman" w:hAnsi="Times New Roman" w:cs="Times New Roman"/>
        </w:rPr>
        <w:t>. Houston, TX: S&amp;P Global.</w:t>
      </w:r>
    </w:p>
    <w:p w14:paraId="1E3617C8"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S&amp;P Global Commodity Insights. (2026, February). </w:t>
      </w:r>
      <w:r w:rsidRPr="00623A7E">
        <w:rPr>
          <w:rFonts w:ascii="Times New Roman" w:hAnsi="Times New Roman" w:cs="Times New Roman"/>
          <w:i/>
          <w:iCs/>
        </w:rPr>
        <w:t>Chevron Yoyo-Yolanda Unitization: Market Analysis</w:t>
      </w:r>
      <w:r w:rsidRPr="00623A7E">
        <w:rPr>
          <w:rFonts w:ascii="Times New Roman" w:hAnsi="Times New Roman" w:cs="Times New Roman"/>
        </w:rPr>
        <w:t>. Houston, TX: S&amp;P Global.</w:t>
      </w:r>
    </w:p>
    <w:p w14:paraId="1C3B21F5"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Subsea7 S.A. (2026). </w:t>
      </w:r>
      <w:r w:rsidRPr="00623A7E">
        <w:rPr>
          <w:rFonts w:ascii="Times New Roman" w:hAnsi="Times New Roman" w:cs="Times New Roman"/>
          <w:i/>
          <w:iCs/>
        </w:rPr>
        <w:t>Aseng Gas Project: Subsea Installation Contract Award</w:t>
      </w:r>
      <w:r w:rsidRPr="00623A7E">
        <w:rPr>
          <w:rFonts w:ascii="Times New Roman" w:hAnsi="Times New Roman" w:cs="Times New Roman"/>
        </w:rPr>
        <w:t>. Luxembourg: Subsea7.</w:t>
      </w:r>
    </w:p>
    <w:p w14:paraId="239286BA" w14:textId="77777777" w:rsidR="00623A7E" w:rsidRPr="00623A7E" w:rsidRDefault="00623A7E" w:rsidP="00623A7E">
      <w:pPr>
        <w:jc w:val="both"/>
        <w:rPr>
          <w:rFonts w:ascii="Times New Roman" w:hAnsi="Times New Roman" w:cs="Times New Roman"/>
        </w:rPr>
      </w:pPr>
      <w:r w:rsidRPr="00623A7E">
        <w:rPr>
          <w:rFonts w:ascii="Times New Roman" w:hAnsi="Times New Roman" w:cs="Times New Roman"/>
        </w:rPr>
        <w:t xml:space="preserve">Wood Mackenzie. (2025). </w:t>
      </w:r>
      <w:r w:rsidRPr="00623A7E">
        <w:rPr>
          <w:rFonts w:ascii="Times New Roman" w:hAnsi="Times New Roman" w:cs="Times New Roman"/>
          <w:i/>
          <w:iCs/>
        </w:rPr>
        <w:t>Equatorial Guinea Gas Mega Hub: Feedstock Security Analysis</w:t>
      </w:r>
      <w:r w:rsidRPr="00623A7E">
        <w:rPr>
          <w:rFonts w:ascii="Times New Roman" w:hAnsi="Times New Roman" w:cs="Times New Roman"/>
        </w:rPr>
        <w:t>. Edinburgh: Wood Mackenzie.</w:t>
      </w:r>
    </w:p>
    <w:p w14:paraId="4BF60469" w14:textId="77777777" w:rsidR="00283D7D" w:rsidRPr="004C6D6D" w:rsidRDefault="00283D7D" w:rsidP="004C6D6D">
      <w:pPr>
        <w:jc w:val="both"/>
        <w:rPr>
          <w:rFonts w:ascii="Times New Roman" w:hAnsi="Times New Roman" w:cs="Times New Roman"/>
        </w:rPr>
      </w:pPr>
    </w:p>
    <w:sectPr w:rsidR="00283D7D" w:rsidRPr="004C6D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E453F"/>
    <w:multiLevelType w:val="multilevel"/>
    <w:tmpl w:val="87902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5421B7"/>
    <w:multiLevelType w:val="multilevel"/>
    <w:tmpl w:val="3AF09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9C4A5A"/>
    <w:multiLevelType w:val="multilevel"/>
    <w:tmpl w:val="2F425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9801DB"/>
    <w:multiLevelType w:val="multilevel"/>
    <w:tmpl w:val="C0AAD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A84F6C"/>
    <w:multiLevelType w:val="multilevel"/>
    <w:tmpl w:val="4FDE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0109F4"/>
    <w:multiLevelType w:val="multilevel"/>
    <w:tmpl w:val="1ABCE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361BDB"/>
    <w:multiLevelType w:val="multilevel"/>
    <w:tmpl w:val="987E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321C70"/>
    <w:multiLevelType w:val="multilevel"/>
    <w:tmpl w:val="6C66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4E0B25"/>
    <w:multiLevelType w:val="multilevel"/>
    <w:tmpl w:val="91108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074342"/>
    <w:multiLevelType w:val="multilevel"/>
    <w:tmpl w:val="F522C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C82BDC"/>
    <w:multiLevelType w:val="multilevel"/>
    <w:tmpl w:val="BB764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FC44EF"/>
    <w:multiLevelType w:val="multilevel"/>
    <w:tmpl w:val="9CD0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6506DD"/>
    <w:multiLevelType w:val="multilevel"/>
    <w:tmpl w:val="E370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1845A0"/>
    <w:multiLevelType w:val="multilevel"/>
    <w:tmpl w:val="A06AA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1116D4"/>
    <w:multiLevelType w:val="multilevel"/>
    <w:tmpl w:val="E474F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9348FD"/>
    <w:multiLevelType w:val="multilevel"/>
    <w:tmpl w:val="CEB0E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AC6448A"/>
    <w:multiLevelType w:val="multilevel"/>
    <w:tmpl w:val="59962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4F49CC"/>
    <w:multiLevelType w:val="multilevel"/>
    <w:tmpl w:val="9D925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A8D1CDF"/>
    <w:multiLevelType w:val="multilevel"/>
    <w:tmpl w:val="AAECD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752765"/>
    <w:multiLevelType w:val="multilevel"/>
    <w:tmpl w:val="EE3C0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E0830D8"/>
    <w:multiLevelType w:val="multilevel"/>
    <w:tmpl w:val="F9CA6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D4377B"/>
    <w:multiLevelType w:val="multilevel"/>
    <w:tmpl w:val="6282A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E709EA"/>
    <w:multiLevelType w:val="multilevel"/>
    <w:tmpl w:val="2B106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16B079B"/>
    <w:multiLevelType w:val="multilevel"/>
    <w:tmpl w:val="F9E45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EA0635"/>
    <w:multiLevelType w:val="multilevel"/>
    <w:tmpl w:val="B6D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0E57C4"/>
    <w:multiLevelType w:val="multilevel"/>
    <w:tmpl w:val="6D64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A71472E"/>
    <w:multiLevelType w:val="multilevel"/>
    <w:tmpl w:val="D0200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C43EDA"/>
    <w:multiLevelType w:val="multilevel"/>
    <w:tmpl w:val="E2DC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6028831">
    <w:abstractNumId w:val="14"/>
  </w:num>
  <w:num w:numId="2" w16cid:durableId="1333800506">
    <w:abstractNumId w:val="17"/>
  </w:num>
  <w:num w:numId="3" w16cid:durableId="2104452824">
    <w:abstractNumId w:val="5"/>
  </w:num>
  <w:num w:numId="4" w16cid:durableId="1144660267">
    <w:abstractNumId w:val="0"/>
  </w:num>
  <w:num w:numId="5" w16cid:durableId="161700222">
    <w:abstractNumId w:val="7"/>
  </w:num>
  <w:num w:numId="6" w16cid:durableId="524363293">
    <w:abstractNumId w:val="19"/>
  </w:num>
  <w:num w:numId="7" w16cid:durableId="1739478787">
    <w:abstractNumId w:val="22"/>
  </w:num>
  <w:num w:numId="8" w16cid:durableId="706637441">
    <w:abstractNumId w:val="6"/>
  </w:num>
  <w:num w:numId="9" w16cid:durableId="1122306003">
    <w:abstractNumId w:val="4"/>
  </w:num>
  <w:num w:numId="10" w16cid:durableId="611397362">
    <w:abstractNumId w:val="11"/>
  </w:num>
  <w:num w:numId="11" w16cid:durableId="184953040">
    <w:abstractNumId w:val="12"/>
  </w:num>
  <w:num w:numId="12" w16cid:durableId="658656755">
    <w:abstractNumId w:val="8"/>
  </w:num>
  <w:num w:numId="13" w16cid:durableId="420101269">
    <w:abstractNumId w:val="13"/>
  </w:num>
  <w:num w:numId="14" w16cid:durableId="281115056">
    <w:abstractNumId w:val="18"/>
  </w:num>
  <w:num w:numId="15" w16cid:durableId="1121145192">
    <w:abstractNumId w:val="26"/>
  </w:num>
  <w:num w:numId="16" w16cid:durableId="1880122087">
    <w:abstractNumId w:val="15"/>
  </w:num>
  <w:num w:numId="17" w16cid:durableId="972716363">
    <w:abstractNumId w:val="1"/>
  </w:num>
  <w:num w:numId="18" w16cid:durableId="829641777">
    <w:abstractNumId w:val="27"/>
  </w:num>
  <w:num w:numId="19" w16cid:durableId="1741172006">
    <w:abstractNumId w:val="9"/>
  </w:num>
  <w:num w:numId="20" w16cid:durableId="136338434">
    <w:abstractNumId w:val="16"/>
  </w:num>
  <w:num w:numId="21" w16cid:durableId="1926568136">
    <w:abstractNumId w:val="2"/>
  </w:num>
  <w:num w:numId="22" w16cid:durableId="1779565079">
    <w:abstractNumId w:val="25"/>
  </w:num>
  <w:num w:numId="23" w16cid:durableId="72897408">
    <w:abstractNumId w:val="24"/>
  </w:num>
  <w:num w:numId="24" w16cid:durableId="54277228">
    <w:abstractNumId w:val="3"/>
  </w:num>
  <w:num w:numId="25" w16cid:durableId="672924803">
    <w:abstractNumId w:val="21"/>
  </w:num>
  <w:num w:numId="26" w16cid:durableId="235215088">
    <w:abstractNumId w:val="10"/>
  </w:num>
  <w:num w:numId="27" w16cid:durableId="1055202834">
    <w:abstractNumId w:val="20"/>
  </w:num>
  <w:num w:numId="28" w16cid:durableId="11179899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D6D"/>
    <w:rsid w:val="00283D7D"/>
    <w:rsid w:val="004C6D6D"/>
    <w:rsid w:val="00623A7E"/>
    <w:rsid w:val="00737AAB"/>
    <w:rsid w:val="00BB0294"/>
    <w:rsid w:val="00EA1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51DB1"/>
  <w15:chartTrackingRefBased/>
  <w15:docId w15:val="{1193D277-D687-4DA8-94CF-7FA67C770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6D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C6D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C6D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6D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6D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6D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6D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6D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6D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6D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C6D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C6D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6D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6D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6D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6D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6D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6D6D"/>
    <w:rPr>
      <w:rFonts w:eastAsiaTheme="majorEastAsia" w:cstheme="majorBidi"/>
      <w:color w:val="272727" w:themeColor="text1" w:themeTint="D8"/>
    </w:rPr>
  </w:style>
  <w:style w:type="paragraph" w:styleId="Title">
    <w:name w:val="Title"/>
    <w:basedOn w:val="Normal"/>
    <w:next w:val="Normal"/>
    <w:link w:val="TitleChar"/>
    <w:uiPriority w:val="10"/>
    <w:qFormat/>
    <w:rsid w:val="004C6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6D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6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6D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6D6D"/>
    <w:pPr>
      <w:spacing w:before="160"/>
      <w:jc w:val="center"/>
    </w:pPr>
    <w:rPr>
      <w:i/>
      <w:iCs/>
      <w:color w:val="404040" w:themeColor="text1" w:themeTint="BF"/>
    </w:rPr>
  </w:style>
  <w:style w:type="character" w:customStyle="1" w:styleId="QuoteChar">
    <w:name w:val="Quote Char"/>
    <w:basedOn w:val="DefaultParagraphFont"/>
    <w:link w:val="Quote"/>
    <w:uiPriority w:val="29"/>
    <w:rsid w:val="004C6D6D"/>
    <w:rPr>
      <w:i/>
      <w:iCs/>
      <w:color w:val="404040" w:themeColor="text1" w:themeTint="BF"/>
    </w:rPr>
  </w:style>
  <w:style w:type="paragraph" w:styleId="ListParagraph">
    <w:name w:val="List Paragraph"/>
    <w:basedOn w:val="Normal"/>
    <w:uiPriority w:val="34"/>
    <w:qFormat/>
    <w:rsid w:val="004C6D6D"/>
    <w:pPr>
      <w:ind w:left="720"/>
      <w:contextualSpacing/>
    </w:pPr>
  </w:style>
  <w:style w:type="character" w:styleId="IntenseEmphasis">
    <w:name w:val="Intense Emphasis"/>
    <w:basedOn w:val="DefaultParagraphFont"/>
    <w:uiPriority w:val="21"/>
    <w:qFormat/>
    <w:rsid w:val="004C6D6D"/>
    <w:rPr>
      <w:i/>
      <w:iCs/>
      <w:color w:val="2F5496" w:themeColor="accent1" w:themeShade="BF"/>
    </w:rPr>
  </w:style>
  <w:style w:type="paragraph" w:styleId="IntenseQuote">
    <w:name w:val="Intense Quote"/>
    <w:basedOn w:val="Normal"/>
    <w:next w:val="Normal"/>
    <w:link w:val="IntenseQuoteChar"/>
    <w:uiPriority w:val="30"/>
    <w:qFormat/>
    <w:rsid w:val="004C6D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6D6D"/>
    <w:rPr>
      <w:i/>
      <w:iCs/>
      <w:color w:val="2F5496" w:themeColor="accent1" w:themeShade="BF"/>
    </w:rPr>
  </w:style>
  <w:style w:type="character" w:styleId="IntenseReference">
    <w:name w:val="Intense Reference"/>
    <w:basedOn w:val="DefaultParagraphFont"/>
    <w:uiPriority w:val="32"/>
    <w:qFormat/>
    <w:rsid w:val="004C6D6D"/>
    <w:rPr>
      <w:b/>
      <w:bCs/>
      <w:smallCaps/>
      <w:color w:val="2F5496" w:themeColor="accent1" w:themeShade="BF"/>
      <w:spacing w:val="5"/>
    </w:rPr>
  </w:style>
  <w:style w:type="paragraph" w:customStyle="1" w:styleId="msonormal0">
    <w:name w:val="msonormal"/>
    <w:basedOn w:val="Normal"/>
    <w:rsid w:val="004C6D6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6D6D"/>
    <w:rPr>
      <w:b/>
      <w:bCs/>
    </w:rPr>
  </w:style>
  <w:style w:type="character" w:customStyle="1" w:styleId="table-title">
    <w:name w:val="table-title"/>
    <w:basedOn w:val="DefaultParagraphFont"/>
    <w:rsid w:val="004C6D6D"/>
  </w:style>
  <w:style w:type="character" w:styleId="Emphasis">
    <w:name w:val="Emphasis"/>
    <w:basedOn w:val="DefaultParagraphFont"/>
    <w:uiPriority w:val="20"/>
    <w:qFormat/>
    <w:rsid w:val="004C6D6D"/>
    <w:rPr>
      <w:i/>
      <w:iCs/>
    </w:rPr>
  </w:style>
  <w:style w:type="table" w:styleId="TableGrid">
    <w:name w:val="Table Grid"/>
    <w:basedOn w:val="TableNormal"/>
    <w:uiPriority w:val="39"/>
    <w:rsid w:val="004C6D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20</Pages>
  <Words>4254</Words>
  <Characters>24253</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2026-08-26T07:31:00Z</dcterms:created>
  <dcterms:modified xsi:type="dcterms:W3CDTF">2026-08-26T07:48:00Z</dcterms:modified>
</cp:coreProperties>
</file>