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2634E" w14:textId="1C2615EC" w:rsidR="008C6101" w:rsidRPr="00B83F46" w:rsidRDefault="00B83F46" w:rsidP="00F629E4">
      <w:pPr>
        <w:spacing w:before="240" w:after="80"/>
        <w:jc w:val="center"/>
        <w:rPr>
          <w:rFonts w:ascii="Times New Roman" w:hAnsi="Times New Roman" w:cs="Times New Roman"/>
          <w:sz w:val="24"/>
          <w:szCs w:val="24"/>
        </w:rPr>
      </w:pPr>
      <w:r w:rsidRPr="00B83F46">
        <w:rPr>
          <w:rFonts w:ascii="Times New Roman" w:hAnsi="Times New Roman" w:cs="Times New Roman"/>
          <w:b/>
          <w:sz w:val="24"/>
          <w:szCs w:val="24"/>
        </w:rPr>
        <w:t>OFFSHORE ASSOCIATED GAS PROCESSING AND MONETISATION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83F46">
        <w:rPr>
          <w:rFonts w:ascii="Times New Roman" w:hAnsi="Times New Roman" w:cs="Times New Roman"/>
          <w:b/>
          <w:sz w:val="24"/>
          <w:szCs w:val="24"/>
        </w:rPr>
        <w:t>INFRASTRUCTURE IN NAMIBIA</w:t>
      </w:r>
    </w:p>
    <w:p w14:paraId="4F141FDC" w14:textId="4AD6034E" w:rsidR="00F629E4" w:rsidRDefault="00F629E4" w:rsidP="00F629E4">
      <w:pPr>
        <w:spacing w:before="24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Executive Summary</w:t>
      </w:r>
      <w:r w:rsidRPr="00F629E4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F629E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3B953F" w14:textId="17EF7F0E" w:rsidR="00F629E4" w:rsidRDefault="00F629E4" w:rsidP="00F629E4">
      <w:pPr>
        <w:spacing w:before="240" w:after="120"/>
        <w:jc w:val="both"/>
        <w:rPr>
          <w:rFonts w:ascii="Times New Roman" w:hAnsi="Times New Roman" w:cs="Times New Roman"/>
          <w:sz w:val="24"/>
          <w:szCs w:val="24"/>
        </w:rPr>
      </w:pPr>
      <w:r w:rsidRPr="00F629E4">
        <w:rPr>
          <w:rFonts w:ascii="Times New Roman" w:hAnsi="Times New Roman" w:cs="Times New Roman"/>
          <w:sz w:val="24"/>
          <w:szCs w:val="24"/>
        </w:rPr>
        <w:t>Namibia's Orange Basin holds world-class oil and gas resources, but no field is yet at Final Investment Decision (FID). Associated gas monetization is technically feasible but commercially constrained by ultra-deepwater costs, high gas-to-oil ratios, and the absence of any existing offshore gas infrastructure. The only near-term certainty is gas reinjection at Venus; all export pathways remain speculative pending FID.</w:t>
      </w:r>
    </w:p>
    <w:p w14:paraId="00D15F62" w14:textId="77777777" w:rsidR="00F629E4" w:rsidRPr="00F629E4" w:rsidRDefault="00F629E4" w:rsidP="00F629E4">
      <w:pPr>
        <w:spacing w:before="240"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6AD96907" w14:textId="77777777" w:rsidR="00F629E4" w:rsidRPr="00F629E4" w:rsidRDefault="00F629E4" w:rsidP="00F629E4">
      <w:pPr>
        <w:spacing w:before="240" w:after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629E4">
        <w:rPr>
          <w:rFonts w:ascii="Times New Roman" w:hAnsi="Times New Roman" w:cs="Times New Roman"/>
          <w:b/>
          <w:bCs/>
          <w:sz w:val="24"/>
          <w:szCs w:val="24"/>
        </w:rPr>
        <w:t>1. CONFIRMED RESOURCE BASE &amp; OPERATOR LANDSCAPE</w:t>
      </w:r>
    </w:p>
    <w:p w14:paraId="3EF19000" w14:textId="1B9D7190" w:rsidR="00F629E4" w:rsidRPr="00F629E4" w:rsidRDefault="00F629E4" w:rsidP="00F629E4">
      <w:pPr>
        <w:spacing w:before="240" w:after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629E4">
        <w:rPr>
          <w:rFonts w:ascii="Times New Roman" w:hAnsi="Times New Roman" w:cs="Times New Roman"/>
          <w:b/>
          <w:bCs/>
          <w:sz w:val="24"/>
          <w:szCs w:val="24"/>
        </w:rPr>
        <w:t>1.1 Verified Field Inventory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78"/>
        <w:gridCol w:w="1788"/>
        <w:gridCol w:w="1988"/>
        <w:gridCol w:w="1724"/>
        <w:gridCol w:w="1651"/>
        <w:gridCol w:w="1247"/>
      </w:tblGrid>
      <w:tr w:rsidR="00F629E4" w:rsidRPr="00F629E4" w14:paraId="53F2F73A" w14:textId="77777777" w:rsidTr="00F629E4">
        <w:tc>
          <w:tcPr>
            <w:tcW w:w="0" w:type="auto"/>
            <w:hideMark/>
          </w:tcPr>
          <w:p w14:paraId="542E1EAC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Field / Asset</w:t>
            </w:r>
          </w:p>
        </w:tc>
        <w:tc>
          <w:tcPr>
            <w:tcW w:w="0" w:type="auto"/>
            <w:hideMark/>
          </w:tcPr>
          <w:p w14:paraId="085BA20D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Block</w:t>
            </w:r>
          </w:p>
        </w:tc>
        <w:tc>
          <w:tcPr>
            <w:tcW w:w="0" w:type="auto"/>
            <w:hideMark/>
          </w:tcPr>
          <w:p w14:paraId="3E647FF9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Operator &amp; Equity (Current)</w:t>
            </w:r>
          </w:p>
        </w:tc>
        <w:tc>
          <w:tcPr>
            <w:tcW w:w="1724" w:type="dxa"/>
            <w:hideMark/>
          </w:tcPr>
          <w:p w14:paraId="308E5697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Water Depth</w:t>
            </w:r>
          </w:p>
        </w:tc>
        <w:tc>
          <w:tcPr>
            <w:tcW w:w="1651" w:type="dxa"/>
            <w:hideMark/>
          </w:tcPr>
          <w:p w14:paraId="5F9C9E3E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Status</w:t>
            </w:r>
          </w:p>
        </w:tc>
        <w:tc>
          <w:tcPr>
            <w:tcW w:w="0" w:type="auto"/>
            <w:hideMark/>
          </w:tcPr>
          <w:p w14:paraId="166FA3FE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First Oil Target</w:t>
            </w:r>
          </w:p>
        </w:tc>
      </w:tr>
      <w:tr w:rsidR="00F629E4" w:rsidRPr="00F629E4" w14:paraId="10621FA5" w14:textId="77777777" w:rsidTr="00F629E4">
        <w:tc>
          <w:tcPr>
            <w:tcW w:w="0" w:type="auto"/>
            <w:hideMark/>
          </w:tcPr>
          <w:p w14:paraId="2B034F80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Venus</w:t>
            </w:r>
          </w:p>
        </w:tc>
        <w:tc>
          <w:tcPr>
            <w:tcW w:w="0" w:type="auto"/>
            <w:hideMark/>
          </w:tcPr>
          <w:p w14:paraId="390DBCC3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PEL 56 (2913B)</w:t>
            </w:r>
          </w:p>
        </w:tc>
        <w:tc>
          <w:tcPr>
            <w:tcW w:w="0" w:type="auto"/>
            <w:hideMark/>
          </w:tcPr>
          <w:p w14:paraId="5F0F67D2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 xml:space="preserve">TotalEnergies 35.25%, </w:t>
            </w:r>
            <w:proofErr w:type="spellStart"/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QatarEnergy</w:t>
            </w:r>
            <w:proofErr w:type="spellEnd"/>
            <w:r w:rsidRPr="00F629E4">
              <w:rPr>
                <w:rFonts w:ascii="Times New Roman" w:hAnsi="Times New Roman" w:cs="Times New Roman"/>
                <w:sz w:val="24"/>
                <w:szCs w:val="24"/>
              </w:rPr>
              <w:t xml:space="preserve"> 35.25%, Galp 10%, NAMCOR 10%, Impact 9.5%</w:t>
            </w:r>
          </w:p>
        </w:tc>
        <w:tc>
          <w:tcPr>
            <w:tcW w:w="1724" w:type="dxa"/>
            <w:hideMark/>
          </w:tcPr>
          <w:p w14:paraId="6D0EBB1A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~3,000 m</w:t>
            </w:r>
          </w:p>
        </w:tc>
        <w:tc>
          <w:tcPr>
            <w:tcW w:w="1651" w:type="dxa"/>
            <w:hideMark/>
          </w:tcPr>
          <w:p w14:paraId="692CD026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Appraisal ongoing; FID targeted Q4 2026</w:t>
            </w:r>
          </w:p>
        </w:tc>
        <w:tc>
          <w:tcPr>
            <w:tcW w:w="0" w:type="auto"/>
            <w:hideMark/>
          </w:tcPr>
          <w:p w14:paraId="773A3DCF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~2029–2030</w:t>
            </w:r>
          </w:p>
        </w:tc>
      </w:tr>
      <w:tr w:rsidR="00F629E4" w:rsidRPr="00F629E4" w14:paraId="67358383" w14:textId="77777777" w:rsidTr="00F629E4">
        <w:tc>
          <w:tcPr>
            <w:tcW w:w="0" w:type="auto"/>
            <w:hideMark/>
          </w:tcPr>
          <w:p w14:paraId="1F64B0B8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Mopane</w:t>
            </w:r>
          </w:p>
        </w:tc>
        <w:tc>
          <w:tcPr>
            <w:tcW w:w="0" w:type="auto"/>
            <w:hideMark/>
          </w:tcPr>
          <w:p w14:paraId="74DC4A06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PEL 83 (2813B)</w:t>
            </w:r>
          </w:p>
        </w:tc>
        <w:tc>
          <w:tcPr>
            <w:tcW w:w="0" w:type="auto"/>
            <w:hideMark/>
          </w:tcPr>
          <w:p w14:paraId="4210B773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TotalEnergies 40% (op),</w:t>
            </w: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 xml:space="preserve"> Galp 40%, NAMCOR 10%, Custos 10%</w:t>
            </w:r>
          </w:p>
        </w:tc>
        <w:tc>
          <w:tcPr>
            <w:tcW w:w="1724" w:type="dxa"/>
            <w:hideMark/>
          </w:tcPr>
          <w:p w14:paraId="165A8694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~1,800 m</w:t>
            </w:r>
          </w:p>
        </w:tc>
        <w:tc>
          <w:tcPr>
            <w:tcW w:w="1651" w:type="dxa"/>
            <w:hideMark/>
          </w:tcPr>
          <w:p w14:paraId="29E9A067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Appraisal ongoing; TotalEnergies took operatorship Dec 2025</w:t>
            </w:r>
          </w:p>
        </w:tc>
        <w:tc>
          <w:tcPr>
            <w:tcW w:w="0" w:type="auto"/>
            <w:hideMark/>
          </w:tcPr>
          <w:p w14:paraId="02BB5195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2031+</w:t>
            </w:r>
          </w:p>
        </w:tc>
      </w:tr>
      <w:tr w:rsidR="00F629E4" w:rsidRPr="00F629E4" w14:paraId="1CA03B19" w14:textId="77777777" w:rsidTr="00F629E4">
        <w:tc>
          <w:tcPr>
            <w:tcW w:w="0" w:type="auto"/>
            <w:hideMark/>
          </w:tcPr>
          <w:p w14:paraId="0B033640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Graff / Jonker / La Rona / Lesedi</w:t>
            </w:r>
          </w:p>
        </w:tc>
        <w:tc>
          <w:tcPr>
            <w:tcW w:w="0" w:type="auto"/>
            <w:hideMark/>
          </w:tcPr>
          <w:p w14:paraId="1544F0D2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PEL 39 (2913A/2914A)</w:t>
            </w:r>
          </w:p>
        </w:tc>
        <w:tc>
          <w:tcPr>
            <w:tcW w:w="0" w:type="auto"/>
            <w:hideMark/>
          </w:tcPr>
          <w:p w14:paraId="10D76B47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 xml:space="preserve">Shell 45% (op), </w:t>
            </w:r>
            <w:proofErr w:type="spellStart"/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QatarEnergy</w:t>
            </w:r>
            <w:proofErr w:type="spellEnd"/>
            <w:r w:rsidRPr="00F629E4">
              <w:rPr>
                <w:rFonts w:ascii="Times New Roman" w:hAnsi="Times New Roman" w:cs="Times New Roman"/>
                <w:sz w:val="24"/>
                <w:szCs w:val="24"/>
              </w:rPr>
              <w:t xml:space="preserve"> 45%, NAMCOR 10%</w:t>
            </w:r>
          </w:p>
        </w:tc>
        <w:tc>
          <w:tcPr>
            <w:tcW w:w="1724" w:type="dxa"/>
            <w:hideMark/>
          </w:tcPr>
          <w:p w14:paraId="333B451B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~2,000–2,700 m</w:t>
            </w:r>
          </w:p>
        </w:tc>
        <w:tc>
          <w:tcPr>
            <w:tcW w:w="1651" w:type="dxa"/>
            <w:hideMark/>
          </w:tcPr>
          <w:p w14:paraId="03D6ED23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Impaired.</w:t>
            </w: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 xml:space="preserve"> Shell wrote down $400M in Jan 2025; Graff/Jonker </w:t>
            </w:r>
            <w:r w:rsidRPr="00F629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deemed commercially unviable due to low permeability and high GOR. New exploration (Merlin-1X, 2026) ongoing.</w:t>
            </w:r>
          </w:p>
        </w:tc>
        <w:tc>
          <w:tcPr>
            <w:tcW w:w="0" w:type="auto"/>
            <w:hideMark/>
          </w:tcPr>
          <w:p w14:paraId="67540066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Indefinite</w:t>
            </w:r>
          </w:p>
        </w:tc>
      </w:tr>
      <w:tr w:rsidR="00F629E4" w:rsidRPr="00F629E4" w14:paraId="721EE35A" w14:textId="77777777" w:rsidTr="00F629E4">
        <w:tc>
          <w:tcPr>
            <w:tcW w:w="0" w:type="auto"/>
            <w:hideMark/>
          </w:tcPr>
          <w:p w14:paraId="4A07F317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Kudu</w:t>
            </w:r>
          </w:p>
        </w:tc>
        <w:tc>
          <w:tcPr>
            <w:tcW w:w="0" w:type="auto"/>
            <w:hideMark/>
          </w:tcPr>
          <w:p w14:paraId="2E059E5C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2814A</w:t>
            </w:r>
          </w:p>
        </w:tc>
        <w:tc>
          <w:tcPr>
            <w:tcW w:w="0" w:type="auto"/>
            <w:hideMark/>
          </w:tcPr>
          <w:p w14:paraId="28990391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BW Energy 95%, NAMCOR 5%</w:t>
            </w:r>
          </w:p>
        </w:tc>
        <w:tc>
          <w:tcPr>
            <w:tcW w:w="1724" w:type="dxa"/>
            <w:hideMark/>
          </w:tcPr>
          <w:p w14:paraId="112AAAD8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170 m</w:t>
            </w:r>
          </w:p>
        </w:tc>
        <w:tc>
          <w:tcPr>
            <w:tcW w:w="1651" w:type="dxa"/>
            <w:hideMark/>
          </w:tcPr>
          <w:p w14:paraId="2CE8D9CA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Appraisal complete (Kharas-1, 2025); FID targeted late 2026</w:t>
            </w:r>
          </w:p>
        </w:tc>
        <w:tc>
          <w:tcPr>
            <w:tcW w:w="0" w:type="auto"/>
            <w:hideMark/>
          </w:tcPr>
          <w:p w14:paraId="7BF7F27F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2028–2029</w:t>
            </w:r>
          </w:p>
        </w:tc>
      </w:tr>
      <w:tr w:rsidR="00F629E4" w:rsidRPr="00F629E4" w14:paraId="7CFED1FB" w14:textId="77777777" w:rsidTr="00F629E4">
        <w:tc>
          <w:tcPr>
            <w:tcW w:w="0" w:type="auto"/>
            <w:hideMark/>
          </w:tcPr>
          <w:p w14:paraId="2604DF38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Other</w:t>
            </w:r>
          </w:p>
        </w:tc>
        <w:tc>
          <w:tcPr>
            <w:tcW w:w="0" w:type="auto"/>
            <w:hideMark/>
          </w:tcPr>
          <w:p w14:paraId="23F433FF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PEL 85, 90, etc.</w:t>
            </w:r>
          </w:p>
        </w:tc>
        <w:tc>
          <w:tcPr>
            <w:tcW w:w="0" w:type="auto"/>
            <w:hideMark/>
          </w:tcPr>
          <w:p w14:paraId="6A7B9081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Chevron, Rhino Resources, Petrobras, Woodside</w:t>
            </w:r>
          </w:p>
        </w:tc>
        <w:tc>
          <w:tcPr>
            <w:tcW w:w="1724" w:type="dxa"/>
            <w:hideMark/>
          </w:tcPr>
          <w:p w14:paraId="2163A106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1,500–2,500 m</w:t>
            </w:r>
          </w:p>
        </w:tc>
        <w:tc>
          <w:tcPr>
            <w:tcW w:w="1651" w:type="dxa"/>
            <w:hideMark/>
          </w:tcPr>
          <w:p w14:paraId="062515D6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Early exploration</w:t>
            </w:r>
          </w:p>
        </w:tc>
        <w:tc>
          <w:tcPr>
            <w:tcW w:w="0" w:type="auto"/>
            <w:hideMark/>
          </w:tcPr>
          <w:p w14:paraId="57C35E20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2032+</w:t>
            </w:r>
          </w:p>
        </w:tc>
      </w:tr>
    </w:tbl>
    <w:p w14:paraId="56CA7AA6" w14:textId="64481051" w:rsidR="00F629E4" w:rsidRPr="00F629E4" w:rsidRDefault="00F629E4" w:rsidP="00F629E4">
      <w:pPr>
        <w:spacing w:before="240" w:after="120"/>
        <w:jc w:val="both"/>
        <w:rPr>
          <w:rFonts w:ascii="Times New Roman" w:hAnsi="Times New Roman" w:cs="Times New Roman"/>
          <w:sz w:val="24"/>
          <w:szCs w:val="24"/>
        </w:rPr>
      </w:pPr>
      <w:r w:rsidRPr="00F629E4">
        <w:rPr>
          <w:rFonts w:ascii="Times New Roman" w:hAnsi="Times New Roman" w:cs="Times New Roman"/>
          <w:sz w:val="24"/>
          <w:szCs w:val="24"/>
        </w:rPr>
        <w:t xml:space="preserve">TotalEnergies became operator of Mopane in December 2025 after acquiring a 40% interest from Galp, consolidating control over Namibia's two largest offshore discoveries. </w:t>
      </w:r>
    </w:p>
    <w:p w14:paraId="57ECBDE1" w14:textId="77777777" w:rsidR="00F629E4" w:rsidRDefault="00F629E4" w:rsidP="00F629E4">
      <w:pPr>
        <w:spacing w:before="240"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3C234E70" w14:textId="3E9792EF" w:rsidR="00F629E4" w:rsidRPr="00F629E4" w:rsidRDefault="00F629E4" w:rsidP="00F629E4">
      <w:pPr>
        <w:spacing w:before="240" w:after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629E4">
        <w:rPr>
          <w:rFonts w:ascii="Times New Roman" w:hAnsi="Times New Roman" w:cs="Times New Roman"/>
          <w:b/>
          <w:bCs/>
          <w:sz w:val="24"/>
          <w:szCs w:val="24"/>
        </w:rPr>
        <w:t>1.2 Resource Classification: In-Place vs. Recoverable</w:t>
      </w:r>
    </w:p>
    <w:p w14:paraId="5298C33C" w14:textId="38BAC8E7" w:rsidR="00F629E4" w:rsidRPr="00F629E4" w:rsidRDefault="00F629E4" w:rsidP="00F629E4">
      <w:pPr>
        <w:spacing w:before="240" w:after="120"/>
        <w:jc w:val="both"/>
        <w:rPr>
          <w:rFonts w:ascii="Times New Roman" w:hAnsi="Times New Roman" w:cs="Times New Roman"/>
          <w:sz w:val="24"/>
          <w:szCs w:val="24"/>
        </w:rPr>
      </w:pPr>
      <w:r w:rsidRPr="00F629E4">
        <w:rPr>
          <w:rFonts w:ascii="Times New Roman" w:hAnsi="Times New Roman" w:cs="Times New Roman"/>
          <w:sz w:val="24"/>
          <w:szCs w:val="24"/>
        </w:rPr>
        <w:t xml:space="preserve">The original document conflated </w:t>
      </w:r>
      <w:r w:rsidRPr="00F629E4">
        <w:rPr>
          <w:rFonts w:ascii="Times New Roman" w:hAnsi="Times New Roman" w:cs="Times New Roman"/>
          <w:b/>
          <w:bCs/>
          <w:sz w:val="24"/>
          <w:szCs w:val="24"/>
        </w:rPr>
        <w:t>oil-in-place</w:t>
      </w:r>
      <w:r w:rsidRPr="00F629E4">
        <w:rPr>
          <w:rFonts w:ascii="Times New Roman" w:hAnsi="Times New Roman" w:cs="Times New Roman"/>
          <w:sz w:val="24"/>
          <w:szCs w:val="24"/>
        </w:rPr>
        <w:t xml:space="preserve"> with </w:t>
      </w:r>
      <w:r w:rsidRPr="00F629E4">
        <w:rPr>
          <w:rFonts w:ascii="Times New Roman" w:hAnsi="Times New Roman" w:cs="Times New Roman"/>
          <w:b/>
          <w:bCs/>
          <w:sz w:val="24"/>
          <w:szCs w:val="24"/>
        </w:rPr>
        <w:t>recoverable reserves</w:t>
      </w:r>
      <w:r w:rsidRPr="00F629E4">
        <w:rPr>
          <w:rFonts w:ascii="Times New Roman" w:hAnsi="Times New Roman" w:cs="Times New Roman"/>
          <w:sz w:val="24"/>
          <w:szCs w:val="24"/>
        </w:rPr>
        <w:t>. This is a material distinction for investment decisions.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4"/>
        <w:gridCol w:w="1323"/>
        <w:gridCol w:w="2714"/>
        <w:gridCol w:w="3060"/>
        <w:gridCol w:w="1475"/>
      </w:tblGrid>
      <w:tr w:rsidR="00F629E4" w:rsidRPr="00F629E4" w14:paraId="229C8F5F" w14:textId="77777777" w:rsidTr="00F629E4">
        <w:tc>
          <w:tcPr>
            <w:tcW w:w="0" w:type="auto"/>
            <w:hideMark/>
          </w:tcPr>
          <w:p w14:paraId="4986BBAC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Field</w:t>
            </w:r>
          </w:p>
        </w:tc>
        <w:tc>
          <w:tcPr>
            <w:tcW w:w="0" w:type="auto"/>
            <w:hideMark/>
          </w:tcPr>
          <w:p w14:paraId="50DA9E62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Oil In-Place (Est.)</w:t>
            </w:r>
          </w:p>
        </w:tc>
        <w:tc>
          <w:tcPr>
            <w:tcW w:w="0" w:type="auto"/>
            <w:hideMark/>
          </w:tcPr>
          <w:p w14:paraId="6DFAFAD4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Recoverable Oil/Condensate (Est.)</w:t>
            </w:r>
          </w:p>
        </w:tc>
        <w:tc>
          <w:tcPr>
            <w:tcW w:w="0" w:type="auto"/>
            <w:hideMark/>
          </w:tcPr>
          <w:p w14:paraId="50758010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Associated Gas (Est.)</w:t>
            </w:r>
          </w:p>
        </w:tc>
        <w:tc>
          <w:tcPr>
            <w:tcW w:w="0" w:type="auto"/>
            <w:hideMark/>
          </w:tcPr>
          <w:p w14:paraId="46BED921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Confidence</w:t>
            </w:r>
          </w:p>
        </w:tc>
      </w:tr>
      <w:tr w:rsidR="00F629E4" w:rsidRPr="00F629E4" w14:paraId="480C18F6" w14:textId="77777777" w:rsidTr="00F629E4">
        <w:tc>
          <w:tcPr>
            <w:tcW w:w="0" w:type="auto"/>
            <w:hideMark/>
          </w:tcPr>
          <w:p w14:paraId="6B34F4D1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Venus</w:t>
            </w:r>
          </w:p>
        </w:tc>
        <w:tc>
          <w:tcPr>
            <w:tcW w:w="0" w:type="auto"/>
            <w:hideMark/>
          </w:tcPr>
          <w:p w14:paraId="69A0F6CD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 xml:space="preserve">~5.1 billion </w:t>
            </w:r>
            <w:r w:rsidRPr="00F629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barrels</w:t>
            </w:r>
          </w:p>
        </w:tc>
        <w:tc>
          <w:tcPr>
            <w:tcW w:w="0" w:type="auto"/>
            <w:hideMark/>
          </w:tcPr>
          <w:p w14:paraId="5F29007F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~750 million barrels</w:t>
            </w:r>
          </w:p>
        </w:tc>
        <w:tc>
          <w:tcPr>
            <w:tcW w:w="0" w:type="auto"/>
            <w:hideMark/>
          </w:tcPr>
          <w:p w14:paraId="4304E2CD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 xml:space="preserve">5–8 </w:t>
            </w:r>
            <w:proofErr w:type="spellStart"/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Tcf</w:t>
            </w:r>
            <w:proofErr w:type="spellEnd"/>
            <w:r w:rsidRPr="00F629E4">
              <w:rPr>
                <w:rFonts w:ascii="Times New Roman" w:hAnsi="Times New Roman" w:cs="Times New Roman"/>
                <w:sz w:val="24"/>
                <w:szCs w:val="24"/>
              </w:rPr>
              <w:t xml:space="preserve"> (associated, in-place)</w:t>
            </w:r>
          </w:p>
        </w:tc>
        <w:tc>
          <w:tcPr>
            <w:tcW w:w="0" w:type="auto"/>
            <w:hideMark/>
          </w:tcPr>
          <w:p w14:paraId="2D7DA412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Moderate–High</w:t>
            </w:r>
          </w:p>
        </w:tc>
      </w:tr>
      <w:tr w:rsidR="00F629E4" w:rsidRPr="00F629E4" w14:paraId="14AFB26E" w14:textId="77777777" w:rsidTr="00F629E4">
        <w:tc>
          <w:tcPr>
            <w:tcW w:w="0" w:type="auto"/>
            <w:hideMark/>
          </w:tcPr>
          <w:p w14:paraId="132667B7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Mopane</w:t>
            </w:r>
          </w:p>
        </w:tc>
        <w:tc>
          <w:tcPr>
            <w:tcW w:w="0" w:type="auto"/>
            <w:hideMark/>
          </w:tcPr>
          <w:p w14:paraId="4365A2DC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 xml:space="preserve">~10 billion </w:t>
            </w:r>
            <w:proofErr w:type="spellStart"/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boe</w:t>
            </w:r>
            <w:proofErr w:type="spellEnd"/>
            <w:r w:rsidRPr="00F629E4">
              <w:rPr>
                <w:rFonts w:ascii="Times New Roman" w:hAnsi="Times New Roman" w:cs="Times New Roman"/>
                <w:sz w:val="24"/>
                <w:szCs w:val="24"/>
              </w:rPr>
              <w:t xml:space="preserve"> in-place</w:t>
            </w:r>
          </w:p>
        </w:tc>
        <w:tc>
          <w:tcPr>
            <w:tcW w:w="0" w:type="auto"/>
            <w:hideMark/>
          </w:tcPr>
          <w:p w14:paraId="2D25A16C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 xml:space="preserve">~2 billion </w:t>
            </w:r>
            <w:proofErr w:type="spellStart"/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boe</w:t>
            </w:r>
            <w:proofErr w:type="spellEnd"/>
            <w:r w:rsidRPr="00F629E4">
              <w:rPr>
                <w:rFonts w:ascii="Times New Roman" w:hAnsi="Times New Roman" w:cs="Times New Roman"/>
                <w:sz w:val="24"/>
                <w:szCs w:val="24"/>
              </w:rPr>
              <w:t xml:space="preserve"> recoverable</w:t>
            </w:r>
          </w:p>
        </w:tc>
        <w:tc>
          <w:tcPr>
            <w:tcW w:w="0" w:type="auto"/>
            <w:hideMark/>
          </w:tcPr>
          <w:p w14:paraId="17AE7B5D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 xml:space="preserve">3–5 </w:t>
            </w:r>
            <w:proofErr w:type="spellStart"/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Tcf</w:t>
            </w:r>
            <w:proofErr w:type="spellEnd"/>
            <w:r w:rsidRPr="00F629E4">
              <w:rPr>
                <w:rFonts w:ascii="Times New Roman" w:hAnsi="Times New Roman" w:cs="Times New Roman"/>
                <w:sz w:val="24"/>
                <w:szCs w:val="24"/>
              </w:rPr>
              <w:t xml:space="preserve"> (associated, contingent)</w:t>
            </w:r>
          </w:p>
        </w:tc>
        <w:tc>
          <w:tcPr>
            <w:tcW w:w="0" w:type="auto"/>
            <w:hideMark/>
          </w:tcPr>
          <w:p w14:paraId="1BBF4B12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Moderate</w:t>
            </w:r>
          </w:p>
        </w:tc>
      </w:tr>
      <w:tr w:rsidR="00F629E4" w:rsidRPr="00F629E4" w14:paraId="61A98106" w14:textId="77777777" w:rsidTr="00F629E4">
        <w:tc>
          <w:tcPr>
            <w:tcW w:w="0" w:type="auto"/>
            <w:hideMark/>
          </w:tcPr>
          <w:p w14:paraId="335CE4FA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Graff</w:t>
            </w:r>
          </w:p>
        </w:tc>
        <w:tc>
          <w:tcPr>
            <w:tcW w:w="0" w:type="auto"/>
            <w:hideMark/>
          </w:tcPr>
          <w:p w14:paraId="0DC91B72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0" w:type="auto"/>
            <w:hideMark/>
          </w:tcPr>
          <w:p w14:paraId="772EA8F8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~200 million barrels (impaired)</w:t>
            </w:r>
          </w:p>
        </w:tc>
        <w:tc>
          <w:tcPr>
            <w:tcW w:w="0" w:type="auto"/>
            <w:hideMark/>
          </w:tcPr>
          <w:p w14:paraId="54153A03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High GOR; not commercially viable as configured</w:t>
            </w:r>
          </w:p>
        </w:tc>
        <w:tc>
          <w:tcPr>
            <w:tcW w:w="0" w:type="auto"/>
            <w:hideMark/>
          </w:tcPr>
          <w:p w14:paraId="4D5F721C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Low</w:t>
            </w:r>
          </w:p>
        </w:tc>
      </w:tr>
      <w:tr w:rsidR="00F629E4" w:rsidRPr="00F629E4" w14:paraId="45C114FC" w14:textId="77777777" w:rsidTr="00F629E4">
        <w:tc>
          <w:tcPr>
            <w:tcW w:w="0" w:type="auto"/>
            <w:hideMark/>
          </w:tcPr>
          <w:p w14:paraId="3EC7AFC0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Jonker</w:t>
            </w:r>
          </w:p>
        </w:tc>
        <w:tc>
          <w:tcPr>
            <w:tcW w:w="0" w:type="auto"/>
            <w:hideMark/>
          </w:tcPr>
          <w:p w14:paraId="0DAE3A29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0" w:type="auto"/>
            <w:hideMark/>
          </w:tcPr>
          <w:p w14:paraId="6FF9EF76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~300 million barrels (impaired)</w:t>
            </w:r>
          </w:p>
        </w:tc>
        <w:tc>
          <w:tcPr>
            <w:tcW w:w="0" w:type="auto"/>
            <w:hideMark/>
          </w:tcPr>
          <w:p w14:paraId="62648763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High GOR; not commercially viable as configured</w:t>
            </w:r>
          </w:p>
        </w:tc>
        <w:tc>
          <w:tcPr>
            <w:tcW w:w="0" w:type="auto"/>
            <w:hideMark/>
          </w:tcPr>
          <w:p w14:paraId="45AAD52E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Low</w:t>
            </w:r>
          </w:p>
        </w:tc>
      </w:tr>
      <w:tr w:rsidR="00F629E4" w:rsidRPr="00F629E4" w14:paraId="5B24D73C" w14:textId="77777777" w:rsidTr="00F629E4">
        <w:tc>
          <w:tcPr>
            <w:tcW w:w="0" w:type="auto"/>
            <w:hideMark/>
          </w:tcPr>
          <w:p w14:paraId="1B4EE822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Kudu</w:t>
            </w:r>
          </w:p>
        </w:tc>
        <w:tc>
          <w:tcPr>
            <w:tcW w:w="0" w:type="auto"/>
            <w:hideMark/>
          </w:tcPr>
          <w:p w14:paraId="3D2C18FF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0" w:type="auto"/>
            <w:hideMark/>
          </w:tcPr>
          <w:p w14:paraId="5FC7D4C3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 xml:space="preserve">1.3 </w:t>
            </w:r>
            <w:proofErr w:type="spellStart"/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Tcf</w:t>
            </w:r>
            <w:proofErr w:type="spellEnd"/>
            <w:r w:rsidRPr="00F629E4">
              <w:rPr>
                <w:rFonts w:ascii="Times New Roman" w:hAnsi="Times New Roman" w:cs="Times New Roman"/>
                <w:sz w:val="24"/>
                <w:szCs w:val="24"/>
              </w:rPr>
              <w:t xml:space="preserve"> gas (2C contingent); 755–2,308 </w:t>
            </w:r>
            <w:proofErr w:type="spellStart"/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Bscf</w:t>
            </w:r>
            <w:proofErr w:type="spellEnd"/>
            <w:r w:rsidRPr="00F629E4">
              <w:rPr>
                <w:rFonts w:ascii="Times New Roman" w:hAnsi="Times New Roman" w:cs="Times New Roman"/>
                <w:sz w:val="24"/>
                <w:szCs w:val="24"/>
              </w:rPr>
              <w:t xml:space="preserve"> range</w:t>
            </w:r>
          </w:p>
        </w:tc>
        <w:tc>
          <w:tcPr>
            <w:tcW w:w="0" w:type="auto"/>
            <w:hideMark/>
          </w:tcPr>
          <w:p w14:paraId="103A2CC9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Non-associated (dry gas + new condensate/light oil at Kharas-1)</w:t>
            </w:r>
          </w:p>
        </w:tc>
        <w:tc>
          <w:tcPr>
            <w:tcW w:w="0" w:type="auto"/>
            <w:hideMark/>
          </w:tcPr>
          <w:p w14:paraId="22D4DCBC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Moderate</w:t>
            </w:r>
          </w:p>
        </w:tc>
      </w:tr>
    </w:tbl>
    <w:p w14:paraId="5EF9029B" w14:textId="06653B2C" w:rsidR="00F629E4" w:rsidRPr="00F629E4" w:rsidRDefault="00F629E4" w:rsidP="00F629E4">
      <w:pPr>
        <w:spacing w:before="240"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11E5D57E" w14:textId="77777777" w:rsidR="00F629E4" w:rsidRPr="00F629E4" w:rsidRDefault="00F629E4" w:rsidP="00F629E4">
      <w:pPr>
        <w:spacing w:before="240" w:after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629E4">
        <w:rPr>
          <w:rFonts w:ascii="Times New Roman" w:hAnsi="Times New Roman" w:cs="Times New Roman"/>
          <w:b/>
          <w:bCs/>
          <w:sz w:val="24"/>
          <w:szCs w:val="24"/>
        </w:rPr>
        <w:t>2. ASSOCIATED GAS PROCESSING: TECHNICAL REALITY</w:t>
      </w:r>
    </w:p>
    <w:p w14:paraId="393C0CCE" w14:textId="77777777" w:rsidR="00F629E4" w:rsidRPr="00F629E4" w:rsidRDefault="00F629E4" w:rsidP="00F629E4">
      <w:pPr>
        <w:spacing w:before="240" w:after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629E4">
        <w:rPr>
          <w:rFonts w:ascii="Times New Roman" w:hAnsi="Times New Roman" w:cs="Times New Roman"/>
          <w:b/>
          <w:bCs/>
          <w:sz w:val="24"/>
          <w:szCs w:val="24"/>
        </w:rPr>
        <w:t>2.1 The Core Constraint</w:t>
      </w:r>
    </w:p>
    <w:p w14:paraId="4FC3FFFE" w14:textId="77777777" w:rsidR="00F629E4" w:rsidRPr="00F629E4" w:rsidRDefault="00F629E4" w:rsidP="00F629E4">
      <w:pPr>
        <w:spacing w:before="240" w:after="120"/>
        <w:jc w:val="both"/>
        <w:rPr>
          <w:rFonts w:ascii="Times New Roman" w:hAnsi="Times New Roman" w:cs="Times New Roman"/>
          <w:sz w:val="24"/>
          <w:szCs w:val="24"/>
        </w:rPr>
      </w:pPr>
      <w:r w:rsidRPr="00F629E4">
        <w:rPr>
          <w:rFonts w:ascii="Times New Roman" w:hAnsi="Times New Roman" w:cs="Times New Roman"/>
          <w:sz w:val="24"/>
          <w:szCs w:val="24"/>
        </w:rPr>
        <w:t xml:space="preserve">Ultra-deepwater FPSOs (1,800–3,000 m) face severe weight, power, and footprint limits. Venus's associated gas production is estimated at </w:t>
      </w:r>
      <w:r w:rsidRPr="00F629E4">
        <w:rPr>
          <w:rFonts w:ascii="Times New Roman" w:hAnsi="Times New Roman" w:cs="Times New Roman"/>
          <w:b/>
          <w:bCs/>
          <w:sz w:val="24"/>
          <w:szCs w:val="24"/>
        </w:rPr>
        <w:t xml:space="preserve">800–1,200 </w:t>
      </w:r>
      <w:proofErr w:type="spellStart"/>
      <w:r w:rsidRPr="00F629E4">
        <w:rPr>
          <w:rFonts w:ascii="Times New Roman" w:hAnsi="Times New Roman" w:cs="Times New Roman"/>
          <w:b/>
          <w:bCs/>
          <w:sz w:val="24"/>
          <w:szCs w:val="24"/>
        </w:rPr>
        <w:t>scf</w:t>
      </w:r>
      <w:proofErr w:type="spellEnd"/>
      <w:r w:rsidRPr="00F629E4">
        <w:rPr>
          <w:rFonts w:ascii="Times New Roman" w:hAnsi="Times New Roman" w:cs="Times New Roman"/>
          <w:b/>
          <w:bCs/>
          <w:sz w:val="24"/>
          <w:szCs w:val="24"/>
        </w:rPr>
        <w:t>/</w:t>
      </w:r>
      <w:proofErr w:type="spellStart"/>
      <w:r w:rsidRPr="00F629E4">
        <w:rPr>
          <w:rFonts w:ascii="Times New Roman" w:hAnsi="Times New Roman" w:cs="Times New Roman"/>
          <w:b/>
          <w:bCs/>
          <w:sz w:val="24"/>
          <w:szCs w:val="24"/>
        </w:rPr>
        <w:t>bbl</w:t>
      </w:r>
      <w:proofErr w:type="spellEnd"/>
      <w:r w:rsidRPr="00F629E4">
        <w:rPr>
          <w:rFonts w:ascii="Times New Roman" w:hAnsi="Times New Roman" w:cs="Times New Roman"/>
          <w:sz w:val="24"/>
          <w:szCs w:val="24"/>
        </w:rPr>
        <w:t xml:space="preserve">, requiring massive reinjection or processing capacity. TotalEnergies has publicly confirmed that </w:t>
      </w:r>
      <w:r w:rsidRPr="00F629E4">
        <w:rPr>
          <w:rFonts w:ascii="Times New Roman" w:hAnsi="Times New Roman" w:cs="Times New Roman"/>
          <w:b/>
          <w:bCs/>
          <w:sz w:val="24"/>
          <w:szCs w:val="24"/>
        </w:rPr>
        <w:t>gas reinjection</w:t>
      </w:r>
      <w:r w:rsidRPr="00F629E4">
        <w:rPr>
          <w:rFonts w:ascii="Times New Roman" w:hAnsi="Times New Roman" w:cs="Times New Roman"/>
          <w:sz w:val="24"/>
          <w:szCs w:val="24"/>
        </w:rPr>
        <w:t xml:space="preserve"> is the favored near-term solution for Venus, noting that reinjection at 3,000 m water depth has never been attempted at this scale. </w:t>
      </w:r>
    </w:p>
    <w:p w14:paraId="2D40A637" w14:textId="77777777" w:rsidR="00F629E4" w:rsidRPr="00F629E4" w:rsidRDefault="00F629E4" w:rsidP="00F629E4">
      <w:pPr>
        <w:spacing w:before="240" w:after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629E4">
        <w:rPr>
          <w:rFonts w:ascii="Times New Roman" w:hAnsi="Times New Roman" w:cs="Times New Roman"/>
          <w:b/>
          <w:bCs/>
          <w:sz w:val="24"/>
          <w:szCs w:val="24"/>
        </w:rPr>
        <w:t>2.2 Processing Train Requirements (Confirmed)</w:t>
      </w:r>
    </w:p>
    <w:p w14:paraId="243557E3" w14:textId="77777777" w:rsidR="00F629E4" w:rsidRPr="00F629E4" w:rsidRDefault="00F629E4" w:rsidP="00F629E4">
      <w:pPr>
        <w:spacing w:before="240" w:after="120"/>
        <w:jc w:val="both"/>
        <w:rPr>
          <w:rFonts w:ascii="Times New Roman" w:hAnsi="Times New Roman" w:cs="Times New Roman"/>
          <w:sz w:val="24"/>
          <w:szCs w:val="24"/>
        </w:rPr>
      </w:pPr>
      <w:r w:rsidRPr="00F629E4">
        <w:rPr>
          <w:rFonts w:ascii="Times New Roman" w:hAnsi="Times New Roman" w:cs="Times New Roman"/>
          <w:sz w:val="24"/>
          <w:szCs w:val="24"/>
        </w:rPr>
        <w:t>If export infrastructure is built, the following processing chain is technically standard for Orange Basin gas:</w:t>
      </w:r>
    </w:p>
    <w:p w14:paraId="2D795304" w14:textId="77777777" w:rsidR="00F629E4" w:rsidRPr="00F629E4" w:rsidRDefault="00F629E4" w:rsidP="00F629E4">
      <w:pPr>
        <w:numPr>
          <w:ilvl w:val="0"/>
          <w:numId w:val="10"/>
        </w:numPr>
        <w:spacing w:before="240" w:after="120"/>
        <w:jc w:val="both"/>
        <w:rPr>
          <w:rFonts w:ascii="Times New Roman" w:hAnsi="Times New Roman" w:cs="Times New Roman"/>
          <w:sz w:val="24"/>
          <w:szCs w:val="24"/>
        </w:rPr>
      </w:pPr>
      <w:r w:rsidRPr="00F629E4">
        <w:rPr>
          <w:rFonts w:ascii="Times New Roman" w:hAnsi="Times New Roman" w:cs="Times New Roman"/>
          <w:b/>
          <w:bCs/>
          <w:sz w:val="24"/>
          <w:szCs w:val="24"/>
        </w:rPr>
        <w:t>Subsea gathering &amp; separation</w:t>
      </w:r>
      <w:r w:rsidRPr="00F629E4">
        <w:rPr>
          <w:rFonts w:ascii="Times New Roman" w:hAnsi="Times New Roman" w:cs="Times New Roman"/>
          <w:sz w:val="24"/>
          <w:szCs w:val="24"/>
        </w:rPr>
        <w:t xml:space="preserve"> (10,000–15,000 psi rated trees; 15–30 km tie-backs)</w:t>
      </w:r>
    </w:p>
    <w:p w14:paraId="22729918" w14:textId="77777777" w:rsidR="00F629E4" w:rsidRPr="00F629E4" w:rsidRDefault="00F629E4" w:rsidP="00F629E4">
      <w:pPr>
        <w:numPr>
          <w:ilvl w:val="0"/>
          <w:numId w:val="10"/>
        </w:numPr>
        <w:spacing w:before="240" w:after="120"/>
        <w:jc w:val="both"/>
        <w:rPr>
          <w:rFonts w:ascii="Times New Roman" w:hAnsi="Times New Roman" w:cs="Times New Roman"/>
          <w:sz w:val="24"/>
          <w:szCs w:val="24"/>
        </w:rPr>
      </w:pPr>
      <w:r w:rsidRPr="00F629E4">
        <w:rPr>
          <w:rFonts w:ascii="Times New Roman" w:hAnsi="Times New Roman" w:cs="Times New Roman"/>
          <w:b/>
          <w:bCs/>
          <w:sz w:val="24"/>
          <w:szCs w:val="24"/>
        </w:rPr>
        <w:t>Multi-stage separation</w:t>
      </w:r>
      <w:r w:rsidRPr="00F629E4">
        <w:rPr>
          <w:rFonts w:ascii="Times New Roman" w:hAnsi="Times New Roman" w:cs="Times New Roman"/>
          <w:sz w:val="24"/>
          <w:szCs w:val="24"/>
        </w:rPr>
        <w:t xml:space="preserve"> (HP/MP/LP flash vessels)</w:t>
      </w:r>
    </w:p>
    <w:p w14:paraId="216802FD" w14:textId="77777777" w:rsidR="00F629E4" w:rsidRPr="00F629E4" w:rsidRDefault="00F629E4" w:rsidP="00F629E4">
      <w:pPr>
        <w:numPr>
          <w:ilvl w:val="0"/>
          <w:numId w:val="10"/>
        </w:numPr>
        <w:spacing w:before="240" w:after="120"/>
        <w:jc w:val="both"/>
        <w:rPr>
          <w:rFonts w:ascii="Times New Roman" w:hAnsi="Times New Roman" w:cs="Times New Roman"/>
          <w:sz w:val="24"/>
          <w:szCs w:val="24"/>
        </w:rPr>
      </w:pPr>
      <w:r w:rsidRPr="00F629E4">
        <w:rPr>
          <w:rFonts w:ascii="Times New Roman" w:hAnsi="Times New Roman" w:cs="Times New Roman"/>
          <w:b/>
          <w:bCs/>
          <w:sz w:val="24"/>
          <w:szCs w:val="24"/>
        </w:rPr>
        <w:t>Gas compression</w:t>
      </w:r>
      <w:r w:rsidRPr="00F629E4">
        <w:rPr>
          <w:rFonts w:ascii="Times New Roman" w:hAnsi="Times New Roman" w:cs="Times New Roman"/>
          <w:sz w:val="24"/>
          <w:szCs w:val="24"/>
        </w:rPr>
        <w:t xml:space="preserve"> (electric-drive centrifugal; 45–60 MW demand per 180 </w:t>
      </w:r>
      <w:proofErr w:type="spellStart"/>
      <w:r w:rsidRPr="00F629E4">
        <w:rPr>
          <w:rFonts w:ascii="Times New Roman" w:hAnsi="Times New Roman" w:cs="Times New Roman"/>
          <w:sz w:val="24"/>
          <w:szCs w:val="24"/>
        </w:rPr>
        <w:t>kbpd</w:t>
      </w:r>
      <w:proofErr w:type="spellEnd"/>
      <w:r w:rsidRPr="00F629E4">
        <w:rPr>
          <w:rFonts w:ascii="Times New Roman" w:hAnsi="Times New Roman" w:cs="Times New Roman"/>
          <w:sz w:val="24"/>
          <w:szCs w:val="24"/>
        </w:rPr>
        <w:t xml:space="preserve"> FPSO)</w:t>
      </w:r>
    </w:p>
    <w:p w14:paraId="2E477283" w14:textId="77777777" w:rsidR="00F629E4" w:rsidRPr="00F629E4" w:rsidRDefault="00F629E4" w:rsidP="00F629E4">
      <w:pPr>
        <w:numPr>
          <w:ilvl w:val="0"/>
          <w:numId w:val="10"/>
        </w:numPr>
        <w:spacing w:before="240" w:after="120"/>
        <w:jc w:val="both"/>
        <w:rPr>
          <w:rFonts w:ascii="Times New Roman" w:hAnsi="Times New Roman" w:cs="Times New Roman"/>
          <w:sz w:val="24"/>
          <w:szCs w:val="24"/>
        </w:rPr>
      </w:pPr>
      <w:r w:rsidRPr="00F629E4">
        <w:rPr>
          <w:rFonts w:ascii="Times New Roman" w:hAnsi="Times New Roman" w:cs="Times New Roman"/>
          <w:b/>
          <w:bCs/>
          <w:sz w:val="24"/>
          <w:szCs w:val="24"/>
        </w:rPr>
        <w:t>Dehydration</w:t>
      </w:r>
      <w:r w:rsidRPr="00F629E4">
        <w:rPr>
          <w:rFonts w:ascii="Times New Roman" w:hAnsi="Times New Roman" w:cs="Times New Roman"/>
          <w:sz w:val="24"/>
          <w:szCs w:val="24"/>
        </w:rPr>
        <w:t xml:space="preserve"> (TEG or molecular sieve to &lt;0.1 ppm water)</w:t>
      </w:r>
    </w:p>
    <w:p w14:paraId="0600D3D3" w14:textId="77777777" w:rsidR="00F629E4" w:rsidRPr="00F629E4" w:rsidRDefault="00F629E4" w:rsidP="00F629E4">
      <w:pPr>
        <w:numPr>
          <w:ilvl w:val="0"/>
          <w:numId w:val="10"/>
        </w:numPr>
        <w:spacing w:before="240" w:after="120"/>
        <w:jc w:val="both"/>
        <w:rPr>
          <w:rFonts w:ascii="Times New Roman" w:hAnsi="Times New Roman" w:cs="Times New Roman"/>
          <w:sz w:val="24"/>
          <w:szCs w:val="24"/>
        </w:rPr>
      </w:pPr>
      <w:r w:rsidRPr="00F629E4">
        <w:rPr>
          <w:rFonts w:ascii="Times New Roman" w:hAnsi="Times New Roman" w:cs="Times New Roman"/>
          <w:b/>
          <w:bCs/>
          <w:sz w:val="24"/>
          <w:szCs w:val="24"/>
        </w:rPr>
        <w:lastRenderedPageBreak/>
        <w:t>Acid gas removal</w:t>
      </w:r>
      <w:r w:rsidRPr="00F629E4">
        <w:rPr>
          <w:rFonts w:ascii="Times New Roman" w:hAnsi="Times New Roman" w:cs="Times New Roman"/>
          <w:sz w:val="24"/>
          <w:szCs w:val="24"/>
        </w:rPr>
        <w:t xml:space="preserve"> (MDEA/DEA for CO₂ at 1.0–2.5% mol; mercury removal beds)</w:t>
      </w:r>
    </w:p>
    <w:p w14:paraId="68CAFD06" w14:textId="77777777" w:rsidR="00F629E4" w:rsidRPr="00F629E4" w:rsidRDefault="00F629E4" w:rsidP="00F629E4">
      <w:pPr>
        <w:numPr>
          <w:ilvl w:val="0"/>
          <w:numId w:val="10"/>
        </w:numPr>
        <w:spacing w:before="240" w:after="120"/>
        <w:jc w:val="both"/>
        <w:rPr>
          <w:rFonts w:ascii="Times New Roman" w:hAnsi="Times New Roman" w:cs="Times New Roman"/>
          <w:sz w:val="24"/>
          <w:szCs w:val="24"/>
        </w:rPr>
      </w:pPr>
      <w:r w:rsidRPr="00F629E4">
        <w:rPr>
          <w:rFonts w:ascii="Times New Roman" w:hAnsi="Times New Roman" w:cs="Times New Roman"/>
          <w:b/>
          <w:bCs/>
          <w:sz w:val="24"/>
          <w:szCs w:val="24"/>
        </w:rPr>
        <w:t>Hydrocarbon dew-point control</w:t>
      </w:r>
      <w:r w:rsidRPr="00F629E4">
        <w:rPr>
          <w:rFonts w:ascii="Times New Roman" w:hAnsi="Times New Roman" w:cs="Times New Roman"/>
          <w:sz w:val="24"/>
          <w:szCs w:val="24"/>
        </w:rPr>
        <w:t xml:space="preserve"> (JT valves or turbo-expanders for C₃+ extraction)</w:t>
      </w:r>
    </w:p>
    <w:p w14:paraId="4E59B1EF" w14:textId="77777777" w:rsidR="00F629E4" w:rsidRPr="00F629E4" w:rsidRDefault="00F629E4" w:rsidP="00F629E4">
      <w:pPr>
        <w:numPr>
          <w:ilvl w:val="0"/>
          <w:numId w:val="10"/>
        </w:numPr>
        <w:spacing w:before="240" w:after="120"/>
        <w:jc w:val="both"/>
        <w:rPr>
          <w:rFonts w:ascii="Times New Roman" w:hAnsi="Times New Roman" w:cs="Times New Roman"/>
          <w:sz w:val="24"/>
          <w:szCs w:val="24"/>
        </w:rPr>
      </w:pPr>
      <w:r w:rsidRPr="00F629E4">
        <w:rPr>
          <w:rFonts w:ascii="Times New Roman" w:hAnsi="Times New Roman" w:cs="Times New Roman"/>
          <w:b/>
          <w:bCs/>
          <w:sz w:val="24"/>
          <w:szCs w:val="24"/>
        </w:rPr>
        <w:t>Condensate/LPG handling</w:t>
      </w:r>
      <w:r w:rsidRPr="00F629E4">
        <w:rPr>
          <w:rFonts w:ascii="Times New Roman" w:hAnsi="Times New Roman" w:cs="Times New Roman"/>
          <w:sz w:val="24"/>
          <w:szCs w:val="24"/>
        </w:rPr>
        <w:t xml:space="preserve"> (spiked to crude or routed to fractionation)</w:t>
      </w:r>
    </w:p>
    <w:p w14:paraId="620C0719" w14:textId="77777777" w:rsidR="00F629E4" w:rsidRPr="00F629E4" w:rsidRDefault="00F629E4" w:rsidP="00F629E4">
      <w:pPr>
        <w:numPr>
          <w:ilvl w:val="0"/>
          <w:numId w:val="10"/>
        </w:numPr>
        <w:spacing w:before="240" w:after="120"/>
        <w:jc w:val="both"/>
        <w:rPr>
          <w:rFonts w:ascii="Times New Roman" w:hAnsi="Times New Roman" w:cs="Times New Roman"/>
          <w:sz w:val="24"/>
          <w:szCs w:val="24"/>
        </w:rPr>
      </w:pPr>
      <w:r w:rsidRPr="00F629E4">
        <w:rPr>
          <w:rFonts w:ascii="Times New Roman" w:hAnsi="Times New Roman" w:cs="Times New Roman"/>
          <w:b/>
          <w:bCs/>
          <w:sz w:val="24"/>
          <w:szCs w:val="24"/>
        </w:rPr>
        <w:t>Reinjection compression</w:t>
      </w:r>
      <w:r w:rsidRPr="00F629E4">
        <w:rPr>
          <w:rFonts w:ascii="Times New Roman" w:hAnsi="Times New Roman" w:cs="Times New Roman"/>
          <w:sz w:val="24"/>
          <w:szCs w:val="24"/>
        </w:rPr>
        <w:t xml:space="preserve"> (350–500 bar for reservoir pressure support)</w:t>
      </w:r>
    </w:p>
    <w:p w14:paraId="1583B016" w14:textId="77777777" w:rsidR="00F629E4" w:rsidRDefault="00F629E4" w:rsidP="00F629E4">
      <w:pPr>
        <w:spacing w:before="240" w:after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A6C6BB1" w14:textId="7EE2D851" w:rsidR="00F629E4" w:rsidRPr="00F629E4" w:rsidRDefault="00F629E4" w:rsidP="00F629E4">
      <w:pPr>
        <w:spacing w:before="240" w:after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629E4">
        <w:rPr>
          <w:rFonts w:ascii="Times New Roman" w:hAnsi="Times New Roman" w:cs="Times New Roman"/>
          <w:b/>
          <w:bCs/>
          <w:sz w:val="24"/>
          <w:szCs w:val="24"/>
        </w:rPr>
        <w:t>2.3 Gas Quality Specifications by End-Use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90"/>
        <w:gridCol w:w="1421"/>
        <w:gridCol w:w="1905"/>
        <w:gridCol w:w="2204"/>
        <w:gridCol w:w="2056"/>
      </w:tblGrid>
      <w:tr w:rsidR="00F629E4" w:rsidRPr="00F629E4" w14:paraId="5CB83BCD" w14:textId="77777777" w:rsidTr="00F629E4">
        <w:tc>
          <w:tcPr>
            <w:tcW w:w="0" w:type="auto"/>
            <w:hideMark/>
          </w:tcPr>
          <w:p w14:paraId="0C6C4B95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Parameter</w:t>
            </w:r>
          </w:p>
        </w:tc>
        <w:tc>
          <w:tcPr>
            <w:tcW w:w="0" w:type="auto"/>
            <w:hideMark/>
          </w:tcPr>
          <w:p w14:paraId="319C4448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Reinjection</w:t>
            </w:r>
          </w:p>
        </w:tc>
        <w:tc>
          <w:tcPr>
            <w:tcW w:w="0" w:type="auto"/>
            <w:hideMark/>
          </w:tcPr>
          <w:p w14:paraId="52F45DFD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Pipeline to Shore</w:t>
            </w:r>
          </w:p>
        </w:tc>
        <w:tc>
          <w:tcPr>
            <w:tcW w:w="0" w:type="auto"/>
            <w:hideMark/>
          </w:tcPr>
          <w:p w14:paraId="03C698F7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FLNG Liquefaction</w:t>
            </w:r>
          </w:p>
        </w:tc>
        <w:tc>
          <w:tcPr>
            <w:tcW w:w="0" w:type="auto"/>
            <w:hideMark/>
          </w:tcPr>
          <w:p w14:paraId="74E6FE57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Domestic Industry</w:t>
            </w:r>
          </w:p>
        </w:tc>
      </w:tr>
      <w:tr w:rsidR="00F629E4" w:rsidRPr="00F629E4" w14:paraId="06919A39" w14:textId="77777777" w:rsidTr="00F629E4">
        <w:tc>
          <w:tcPr>
            <w:tcW w:w="0" w:type="auto"/>
            <w:hideMark/>
          </w:tcPr>
          <w:p w14:paraId="22DB0C67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CO₂</w:t>
            </w:r>
          </w:p>
        </w:tc>
        <w:tc>
          <w:tcPr>
            <w:tcW w:w="0" w:type="auto"/>
            <w:hideMark/>
          </w:tcPr>
          <w:p w14:paraId="48779898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&lt;5% mol</w:t>
            </w:r>
          </w:p>
        </w:tc>
        <w:tc>
          <w:tcPr>
            <w:tcW w:w="0" w:type="auto"/>
            <w:hideMark/>
          </w:tcPr>
          <w:p w14:paraId="2F25DC81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&lt;2% mol</w:t>
            </w:r>
          </w:p>
        </w:tc>
        <w:tc>
          <w:tcPr>
            <w:tcW w:w="0" w:type="auto"/>
            <w:hideMark/>
          </w:tcPr>
          <w:p w14:paraId="5A89202C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&lt;50 ppm</w:t>
            </w:r>
          </w:p>
        </w:tc>
        <w:tc>
          <w:tcPr>
            <w:tcW w:w="0" w:type="auto"/>
            <w:hideMark/>
          </w:tcPr>
          <w:p w14:paraId="59A4139F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&lt;2% mol</w:t>
            </w:r>
          </w:p>
        </w:tc>
      </w:tr>
      <w:tr w:rsidR="00F629E4" w:rsidRPr="00F629E4" w14:paraId="13DDF6DF" w14:textId="77777777" w:rsidTr="00F629E4">
        <w:tc>
          <w:tcPr>
            <w:tcW w:w="0" w:type="auto"/>
            <w:hideMark/>
          </w:tcPr>
          <w:p w14:paraId="1AD63FEC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H₂S</w:t>
            </w:r>
          </w:p>
        </w:tc>
        <w:tc>
          <w:tcPr>
            <w:tcW w:w="0" w:type="auto"/>
            <w:hideMark/>
          </w:tcPr>
          <w:p w14:paraId="285EF197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&lt;100 ppm</w:t>
            </w:r>
          </w:p>
        </w:tc>
        <w:tc>
          <w:tcPr>
            <w:tcW w:w="0" w:type="auto"/>
            <w:hideMark/>
          </w:tcPr>
          <w:p w14:paraId="5D66F1D0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&lt;10 ppm</w:t>
            </w:r>
          </w:p>
        </w:tc>
        <w:tc>
          <w:tcPr>
            <w:tcW w:w="0" w:type="auto"/>
            <w:hideMark/>
          </w:tcPr>
          <w:p w14:paraId="5157AF19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&lt;4 ppm</w:t>
            </w:r>
          </w:p>
        </w:tc>
        <w:tc>
          <w:tcPr>
            <w:tcW w:w="0" w:type="auto"/>
            <w:hideMark/>
          </w:tcPr>
          <w:p w14:paraId="2BE5398F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&lt;10 ppm</w:t>
            </w:r>
          </w:p>
        </w:tc>
      </w:tr>
      <w:tr w:rsidR="00F629E4" w:rsidRPr="00F629E4" w14:paraId="4B6F8BC5" w14:textId="77777777" w:rsidTr="00F629E4">
        <w:tc>
          <w:tcPr>
            <w:tcW w:w="0" w:type="auto"/>
            <w:hideMark/>
          </w:tcPr>
          <w:p w14:paraId="45548D45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Water dew point</w:t>
            </w:r>
          </w:p>
        </w:tc>
        <w:tc>
          <w:tcPr>
            <w:tcW w:w="0" w:type="auto"/>
            <w:hideMark/>
          </w:tcPr>
          <w:p w14:paraId="57BC7C1D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&lt;-10°C</w:t>
            </w:r>
          </w:p>
        </w:tc>
        <w:tc>
          <w:tcPr>
            <w:tcW w:w="0" w:type="auto"/>
            <w:hideMark/>
          </w:tcPr>
          <w:p w14:paraId="74F23B86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&lt;-8°C @ 100 bar</w:t>
            </w:r>
          </w:p>
        </w:tc>
        <w:tc>
          <w:tcPr>
            <w:tcW w:w="0" w:type="auto"/>
            <w:hideMark/>
          </w:tcPr>
          <w:p w14:paraId="0BE27F77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&lt;-100°C (0.1 ppm)</w:t>
            </w:r>
          </w:p>
        </w:tc>
        <w:tc>
          <w:tcPr>
            <w:tcW w:w="0" w:type="auto"/>
            <w:hideMark/>
          </w:tcPr>
          <w:p w14:paraId="0B40AE68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&lt;-8°C @ 70 bar</w:t>
            </w:r>
          </w:p>
        </w:tc>
      </w:tr>
      <w:tr w:rsidR="00F629E4" w:rsidRPr="00F629E4" w14:paraId="20EF6F7D" w14:textId="77777777" w:rsidTr="00F629E4">
        <w:tc>
          <w:tcPr>
            <w:tcW w:w="0" w:type="auto"/>
            <w:hideMark/>
          </w:tcPr>
          <w:p w14:paraId="1151E30E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Operating pressure</w:t>
            </w:r>
          </w:p>
        </w:tc>
        <w:tc>
          <w:tcPr>
            <w:tcW w:w="0" w:type="auto"/>
            <w:hideMark/>
          </w:tcPr>
          <w:p w14:paraId="0D804570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350–500 bar</w:t>
            </w:r>
          </w:p>
        </w:tc>
        <w:tc>
          <w:tcPr>
            <w:tcW w:w="0" w:type="auto"/>
            <w:hideMark/>
          </w:tcPr>
          <w:p w14:paraId="0CF499C1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120–180 bar</w:t>
            </w:r>
          </w:p>
        </w:tc>
        <w:tc>
          <w:tcPr>
            <w:tcW w:w="0" w:type="auto"/>
            <w:hideMark/>
          </w:tcPr>
          <w:p w14:paraId="1EBB4035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50–70 bar</w:t>
            </w:r>
          </w:p>
        </w:tc>
        <w:tc>
          <w:tcPr>
            <w:tcW w:w="0" w:type="auto"/>
            <w:hideMark/>
          </w:tcPr>
          <w:p w14:paraId="109AE27C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40–70 bar</w:t>
            </w:r>
          </w:p>
        </w:tc>
      </w:tr>
    </w:tbl>
    <w:p w14:paraId="1C94C9FB" w14:textId="5EE66EA2" w:rsidR="00F629E4" w:rsidRPr="00F629E4" w:rsidRDefault="00F629E4" w:rsidP="00F629E4">
      <w:pPr>
        <w:spacing w:before="240"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72D932EE" w14:textId="2E249A5F" w:rsidR="00F629E4" w:rsidRPr="00F629E4" w:rsidRDefault="00F629E4" w:rsidP="00F629E4">
      <w:pPr>
        <w:spacing w:before="240" w:after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629E4">
        <w:rPr>
          <w:rFonts w:ascii="Times New Roman" w:hAnsi="Times New Roman" w:cs="Times New Roman"/>
          <w:b/>
          <w:bCs/>
          <w:sz w:val="24"/>
          <w:szCs w:val="24"/>
        </w:rPr>
        <w:t>3. MONETIZATION PATHWAYS: CERTAINTY RANKING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7"/>
        <w:gridCol w:w="1762"/>
        <w:gridCol w:w="1378"/>
        <w:gridCol w:w="5659"/>
      </w:tblGrid>
      <w:tr w:rsidR="00F629E4" w:rsidRPr="00F629E4" w14:paraId="1A987E8F" w14:textId="77777777" w:rsidTr="00F629E4">
        <w:tc>
          <w:tcPr>
            <w:tcW w:w="0" w:type="auto"/>
            <w:hideMark/>
          </w:tcPr>
          <w:p w14:paraId="1183C9E0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Rank</w:t>
            </w:r>
          </w:p>
        </w:tc>
        <w:tc>
          <w:tcPr>
            <w:tcW w:w="0" w:type="auto"/>
            <w:hideMark/>
          </w:tcPr>
          <w:p w14:paraId="07E46222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Pathway</w:t>
            </w:r>
          </w:p>
        </w:tc>
        <w:tc>
          <w:tcPr>
            <w:tcW w:w="0" w:type="auto"/>
            <w:hideMark/>
          </w:tcPr>
          <w:p w14:paraId="5F9557F7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Certainty</w:t>
            </w:r>
          </w:p>
        </w:tc>
        <w:tc>
          <w:tcPr>
            <w:tcW w:w="0" w:type="auto"/>
            <w:hideMark/>
          </w:tcPr>
          <w:p w14:paraId="7F5C7F9C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Rationale</w:t>
            </w:r>
          </w:p>
        </w:tc>
      </w:tr>
      <w:tr w:rsidR="00F629E4" w:rsidRPr="00F629E4" w14:paraId="6B4CDCE4" w14:textId="77777777" w:rsidTr="00F629E4">
        <w:tc>
          <w:tcPr>
            <w:tcW w:w="0" w:type="auto"/>
            <w:hideMark/>
          </w:tcPr>
          <w:p w14:paraId="673BE33A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14:paraId="7F891982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Gas Reinjection (Venus)</w:t>
            </w:r>
          </w:p>
        </w:tc>
        <w:tc>
          <w:tcPr>
            <w:tcW w:w="0" w:type="auto"/>
            <w:hideMark/>
          </w:tcPr>
          <w:p w14:paraId="49A49094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High</w:t>
            </w:r>
          </w:p>
        </w:tc>
        <w:tc>
          <w:tcPr>
            <w:tcW w:w="0" w:type="auto"/>
            <w:hideMark/>
          </w:tcPr>
          <w:p w14:paraId="494B5D73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Required for First Oil (~2029–2030). No export infrastructure will be ready in time. TotalEnergies has confirmed this approach.</w:t>
            </w:r>
          </w:p>
        </w:tc>
      </w:tr>
      <w:tr w:rsidR="00F629E4" w:rsidRPr="00F629E4" w14:paraId="04C8CC87" w14:textId="77777777" w:rsidTr="00F629E4">
        <w:tc>
          <w:tcPr>
            <w:tcW w:w="0" w:type="auto"/>
            <w:hideMark/>
          </w:tcPr>
          <w:p w14:paraId="7EC3080B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14:paraId="1B187985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Kudu Gas-to-Power</w:t>
            </w:r>
          </w:p>
        </w:tc>
        <w:tc>
          <w:tcPr>
            <w:tcW w:w="0" w:type="auto"/>
            <w:hideMark/>
          </w:tcPr>
          <w:p w14:paraId="14FAAFF9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Moderate</w:t>
            </w:r>
          </w:p>
        </w:tc>
        <w:tc>
          <w:tcPr>
            <w:tcW w:w="0" w:type="auto"/>
            <w:hideMark/>
          </w:tcPr>
          <w:p w14:paraId="703D8FF6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 xml:space="preserve">FID targeted late 2026. 400–420 MW initial phase, expandable to ~800 MW. BW Energy 95%, NAMCOR 5%. Kharas-1 discovery of liquids improves economics. </w:t>
            </w:r>
          </w:p>
        </w:tc>
      </w:tr>
      <w:tr w:rsidR="00F629E4" w:rsidRPr="00F629E4" w14:paraId="5ABAFE97" w14:textId="77777777" w:rsidTr="00F629E4">
        <w:tc>
          <w:tcPr>
            <w:tcW w:w="0" w:type="auto"/>
            <w:hideMark/>
          </w:tcPr>
          <w:p w14:paraId="265B09C5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14:paraId="0D92A349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LPG / NGL Extraction</w:t>
            </w:r>
          </w:p>
        </w:tc>
        <w:tc>
          <w:tcPr>
            <w:tcW w:w="0" w:type="auto"/>
            <w:hideMark/>
          </w:tcPr>
          <w:p w14:paraId="4D8EDD64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Low–Moderate</w:t>
            </w:r>
          </w:p>
        </w:tc>
        <w:tc>
          <w:tcPr>
            <w:tcW w:w="0" w:type="auto"/>
            <w:hideMark/>
          </w:tcPr>
          <w:p w14:paraId="7CD0362B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Technically feasible but requires dedicated fractionation infrastructure not yet planned.</w:t>
            </w:r>
          </w:p>
        </w:tc>
      </w:tr>
      <w:tr w:rsidR="00F629E4" w:rsidRPr="00F629E4" w14:paraId="0B534A3C" w14:textId="77777777" w:rsidTr="00F629E4">
        <w:tc>
          <w:tcPr>
            <w:tcW w:w="0" w:type="auto"/>
            <w:hideMark/>
          </w:tcPr>
          <w:p w14:paraId="52C5C125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4</w:t>
            </w:r>
          </w:p>
        </w:tc>
        <w:tc>
          <w:tcPr>
            <w:tcW w:w="0" w:type="auto"/>
            <w:hideMark/>
          </w:tcPr>
          <w:p w14:paraId="078F7D90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Pipeline to South Africa</w:t>
            </w:r>
          </w:p>
        </w:tc>
        <w:tc>
          <w:tcPr>
            <w:tcW w:w="0" w:type="auto"/>
            <w:hideMark/>
          </w:tcPr>
          <w:p w14:paraId="26D0BDFA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Low</w:t>
            </w:r>
          </w:p>
        </w:tc>
        <w:tc>
          <w:tcPr>
            <w:tcW w:w="0" w:type="auto"/>
            <w:hideMark/>
          </w:tcPr>
          <w:p w14:paraId="3114F04B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No FID. Requires &gt;70% utilization to achieve viable tariffs ($1.20–1.80/MMBtu). No confirmed anchor off-taker.</w:t>
            </w:r>
          </w:p>
        </w:tc>
      </w:tr>
      <w:tr w:rsidR="00F629E4" w:rsidRPr="00F629E4" w14:paraId="4963E671" w14:textId="77777777" w:rsidTr="00F629E4">
        <w:tc>
          <w:tcPr>
            <w:tcW w:w="0" w:type="auto"/>
            <w:hideMark/>
          </w:tcPr>
          <w:p w14:paraId="1553A33C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14:paraId="44A9FA8E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FLNG Export</w:t>
            </w:r>
          </w:p>
        </w:tc>
        <w:tc>
          <w:tcPr>
            <w:tcW w:w="0" w:type="auto"/>
            <w:hideMark/>
          </w:tcPr>
          <w:p w14:paraId="47FDF78C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Low</w:t>
            </w:r>
          </w:p>
        </w:tc>
        <w:tc>
          <w:tcPr>
            <w:tcW w:w="0" w:type="auto"/>
            <w:hideMark/>
          </w:tcPr>
          <w:p w14:paraId="750E8727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Conceptually attractive but capital intensive ($3.5–6.0B per unit). No operator has announced FLNG FEED. Requires steady 130 MMscfd per 1.0 Mtpa train.</w:t>
            </w:r>
          </w:p>
        </w:tc>
      </w:tr>
    </w:tbl>
    <w:p w14:paraId="5C472AFB" w14:textId="3311B3E3" w:rsidR="00F629E4" w:rsidRDefault="00F629E4" w:rsidP="00F629E4">
      <w:pPr>
        <w:spacing w:before="240" w:after="120"/>
        <w:jc w:val="both"/>
        <w:rPr>
          <w:rFonts w:ascii="Times New Roman" w:hAnsi="Times New Roman" w:cs="Times New Roman"/>
          <w:sz w:val="24"/>
          <w:szCs w:val="24"/>
        </w:rPr>
      </w:pPr>
      <w:r w:rsidRPr="00F629E4">
        <w:rPr>
          <w:rFonts w:ascii="Times New Roman" w:hAnsi="Times New Roman" w:cs="Times New Roman"/>
          <w:b/>
          <w:bCs/>
          <w:sz w:val="24"/>
          <w:szCs w:val="24"/>
        </w:rPr>
        <w:t>Judgment:</w:t>
      </w:r>
      <w:r w:rsidRPr="00F629E4">
        <w:rPr>
          <w:rFonts w:ascii="Times New Roman" w:hAnsi="Times New Roman" w:cs="Times New Roman"/>
          <w:sz w:val="24"/>
          <w:szCs w:val="24"/>
        </w:rPr>
        <w:t xml:space="preserve"> For the period 2028–2032, the only bankable gas monetization is </w:t>
      </w:r>
      <w:r w:rsidRPr="00F629E4">
        <w:rPr>
          <w:rFonts w:ascii="Times New Roman" w:hAnsi="Times New Roman" w:cs="Times New Roman"/>
          <w:b/>
          <w:bCs/>
          <w:sz w:val="24"/>
          <w:szCs w:val="24"/>
        </w:rPr>
        <w:t>reinjection at Venus</w:t>
      </w:r>
      <w:r w:rsidRPr="00F629E4">
        <w:rPr>
          <w:rFonts w:ascii="Times New Roman" w:hAnsi="Times New Roman" w:cs="Times New Roman"/>
          <w:sz w:val="24"/>
          <w:szCs w:val="24"/>
        </w:rPr>
        <w:t xml:space="preserve"> and </w:t>
      </w:r>
      <w:r w:rsidRPr="00F629E4">
        <w:rPr>
          <w:rFonts w:ascii="Times New Roman" w:hAnsi="Times New Roman" w:cs="Times New Roman"/>
          <w:b/>
          <w:bCs/>
          <w:sz w:val="24"/>
          <w:szCs w:val="24"/>
        </w:rPr>
        <w:t>Kudu domestic power</w:t>
      </w:r>
      <w:r w:rsidRPr="00F629E4">
        <w:rPr>
          <w:rFonts w:ascii="Times New Roman" w:hAnsi="Times New Roman" w:cs="Times New Roman"/>
          <w:sz w:val="24"/>
          <w:szCs w:val="24"/>
        </w:rPr>
        <w:t>. All other pathways are strategic options, not committed projects.</w:t>
      </w:r>
    </w:p>
    <w:p w14:paraId="24E3ACBF" w14:textId="77777777" w:rsidR="00F629E4" w:rsidRPr="00F629E4" w:rsidRDefault="00F629E4" w:rsidP="00F629E4">
      <w:pPr>
        <w:spacing w:before="240"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6BC1EF1E" w14:textId="1F5CA342" w:rsidR="00F629E4" w:rsidRPr="00F629E4" w:rsidRDefault="00F629E4" w:rsidP="00F629E4">
      <w:pPr>
        <w:spacing w:before="240" w:after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629E4">
        <w:rPr>
          <w:rFonts w:ascii="Times New Roman" w:hAnsi="Times New Roman" w:cs="Times New Roman"/>
          <w:b/>
          <w:bCs/>
          <w:sz w:val="24"/>
          <w:szCs w:val="24"/>
        </w:rPr>
        <w:t>4. INFRASTRUCTURE &amp; INVESTMENT: INDICATIVE ESTIMATES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8"/>
        <w:gridCol w:w="1634"/>
        <w:gridCol w:w="1525"/>
        <w:gridCol w:w="1178"/>
        <w:gridCol w:w="2921"/>
      </w:tblGrid>
      <w:tr w:rsidR="00F629E4" w:rsidRPr="00F629E4" w14:paraId="2560C1D4" w14:textId="77777777" w:rsidTr="00F629E4">
        <w:tc>
          <w:tcPr>
            <w:tcW w:w="0" w:type="auto"/>
            <w:hideMark/>
          </w:tcPr>
          <w:p w14:paraId="09FF32DC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Infrastructure Segment</w:t>
            </w:r>
          </w:p>
        </w:tc>
        <w:tc>
          <w:tcPr>
            <w:tcW w:w="0" w:type="auto"/>
            <w:hideMark/>
          </w:tcPr>
          <w:p w14:paraId="1E4ED733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Indicative Capacity</w:t>
            </w:r>
          </w:p>
        </w:tc>
        <w:tc>
          <w:tcPr>
            <w:tcW w:w="0" w:type="auto"/>
            <w:hideMark/>
          </w:tcPr>
          <w:p w14:paraId="51A2789F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Indicative CAPEX</w:t>
            </w:r>
          </w:p>
        </w:tc>
        <w:tc>
          <w:tcPr>
            <w:tcW w:w="0" w:type="auto"/>
            <w:hideMark/>
          </w:tcPr>
          <w:p w14:paraId="60FA5556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Timeline</w:t>
            </w:r>
          </w:p>
        </w:tc>
        <w:tc>
          <w:tcPr>
            <w:tcW w:w="0" w:type="auto"/>
            <w:hideMark/>
          </w:tcPr>
          <w:p w14:paraId="7EA89B75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Status</w:t>
            </w:r>
          </w:p>
        </w:tc>
      </w:tr>
      <w:tr w:rsidR="00F629E4" w:rsidRPr="00F629E4" w14:paraId="334F3EBA" w14:textId="77777777" w:rsidTr="00F629E4">
        <w:tc>
          <w:tcPr>
            <w:tcW w:w="0" w:type="auto"/>
            <w:hideMark/>
          </w:tcPr>
          <w:p w14:paraId="0BF8B244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FPSO Gas Topsides (3 units)</w:t>
            </w:r>
          </w:p>
        </w:tc>
        <w:tc>
          <w:tcPr>
            <w:tcW w:w="0" w:type="auto"/>
            <w:hideMark/>
          </w:tcPr>
          <w:p w14:paraId="5EDBA2C8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750 MMscfd combined</w:t>
            </w:r>
          </w:p>
        </w:tc>
        <w:tc>
          <w:tcPr>
            <w:tcW w:w="0" w:type="auto"/>
            <w:hideMark/>
          </w:tcPr>
          <w:p w14:paraId="2B00C8D2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$1.2–1.6B</w:t>
            </w:r>
          </w:p>
        </w:tc>
        <w:tc>
          <w:tcPr>
            <w:tcW w:w="0" w:type="auto"/>
            <w:hideMark/>
          </w:tcPr>
          <w:p w14:paraId="5824E4EC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2026–2030</w:t>
            </w:r>
          </w:p>
        </w:tc>
        <w:tc>
          <w:tcPr>
            <w:tcW w:w="0" w:type="auto"/>
            <w:hideMark/>
          </w:tcPr>
          <w:p w14:paraId="1A6F1A43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Conceptual; Venus FPSO only one with defined schedule</w:t>
            </w:r>
          </w:p>
        </w:tc>
      </w:tr>
      <w:tr w:rsidR="00F629E4" w:rsidRPr="00F629E4" w14:paraId="5492BEB3" w14:textId="77777777" w:rsidTr="00F629E4">
        <w:tc>
          <w:tcPr>
            <w:tcW w:w="0" w:type="auto"/>
            <w:hideMark/>
          </w:tcPr>
          <w:p w14:paraId="02263CDE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Deepwater Subsea Gathering Hub</w:t>
            </w:r>
          </w:p>
        </w:tc>
        <w:tc>
          <w:tcPr>
            <w:tcW w:w="0" w:type="auto"/>
            <w:hideMark/>
          </w:tcPr>
          <w:p w14:paraId="0FF9B537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24-inch, 60 km</w:t>
            </w:r>
          </w:p>
        </w:tc>
        <w:tc>
          <w:tcPr>
            <w:tcW w:w="0" w:type="auto"/>
            <w:hideMark/>
          </w:tcPr>
          <w:p w14:paraId="79A9CB08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$0.8–1.1B</w:t>
            </w:r>
          </w:p>
        </w:tc>
        <w:tc>
          <w:tcPr>
            <w:tcW w:w="0" w:type="auto"/>
            <w:hideMark/>
          </w:tcPr>
          <w:p w14:paraId="01DEF0C4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2028–2030</w:t>
            </w:r>
          </w:p>
        </w:tc>
        <w:tc>
          <w:tcPr>
            <w:tcW w:w="0" w:type="auto"/>
            <w:hideMark/>
          </w:tcPr>
          <w:p w14:paraId="60C7303F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Not sanctioned</w:t>
            </w:r>
          </w:p>
        </w:tc>
      </w:tr>
      <w:tr w:rsidR="00F629E4" w:rsidRPr="00F629E4" w14:paraId="2E6E68E0" w14:textId="77777777" w:rsidTr="00F629E4">
        <w:tc>
          <w:tcPr>
            <w:tcW w:w="0" w:type="auto"/>
            <w:hideMark/>
          </w:tcPr>
          <w:p w14:paraId="1CAAB365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Offshore Trunkline to Shore</w:t>
            </w:r>
          </w:p>
        </w:tc>
        <w:tc>
          <w:tcPr>
            <w:tcW w:w="0" w:type="auto"/>
            <w:hideMark/>
          </w:tcPr>
          <w:p w14:paraId="5BB0DF6A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20-inch, 180 km</w:t>
            </w:r>
          </w:p>
        </w:tc>
        <w:tc>
          <w:tcPr>
            <w:tcW w:w="0" w:type="auto"/>
            <w:hideMark/>
          </w:tcPr>
          <w:p w14:paraId="2B77C86A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$1.4–1.9B</w:t>
            </w:r>
          </w:p>
        </w:tc>
        <w:tc>
          <w:tcPr>
            <w:tcW w:w="0" w:type="auto"/>
            <w:hideMark/>
          </w:tcPr>
          <w:p w14:paraId="2D505B5B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2028–2031</w:t>
            </w:r>
          </w:p>
        </w:tc>
        <w:tc>
          <w:tcPr>
            <w:tcW w:w="0" w:type="auto"/>
            <w:hideMark/>
          </w:tcPr>
          <w:p w14:paraId="7ECD8B85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Not sanctioned</w:t>
            </w:r>
          </w:p>
        </w:tc>
      </w:tr>
      <w:tr w:rsidR="00F629E4" w:rsidRPr="00F629E4" w14:paraId="3756ED75" w14:textId="77777777" w:rsidTr="00F629E4">
        <w:tc>
          <w:tcPr>
            <w:tcW w:w="0" w:type="auto"/>
            <w:hideMark/>
          </w:tcPr>
          <w:p w14:paraId="5CBA2114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Onshore Gas Terminal (Lüderitz)</w:t>
            </w:r>
          </w:p>
        </w:tc>
        <w:tc>
          <w:tcPr>
            <w:tcW w:w="0" w:type="auto"/>
            <w:hideMark/>
          </w:tcPr>
          <w:p w14:paraId="6B93F5F2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500 MMscfd</w:t>
            </w:r>
          </w:p>
        </w:tc>
        <w:tc>
          <w:tcPr>
            <w:tcW w:w="0" w:type="auto"/>
            <w:hideMark/>
          </w:tcPr>
          <w:p w14:paraId="264F4485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$0.6–0.8B</w:t>
            </w:r>
          </w:p>
        </w:tc>
        <w:tc>
          <w:tcPr>
            <w:tcW w:w="0" w:type="auto"/>
            <w:hideMark/>
          </w:tcPr>
          <w:p w14:paraId="4A0462AE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2029–2031</w:t>
            </w:r>
          </w:p>
        </w:tc>
        <w:tc>
          <w:tcPr>
            <w:tcW w:w="0" w:type="auto"/>
            <w:hideMark/>
          </w:tcPr>
          <w:p w14:paraId="254A882D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Not sanctioned</w:t>
            </w:r>
          </w:p>
        </w:tc>
      </w:tr>
      <w:tr w:rsidR="00F629E4" w:rsidRPr="00F629E4" w14:paraId="6A256651" w14:textId="77777777" w:rsidTr="00F629E4">
        <w:tc>
          <w:tcPr>
            <w:tcW w:w="0" w:type="auto"/>
            <w:hideMark/>
          </w:tcPr>
          <w:p w14:paraId="1CE06371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Kudu CCGT (</w:t>
            </w:r>
            <w:proofErr w:type="spellStart"/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Oranjemund</w:t>
            </w:r>
            <w:proofErr w:type="spellEnd"/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14:paraId="6753B9E5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400–800 MW</w:t>
            </w:r>
          </w:p>
        </w:tc>
        <w:tc>
          <w:tcPr>
            <w:tcW w:w="0" w:type="auto"/>
            <w:hideMark/>
          </w:tcPr>
          <w:p w14:paraId="120F69D9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$1.0–1.4B</w:t>
            </w:r>
          </w:p>
        </w:tc>
        <w:tc>
          <w:tcPr>
            <w:tcW w:w="0" w:type="auto"/>
            <w:hideMark/>
          </w:tcPr>
          <w:p w14:paraId="745C73A2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2026–2029</w:t>
            </w:r>
          </w:p>
        </w:tc>
        <w:tc>
          <w:tcPr>
            <w:tcW w:w="0" w:type="auto"/>
            <w:hideMark/>
          </w:tcPr>
          <w:p w14:paraId="19CD0AD6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Under development; FID late 2026</w:t>
            </w:r>
          </w:p>
        </w:tc>
      </w:tr>
      <w:tr w:rsidR="00F629E4" w:rsidRPr="00F629E4" w14:paraId="68769ADC" w14:textId="77777777" w:rsidTr="00F629E4">
        <w:tc>
          <w:tcPr>
            <w:tcW w:w="0" w:type="auto"/>
            <w:hideMark/>
          </w:tcPr>
          <w:p w14:paraId="37D32291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Lüderitz CCGT Expansion</w:t>
            </w:r>
          </w:p>
        </w:tc>
        <w:tc>
          <w:tcPr>
            <w:tcW w:w="0" w:type="auto"/>
            <w:hideMark/>
          </w:tcPr>
          <w:p w14:paraId="39E1F928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500 MW</w:t>
            </w:r>
          </w:p>
        </w:tc>
        <w:tc>
          <w:tcPr>
            <w:tcW w:w="0" w:type="auto"/>
            <w:hideMark/>
          </w:tcPr>
          <w:p w14:paraId="2D203D43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$0.6–0.8B</w:t>
            </w:r>
          </w:p>
        </w:tc>
        <w:tc>
          <w:tcPr>
            <w:tcW w:w="0" w:type="auto"/>
            <w:hideMark/>
          </w:tcPr>
          <w:p w14:paraId="48DB02FD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2030–2032</w:t>
            </w:r>
          </w:p>
        </w:tc>
        <w:tc>
          <w:tcPr>
            <w:tcW w:w="0" w:type="auto"/>
            <w:hideMark/>
          </w:tcPr>
          <w:p w14:paraId="150E80F9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Conceptual</w:t>
            </w:r>
          </w:p>
        </w:tc>
      </w:tr>
      <w:tr w:rsidR="00F629E4" w:rsidRPr="00F629E4" w14:paraId="4890C9D9" w14:textId="77777777" w:rsidTr="00F629E4">
        <w:tc>
          <w:tcPr>
            <w:tcW w:w="0" w:type="auto"/>
            <w:hideMark/>
          </w:tcPr>
          <w:p w14:paraId="291FD1ED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LPG Extraction &amp; Fractionation</w:t>
            </w:r>
          </w:p>
        </w:tc>
        <w:tc>
          <w:tcPr>
            <w:tcW w:w="0" w:type="auto"/>
            <w:hideMark/>
          </w:tcPr>
          <w:p w14:paraId="44C52912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250,000 t/yr</w:t>
            </w:r>
          </w:p>
        </w:tc>
        <w:tc>
          <w:tcPr>
            <w:tcW w:w="0" w:type="auto"/>
            <w:hideMark/>
          </w:tcPr>
          <w:p w14:paraId="5AC56550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$0.3–0.5B</w:t>
            </w:r>
          </w:p>
        </w:tc>
        <w:tc>
          <w:tcPr>
            <w:tcW w:w="0" w:type="auto"/>
            <w:hideMark/>
          </w:tcPr>
          <w:p w14:paraId="61CC9CBB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2029–2031</w:t>
            </w:r>
          </w:p>
        </w:tc>
        <w:tc>
          <w:tcPr>
            <w:tcW w:w="0" w:type="auto"/>
            <w:hideMark/>
          </w:tcPr>
          <w:p w14:paraId="01A596A4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Conceptual</w:t>
            </w:r>
          </w:p>
        </w:tc>
      </w:tr>
      <w:tr w:rsidR="00F629E4" w:rsidRPr="00F629E4" w14:paraId="2C41085D" w14:textId="77777777" w:rsidTr="00F629E4">
        <w:tc>
          <w:tcPr>
            <w:tcW w:w="0" w:type="auto"/>
            <w:hideMark/>
          </w:tcPr>
          <w:p w14:paraId="759C737B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FLNG Unit</w:t>
            </w:r>
          </w:p>
        </w:tc>
        <w:tc>
          <w:tcPr>
            <w:tcW w:w="0" w:type="auto"/>
            <w:hideMark/>
          </w:tcPr>
          <w:p w14:paraId="0E071F56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3.5 Mtpa</w:t>
            </w:r>
          </w:p>
        </w:tc>
        <w:tc>
          <w:tcPr>
            <w:tcW w:w="0" w:type="auto"/>
            <w:hideMark/>
          </w:tcPr>
          <w:p w14:paraId="4249DE37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$3.8–4.8B</w:t>
            </w:r>
          </w:p>
        </w:tc>
        <w:tc>
          <w:tcPr>
            <w:tcW w:w="0" w:type="auto"/>
            <w:hideMark/>
          </w:tcPr>
          <w:p w14:paraId="26DEB1C2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2031–2035</w:t>
            </w:r>
          </w:p>
        </w:tc>
        <w:tc>
          <w:tcPr>
            <w:tcW w:w="0" w:type="auto"/>
            <w:hideMark/>
          </w:tcPr>
          <w:p w14:paraId="485627C8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Conceptual</w:t>
            </w:r>
          </w:p>
        </w:tc>
      </w:tr>
      <w:tr w:rsidR="00F629E4" w:rsidRPr="00F629E4" w14:paraId="69DED01E" w14:textId="77777777" w:rsidTr="00F629E4">
        <w:tc>
          <w:tcPr>
            <w:tcW w:w="0" w:type="auto"/>
            <w:hideMark/>
          </w:tcPr>
          <w:p w14:paraId="55EA900E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NamPower</w:t>
            </w:r>
            <w:proofErr w:type="spellEnd"/>
            <w:r w:rsidRPr="00F629E4">
              <w:rPr>
                <w:rFonts w:ascii="Times New Roman" w:hAnsi="Times New Roman" w:cs="Times New Roman"/>
                <w:sz w:val="24"/>
                <w:szCs w:val="24"/>
              </w:rPr>
              <w:t xml:space="preserve"> Grid Upgrades (400kV)</w:t>
            </w:r>
          </w:p>
        </w:tc>
        <w:tc>
          <w:tcPr>
            <w:tcW w:w="0" w:type="auto"/>
            <w:hideMark/>
          </w:tcPr>
          <w:p w14:paraId="22A552BD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1,500 MW export</w:t>
            </w:r>
          </w:p>
        </w:tc>
        <w:tc>
          <w:tcPr>
            <w:tcW w:w="0" w:type="auto"/>
            <w:hideMark/>
          </w:tcPr>
          <w:p w14:paraId="3B63D47B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$0.9–1.2B</w:t>
            </w:r>
          </w:p>
        </w:tc>
        <w:tc>
          <w:tcPr>
            <w:tcW w:w="0" w:type="auto"/>
            <w:hideMark/>
          </w:tcPr>
          <w:p w14:paraId="7FDB58E2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2027–2031</w:t>
            </w:r>
          </w:p>
        </w:tc>
        <w:tc>
          <w:tcPr>
            <w:tcW w:w="0" w:type="auto"/>
            <w:hideMark/>
          </w:tcPr>
          <w:p w14:paraId="1CEDCD04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Planned</w:t>
            </w:r>
          </w:p>
        </w:tc>
      </w:tr>
      <w:tr w:rsidR="00F629E4" w:rsidRPr="00F629E4" w14:paraId="6314B15D" w14:textId="77777777" w:rsidTr="00F629E4">
        <w:tc>
          <w:tcPr>
            <w:tcW w:w="0" w:type="auto"/>
            <w:hideMark/>
          </w:tcPr>
          <w:p w14:paraId="23E2FB8C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Port of Lüderitz Expansion</w:t>
            </w:r>
          </w:p>
        </w:tc>
        <w:tc>
          <w:tcPr>
            <w:tcW w:w="0" w:type="auto"/>
            <w:hideMark/>
          </w:tcPr>
          <w:p w14:paraId="55D8EBDF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Berthing &amp; logistics</w:t>
            </w:r>
          </w:p>
        </w:tc>
        <w:tc>
          <w:tcPr>
            <w:tcW w:w="0" w:type="auto"/>
            <w:hideMark/>
          </w:tcPr>
          <w:p w14:paraId="7DDDA4D2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$0.5–0.8B</w:t>
            </w:r>
          </w:p>
        </w:tc>
        <w:tc>
          <w:tcPr>
            <w:tcW w:w="0" w:type="auto"/>
            <w:hideMark/>
          </w:tcPr>
          <w:p w14:paraId="3B091230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2026–2030</w:t>
            </w:r>
          </w:p>
        </w:tc>
        <w:tc>
          <w:tcPr>
            <w:tcW w:w="0" w:type="auto"/>
            <w:hideMark/>
          </w:tcPr>
          <w:p w14:paraId="660B85B0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Under construction (N$4B)</w:t>
            </w: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108A73D1" w14:textId="3FEFE874" w:rsidR="00F629E4" w:rsidRPr="00F629E4" w:rsidRDefault="00F629E4" w:rsidP="00F629E4">
      <w:pPr>
        <w:spacing w:before="240"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2A89C1EA" w14:textId="77777777" w:rsidR="00F629E4" w:rsidRPr="00F629E4" w:rsidRDefault="00F629E4" w:rsidP="00F629E4">
      <w:pPr>
        <w:spacing w:before="240" w:after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629E4">
        <w:rPr>
          <w:rFonts w:ascii="Times New Roman" w:hAnsi="Times New Roman" w:cs="Times New Roman"/>
          <w:b/>
          <w:bCs/>
          <w:sz w:val="24"/>
          <w:szCs w:val="24"/>
        </w:rPr>
        <w:t>5. DOMESTIC MARKET REALITY CHECK</w:t>
      </w:r>
    </w:p>
    <w:p w14:paraId="2D452C0E" w14:textId="2B405479" w:rsidR="00F629E4" w:rsidRPr="00F629E4" w:rsidRDefault="00F629E4" w:rsidP="00F629E4">
      <w:pPr>
        <w:spacing w:before="240" w:after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629E4">
        <w:rPr>
          <w:rFonts w:ascii="Times New Roman" w:hAnsi="Times New Roman" w:cs="Times New Roman"/>
          <w:b/>
          <w:bCs/>
          <w:sz w:val="24"/>
          <w:szCs w:val="24"/>
        </w:rPr>
        <w:t>5.1 Verified Domestic Demand (Post-FID Scenarios)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24"/>
        <w:gridCol w:w="2125"/>
        <w:gridCol w:w="3727"/>
      </w:tblGrid>
      <w:tr w:rsidR="00F629E4" w:rsidRPr="00F629E4" w14:paraId="7DF6951C" w14:textId="77777777" w:rsidTr="00F629E4">
        <w:tc>
          <w:tcPr>
            <w:tcW w:w="0" w:type="auto"/>
            <w:hideMark/>
          </w:tcPr>
          <w:p w14:paraId="51B7D53A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Sector</w:t>
            </w:r>
          </w:p>
        </w:tc>
        <w:tc>
          <w:tcPr>
            <w:tcW w:w="0" w:type="auto"/>
            <w:hideMark/>
          </w:tcPr>
          <w:p w14:paraId="147BEF22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Demand (MMscfd)</w:t>
            </w:r>
          </w:p>
        </w:tc>
        <w:tc>
          <w:tcPr>
            <w:tcW w:w="0" w:type="auto"/>
            <w:hideMark/>
          </w:tcPr>
          <w:p w14:paraId="7191B5C1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Certainty</w:t>
            </w:r>
          </w:p>
        </w:tc>
      </w:tr>
      <w:tr w:rsidR="00F629E4" w:rsidRPr="00F629E4" w14:paraId="326CF267" w14:textId="77777777" w:rsidTr="00F629E4">
        <w:tc>
          <w:tcPr>
            <w:tcW w:w="0" w:type="auto"/>
            <w:hideMark/>
          </w:tcPr>
          <w:p w14:paraId="77C357DE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Power (Kudu + Orange Basin CCGT)</w:t>
            </w:r>
          </w:p>
        </w:tc>
        <w:tc>
          <w:tcPr>
            <w:tcW w:w="0" w:type="auto"/>
            <w:hideMark/>
          </w:tcPr>
          <w:p w14:paraId="1C0ED3DD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150–250</w:t>
            </w:r>
          </w:p>
        </w:tc>
        <w:tc>
          <w:tcPr>
            <w:tcW w:w="0" w:type="auto"/>
            <w:hideMark/>
          </w:tcPr>
          <w:p w14:paraId="7FE294A1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Moderate (Kudu FID pending)</w:t>
            </w:r>
          </w:p>
        </w:tc>
      </w:tr>
      <w:tr w:rsidR="00F629E4" w:rsidRPr="00F629E4" w14:paraId="6570CF22" w14:textId="77777777" w:rsidTr="00F629E4">
        <w:tc>
          <w:tcPr>
            <w:tcW w:w="0" w:type="auto"/>
            <w:hideMark/>
          </w:tcPr>
          <w:p w14:paraId="189C3475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Mining &amp; smelting</w:t>
            </w:r>
          </w:p>
        </w:tc>
        <w:tc>
          <w:tcPr>
            <w:tcW w:w="0" w:type="auto"/>
            <w:hideMark/>
          </w:tcPr>
          <w:p w14:paraId="3B953A94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40–70</w:t>
            </w:r>
          </w:p>
        </w:tc>
        <w:tc>
          <w:tcPr>
            <w:tcW w:w="0" w:type="auto"/>
            <w:hideMark/>
          </w:tcPr>
          <w:p w14:paraId="66F523F1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Low (requires pipeline infrastructure)</w:t>
            </w:r>
          </w:p>
        </w:tc>
      </w:tr>
      <w:tr w:rsidR="00F629E4" w:rsidRPr="00F629E4" w14:paraId="768C8EA9" w14:textId="77777777" w:rsidTr="00F629E4">
        <w:tc>
          <w:tcPr>
            <w:tcW w:w="0" w:type="auto"/>
            <w:hideMark/>
          </w:tcPr>
          <w:p w14:paraId="33C72B7C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Fertilizer &amp; chemicals</w:t>
            </w:r>
          </w:p>
        </w:tc>
        <w:tc>
          <w:tcPr>
            <w:tcW w:w="0" w:type="auto"/>
            <w:hideMark/>
          </w:tcPr>
          <w:p w14:paraId="7ADC0F9B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50–90</w:t>
            </w:r>
          </w:p>
        </w:tc>
        <w:tc>
          <w:tcPr>
            <w:tcW w:w="0" w:type="auto"/>
            <w:hideMark/>
          </w:tcPr>
          <w:p w14:paraId="674FAC29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Low (no projects at FEED)</w:t>
            </w:r>
          </w:p>
        </w:tc>
      </w:tr>
      <w:tr w:rsidR="00F629E4" w:rsidRPr="00F629E4" w14:paraId="2705EE7D" w14:textId="77777777" w:rsidTr="00F629E4">
        <w:tc>
          <w:tcPr>
            <w:tcW w:w="0" w:type="auto"/>
            <w:hideMark/>
          </w:tcPr>
          <w:p w14:paraId="0949ED92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LPG / household</w:t>
            </w:r>
          </w:p>
        </w:tc>
        <w:tc>
          <w:tcPr>
            <w:tcW w:w="0" w:type="auto"/>
            <w:hideMark/>
          </w:tcPr>
          <w:p w14:paraId="742BBD66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15–25</w:t>
            </w:r>
          </w:p>
        </w:tc>
        <w:tc>
          <w:tcPr>
            <w:tcW w:w="0" w:type="auto"/>
            <w:hideMark/>
          </w:tcPr>
          <w:p w14:paraId="4D0DD735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Moderate (can absorb Kudu NGLs)</w:t>
            </w:r>
          </w:p>
        </w:tc>
      </w:tr>
    </w:tbl>
    <w:p w14:paraId="299AE9E8" w14:textId="77777777" w:rsidR="00F629E4" w:rsidRPr="00F629E4" w:rsidRDefault="00F629E4" w:rsidP="00F629E4">
      <w:pPr>
        <w:spacing w:before="240" w:after="120"/>
        <w:jc w:val="both"/>
        <w:rPr>
          <w:rFonts w:ascii="Times New Roman" w:hAnsi="Times New Roman" w:cs="Times New Roman"/>
          <w:sz w:val="24"/>
          <w:szCs w:val="24"/>
        </w:rPr>
      </w:pPr>
      <w:r w:rsidRPr="00F629E4">
        <w:rPr>
          <w:rFonts w:ascii="Times New Roman" w:hAnsi="Times New Roman" w:cs="Times New Roman"/>
          <w:b/>
          <w:bCs/>
          <w:sz w:val="24"/>
          <w:szCs w:val="24"/>
        </w:rPr>
        <w:t>Peak domestic demand:</w:t>
      </w:r>
      <w:r w:rsidRPr="00F629E4">
        <w:rPr>
          <w:rFonts w:ascii="Times New Roman" w:hAnsi="Times New Roman" w:cs="Times New Roman"/>
          <w:sz w:val="24"/>
          <w:szCs w:val="24"/>
        </w:rPr>
        <w:t xml:space="preserve"> ~320–420 MMscfd by 2035–2040.</w:t>
      </w:r>
    </w:p>
    <w:p w14:paraId="5A4DCA0F" w14:textId="77777777" w:rsidR="00F629E4" w:rsidRDefault="00F629E4" w:rsidP="00F629E4">
      <w:pPr>
        <w:spacing w:before="240" w:after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8E15329" w14:textId="77777777" w:rsidR="00F629E4" w:rsidRDefault="00F629E4" w:rsidP="00F629E4">
      <w:pPr>
        <w:spacing w:before="240" w:after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F231AF1" w14:textId="77777777" w:rsidR="00F629E4" w:rsidRDefault="00F629E4" w:rsidP="00F629E4">
      <w:pPr>
        <w:spacing w:before="240" w:after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C3890C7" w14:textId="7CBB5F09" w:rsidR="00F629E4" w:rsidRPr="00F629E4" w:rsidRDefault="00F629E4" w:rsidP="00F629E4">
      <w:pPr>
        <w:spacing w:before="240" w:after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629E4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5.2 Supply-Demand Balance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3"/>
        <w:gridCol w:w="2098"/>
        <w:gridCol w:w="1877"/>
        <w:gridCol w:w="1411"/>
        <w:gridCol w:w="1651"/>
        <w:gridCol w:w="1816"/>
      </w:tblGrid>
      <w:tr w:rsidR="00F629E4" w:rsidRPr="00F629E4" w14:paraId="332D46AE" w14:textId="77777777" w:rsidTr="00F629E4">
        <w:tc>
          <w:tcPr>
            <w:tcW w:w="0" w:type="auto"/>
            <w:hideMark/>
          </w:tcPr>
          <w:p w14:paraId="5117099E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Year</w:t>
            </w:r>
          </w:p>
        </w:tc>
        <w:tc>
          <w:tcPr>
            <w:tcW w:w="0" w:type="auto"/>
            <w:hideMark/>
          </w:tcPr>
          <w:p w14:paraId="7BD8DED1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Offshore Gas Supply (Est.)</w:t>
            </w:r>
          </w:p>
        </w:tc>
        <w:tc>
          <w:tcPr>
            <w:tcW w:w="0" w:type="auto"/>
            <w:hideMark/>
          </w:tcPr>
          <w:p w14:paraId="49E8F1C2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Reinjection Demand</w:t>
            </w:r>
          </w:p>
        </w:tc>
        <w:tc>
          <w:tcPr>
            <w:tcW w:w="0" w:type="auto"/>
            <w:hideMark/>
          </w:tcPr>
          <w:p w14:paraId="088F86CE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Net Available</w:t>
            </w:r>
          </w:p>
        </w:tc>
        <w:tc>
          <w:tcPr>
            <w:tcW w:w="0" w:type="auto"/>
            <w:hideMark/>
          </w:tcPr>
          <w:p w14:paraId="053352D3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Domestic Demand</w:t>
            </w:r>
          </w:p>
        </w:tc>
        <w:tc>
          <w:tcPr>
            <w:tcW w:w="0" w:type="auto"/>
            <w:hideMark/>
          </w:tcPr>
          <w:p w14:paraId="1CFD0ECB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Exportable Surplus</w:t>
            </w:r>
          </w:p>
        </w:tc>
      </w:tr>
      <w:tr w:rsidR="00F629E4" w:rsidRPr="00F629E4" w14:paraId="1C1833E8" w14:textId="77777777" w:rsidTr="00F629E4">
        <w:tc>
          <w:tcPr>
            <w:tcW w:w="0" w:type="auto"/>
            <w:hideMark/>
          </w:tcPr>
          <w:p w14:paraId="6AFD5F3E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0" w:type="auto"/>
            <w:hideMark/>
          </w:tcPr>
          <w:p w14:paraId="153BCC28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hideMark/>
          </w:tcPr>
          <w:p w14:paraId="3213CD1C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0" w:type="auto"/>
            <w:hideMark/>
          </w:tcPr>
          <w:p w14:paraId="3CB075F3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14:paraId="58A9CFC1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hideMark/>
          </w:tcPr>
          <w:p w14:paraId="05940F36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20 (Kudu only)</w:t>
            </w:r>
          </w:p>
        </w:tc>
      </w:tr>
      <w:tr w:rsidR="00F629E4" w:rsidRPr="00F629E4" w14:paraId="0ED8191B" w14:textId="77777777" w:rsidTr="00F629E4">
        <w:tc>
          <w:tcPr>
            <w:tcW w:w="0" w:type="auto"/>
            <w:hideMark/>
          </w:tcPr>
          <w:p w14:paraId="678C01FA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0" w:type="auto"/>
            <w:hideMark/>
          </w:tcPr>
          <w:p w14:paraId="0134C497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  <w:tc>
          <w:tcPr>
            <w:tcW w:w="0" w:type="auto"/>
            <w:hideMark/>
          </w:tcPr>
          <w:p w14:paraId="6066967E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0" w:type="auto"/>
            <w:hideMark/>
          </w:tcPr>
          <w:p w14:paraId="5AA83E1C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0" w:type="auto"/>
            <w:hideMark/>
          </w:tcPr>
          <w:p w14:paraId="0363916A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0" w:type="auto"/>
            <w:hideMark/>
          </w:tcPr>
          <w:p w14:paraId="1DCE4FCC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F629E4" w:rsidRPr="00F629E4" w14:paraId="48F10469" w14:textId="77777777" w:rsidTr="00F629E4">
        <w:tc>
          <w:tcPr>
            <w:tcW w:w="0" w:type="auto"/>
            <w:hideMark/>
          </w:tcPr>
          <w:p w14:paraId="1347EC0A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2032</w:t>
            </w:r>
          </w:p>
        </w:tc>
        <w:tc>
          <w:tcPr>
            <w:tcW w:w="0" w:type="auto"/>
            <w:hideMark/>
          </w:tcPr>
          <w:p w14:paraId="4936FD32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950</w:t>
            </w:r>
          </w:p>
        </w:tc>
        <w:tc>
          <w:tcPr>
            <w:tcW w:w="0" w:type="auto"/>
            <w:hideMark/>
          </w:tcPr>
          <w:p w14:paraId="5D9C3E87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  <w:tc>
          <w:tcPr>
            <w:tcW w:w="0" w:type="auto"/>
            <w:hideMark/>
          </w:tcPr>
          <w:p w14:paraId="4E17B94D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0" w:type="auto"/>
            <w:hideMark/>
          </w:tcPr>
          <w:p w14:paraId="7F2CAD43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0" w:type="auto"/>
            <w:hideMark/>
          </w:tcPr>
          <w:p w14:paraId="6FFFF1ED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</w:p>
        </w:tc>
      </w:tr>
      <w:tr w:rsidR="00F629E4" w:rsidRPr="00F629E4" w14:paraId="4219ED1A" w14:textId="77777777" w:rsidTr="00F629E4">
        <w:tc>
          <w:tcPr>
            <w:tcW w:w="0" w:type="auto"/>
            <w:hideMark/>
          </w:tcPr>
          <w:p w14:paraId="61431EF6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2035</w:t>
            </w:r>
          </w:p>
        </w:tc>
        <w:tc>
          <w:tcPr>
            <w:tcW w:w="0" w:type="auto"/>
            <w:hideMark/>
          </w:tcPr>
          <w:p w14:paraId="6707B601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1,400</w:t>
            </w:r>
          </w:p>
        </w:tc>
        <w:tc>
          <w:tcPr>
            <w:tcW w:w="0" w:type="auto"/>
            <w:hideMark/>
          </w:tcPr>
          <w:p w14:paraId="2DDE411F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550</w:t>
            </w:r>
          </w:p>
        </w:tc>
        <w:tc>
          <w:tcPr>
            <w:tcW w:w="0" w:type="auto"/>
            <w:hideMark/>
          </w:tcPr>
          <w:p w14:paraId="4275064C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0" w:type="auto"/>
            <w:hideMark/>
          </w:tcPr>
          <w:p w14:paraId="1E7F68C1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0" w:type="auto"/>
            <w:hideMark/>
          </w:tcPr>
          <w:p w14:paraId="18E2711C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530</w:t>
            </w:r>
          </w:p>
        </w:tc>
      </w:tr>
      <w:tr w:rsidR="00F629E4" w:rsidRPr="00F629E4" w14:paraId="050B2A16" w14:textId="77777777" w:rsidTr="00F629E4">
        <w:tc>
          <w:tcPr>
            <w:tcW w:w="0" w:type="auto"/>
            <w:hideMark/>
          </w:tcPr>
          <w:p w14:paraId="77A9E58B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2040</w:t>
            </w:r>
          </w:p>
        </w:tc>
        <w:tc>
          <w:tcPr>
            <w:tcW w:w="0" w:type="auto"/>
            <w:hideMark/>
          </w:tcPr>
          <w:p w14:paraId="4BD8034D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1,800</w:t>
            </w:r>
          </w:p>
        </w:tc>
        <w:tc>
          <w:tcPr>
            <w:tcW w:w="0" w:type="auto"/>
            <w:hideMark/>
          </w:tcPr>
          <w:p w14:paraId="390379EA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0" w:type="auto"/>
            <w:hideMark/>
          </w:tcPr>
          <w:p w14:paraId="5568D0C9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1,200</w:t>
            </w:r>
          </w:p>
        </w:tc>
        <w:tc>
          <w:tcPr>
            <w:tcW w:w="0" w:type="auto"/>
            <w:hideMark/>
          </w:tcPr>
          <w:p w14:paraId="311E9380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420</w:t>
            </w:r>
          </w:p>
        </w:tc>
        <w:tc>
          <w:tcPr>
            <w:tcW w:w="0" w:type="auto"/>
            <w:hideMark/>
          </w:tcPr>
          <w:p w14:paraId="7D0D5F3A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780</w:t>
            </w:r>
          </w:p>
        </w:tc>
      </w:tr>
    </w:tbl>
    <w:p w14:paraId="185A44C4" w14:textId="0FEC7118" w:rsidR="00F629E4" w:rsidRPr="00F629E4" w:rsidRDefault="00F629E4" w:rsidP="00F629E4">
      <w:pPr>
        <w:spacing w:before="240" w:after="120"/>
        <w:jc w:val="both"/>
        <w:rPr>
          <w:rFonts w:ascii="Times New Roman" w:hAnsi="Times New Roman" w:cs="Times New Roman"/>
          <w:sz w:val="24"/>
          <w:szCs w:val="24"/>
        </w:rPr>
      </w:pPr>
      <w:r w:rsidRPr="00F629E4">
        <w:rPr>
          <w:rFonts w:ascii="Times New Roman" w:hAnsi="Times New Roman" w:cs="Times New Roman"/>
          <w:sz w:val="24"/>
          <w:szCs w:val="24"/>
        </w:rPr>
        <w:t xml:space="preserve">If all projects reach plateau, domestic demand alone cannot absorb total associated gas. A dual-track strategy (domestic power + export) is logically necessary, but </w:t>
      </w:r>
      <w:r w:rsidRPr="00F629E4">
        <w:rPr>
          <w:rFonts w:ascii="Times New Roman" w:hAnsi="Times New Roman" w:cs="Times New Roman"/>
          <w:b/>
          <w:bCs/>
          <w:sz w:val="24"/>
          <w:szCs w:val="24"/>
        </w:rPr>
        <w:t>export infrastructure is not yet financeable.</w:t>
      </w:r>
    </w:p>
    <w:p w14:paraId="5A0CE493" w14:textId="3E70FED1" w:rsidR="00F629E4" w:rsidRPr="00F629E4" w:rsidRDefault="00F629E4" w:rsidP="00F629E4">
      <w:pPr>
        <w:spacing w:before="240"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3BA9BF48" w14:textId="77777777" w:rsidR="00F629E4" w:rsidRPr="00F629E4" w:rsidRDefault="00F629E4" w:rsidP="00F629E4">
      <w:pPr>
        <w:spacing w:before="240" w:after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629E4">
        <w:rPr>
          <w:rFonts w:ascii="Times New Roman" w:hAnsi="Times New Roman" w:cs="Times New Roman"/>
          <w:b/>
          <w:bCs/>
          <w:sz w:val="24"/>
          <w:szCs w:val="24"/>
        </w:rPr>
        <w:t>6. RISK ASSESSMENT &amp; STRATEGIC SCENARIOS</w:t>
      </w:r>
    </w:p>
    <w:p w14:paraId="21000DE8" w14:textId="3589C29B" w:rsidR="00F629E4" w:rsidRPr="00F629E4" w:rsidRDefault="00F629E4" w:rsidP="00F629E4">
      <w:pPr>
        <w:spacing w:before="240" w:after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629E4">
        <w:rPr>
          <w:rFonts w:ascii="Times New Roman" w:hAnsi="Times New Roman" w:cs="Times New Roman"/>
          <w:b/>
          <w:bCs/>
          <w:sz w:val="24"/>
          <w:szCs w:val="24"/>
        </w:rPr>
        <w:t>6.1 Critical Risks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35"/>
        <w:gridCol w:w="1486"/>
        <w:gridCol w:w="1170"/>
        <w:gridCol w:w="4185"/>
      </w:tblGrid>
      <w:tr w:rsidR="00F629E4" w:rsidRPr="00F629E4" w14:paraId="7B9F888E" w14:textId="77777777" w:rsidTr="00F629E4">
        <w:tc>
          <w:tcPr>
            <w:tcW w:w="0" w:type="auto"/>
            <w:hideMark/>
          </w:tcPr>
          <w:p w14:paraId="1A22310F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Risk</w:t>
            </w:r>
          </w:p>
        </w:tc>
        <w:tc>
          <w:tcPr>
            <w:tcW w:w="0" w:type="auto"/>
            <w:hideMark/>
          </w:tcPr>
          <w:p w14:paraId="2CC0D3A2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Probability</w:t>
            </w:r>
          </w:p>
        </w:tc>
        <w:tc>
          <w:tcPr>
            <w:tcW w:w="0" w:type="auto"/>
            <w:hideMark/>
          </w:tcPr>
          <w:p w14:paraId="7C83B6C1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Impact</w:t>
            </w:r>
          </w:p>
        </w:tc>
        <w:tc>
          <w:tcPr>
            <w:tcW w:w="0" w:type="auto"/>
            <w:hideMark/>
          </w:tcPr>
          <w:p w14:paraId="64070033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Mitigation</w:t>
            </w:r>
          </w:p>
        </w:tc>
      </w:tr>
      <w:tr w:rsidR="00F629E4" w:rsidRPr="00F629E4" w14:paraId="2FA125B6" w14:textId="77777777" w:rsidTr="00F629E4">
        <w:tc>
          <w:tcPr>
            <w:tcW w:w="0" w:type="auto"/>
            <w:hideMark/>
          </w:tcPr>
          <w:p w14:paraId="32469C3C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Venus FID delay beyond 2026</w:t>
            </w:r>
          </w:p>
        </w:tc>
        <w:tc>
          <w:tcPr>
            <w:tcW w:w="0" w:type="auto"/>
            <w:hideMark/>
          </w:tcPr>
          <w:p w14:paraId="59E46BF5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Moderate</w:t>
            </w:r>
          </w:p>
        </w:tc>
        <w:tc>
          <w:tcPr>
            <w:tcW w:w="0" w:type="auto"/>
            <w:hideMark/>
          </w:tcPr>
          <w:p w14:paraId="2B0E7EC1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</w:p>
        </w:tc>
        <w:tc>
          <w:tcPr>
            <w:tcW w:w="0" w:type="auto"/>
            <w:hideMark/>
          </w:tcPr>
          <w:p w14:paraId="66218967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TotalEnergies has stated $20/</w:t>
            </w:r>
            <w:proofErr w:type="spellStart"/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bbl</w:t>
            </w:r>
            <w:proofErr w:type="spellEnd"/>
            <w:r w:rsidRPr="00F629E4">
              <w:rPr>
                <w:rFonts w:ascii="Times New Roman" w:hAnsi="Times New Roman" w:cs="Times New Roman"/>
                <w:sz w:val="24"/>
                <w:szCs w:val="24"/>
              </w:rPr>
              <w:t xml:space="preserve"> cost ceiling; government cost-sharing talks ongoing </w:t>
            </w:r>
          </w:p>
        </w:tc>
      </w:tr>
      <w:tr w:rsidR="00F629E4" w:rsidRPr="00F629E4" w14:paraId="33D26DD3" w14:textId="77777777" w:rsidTr="00F629E4">
        <w:tc>
          <w:tcPr>
            <w:tcW w:w="0" w:type="auto"/>
            <w:hideMark/>
          </w:tcPr>
          <w:p w14:paraId="5430832B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Shell PEL 39 failure to find viable development</w:t>
            </w:r>
          </w:p>
        </w:tc>
        <w:tc>
          <w:tcPr>
            <w:tcW w:w="0" w:type="auto"/>
            <w:hideMark/>
          </w:tcPr>
          <w:p w14:paraId="6424F078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Moderate</w:t>
            </w:r>
          </w:p>
        </w:tc>
        <w:tc>
          <w:tcPr>
            <w:tcW w:w="0" w:type="auto"/>
            <w:hideMark/>
          </w:tcPr>
          <w:p w14:paraId="782A225A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Moderate</w:t>
            </w:r>
          </w:p>
        </w:tc>
        <w:tc>
          <w:tcPr>
            <w:tcW w:w="0" w:type="auto"/>
            <w:hideMark/>
          </w:tcPr>
          <w:p w14:paraId="0374D315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Merlin-1X (2026) is promising but not a development; Shell may exit or farm down</w:t>
            </w:r>
          </w:p>
        </w:tc>
      </w:tr>
      <w:tr w:rsidR="00F629E4" w:rsidRPr="00F629E4" w14:paraId="59329CD5" w14:textId="77777777" w:rsidTr="00F629E4">
        <w:tc>
          <w:tcPr>
            <w:tcW w:w="0" w:type="auto"/>
            <w:hideMark/>
          </w:tcPr>
          <w:p w14:paraId="2ACBFD0A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Kudu FID delay</w:t>
            </w:r>
          </w:p>
        </w:tc>
        <w:tc>
          <w:tcPr>
            <w:tcW w:w="0" w:type="auto"/>
            <w:hideMark/>
          </w:tcPr>
          <w:p w14:paraId="6EB723C0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Moderate</w:t>
            </w:r>
          </w:p>
        </w:tc>
        <w:tc>
          <w:tcPr>
            <w:tcW w:w="0" w:type="auto"/>
            <w:hideMark/>
          </w:tcPr>
          <w:p w14:paraId="02E362A8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</w:p>
        </w:tc>
        <w:tc>
          <w:tcPr>
            <w:tcW w:w="0" w:type="auto"/>
            <w:hideMark/>
          </w:tcPr>
          <w:p w14:paraId="684C7BB4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Already delayed from 2024→2025→late 2026; liquids discovery improves case</w:t>
            </w:r>
          </w:p>
        </w:tc>
      </w:tr>
      <w:tr w:rsidR="00F629E4" w:rsidRPr="00F629E4" w14:paraId="608CE7C4" w14:textId="77777777" w:rsidTr="00F629E4">
        <w:tc>
          <w:tcPr>
            <w:tcW w:w="0" w:type="auto"/>
            <w:hideMark/>
          </w:tcPr>
          <w:p w14:paraId="05B76C34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Gas reinjection </w:t>
            </w:r>
            <w:r w:rsidRPr="00F62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technical failure at 3,000 m</w:t>
            </w:r>
          </w:p>
        </w:tc>
        <w:tc>
          <w:tcPr>
            <w:tcW w:w="0" w:type="auto"/>
            <w:hideMark/>
          </w:tcPr>
          <w:p w14:paraId="68BEABAE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Low–</w:t>
            </w:r>
            <w:r w:rsidRPr="00F629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Moderate</w:t>
            </w:r>
          </w:p>
        </w:tc>
        <w:tc>
          <w:tcPr>
            <w:tcW w:w="0" w:type="auto"/>
            <w:hideMark/>
          </w:tcPr>
          <w:p w14:paraId="75CD132A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Very </w:t>
            </w:r>
            <w:r w:rsidRPr="00F629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High</w:t>
            </w:r>
          </w:p>
        </w:tc>
        <w:tc>
          <w:tcPr>
            <w:tcW w:w="0" w:type="auto"/>
            <w:hideMark/>
          </w:tcPr>
          <w:p w14:paraId="5765341C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No global precedent; requires bespoke </w:t>
            </w:r>
            <w:r w:rsidRPr="00F629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subsea compression</w:t>
            </w:r>
          </w:p>
        </w:tc>
      </w:tr>
      <w:tr w:rsidR="00F629E4" w:rsidRPr="00F629E4" w14:paraId="09375BD2" w14:textId="77777777" w:rsidTr="00F629E4">
        <w:tc>
          <w:tcPr>
            <w:tcW w:w="0" w:type="auto"/>
            <w:hideMark/>
          </w:tcPr>
          <w:p w14:paraId="18A442FE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Domestic </w:t>
            </w:r>
            <w:proofErr w:type="spellStart"/>
            <w:r w:rsidRPr="00F62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offtaker</w:t>
            </w:r>
            <w:proofErr w:type="spellEnd"/>
            <w:r w:rsidRPr="00F62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credit risk</w:t>
            </w:r>
          </w:p>
        </w:tc>
        <w:tc>
          <w:tcPr>
            <w:tcW w:w="0" w:type="auto"/>
            <w:hideMark/>
          </w:tcPr>
          <w:p w14:paraId="70AAB641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Moderate</w:t>
            </w:r>
          </w:p>
        </w:tc>
        <w:tc>
          <w:tcPr>
            <w:tcW w:w="0" w:type="auto"/>
            <w:hideMark/>
          </w:tcPr>
          <w:p w14:paraId="601ECD5A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Moderate</w:t>
            </w:r>
          </w:p>
        </w:tc>
        <w:tc>
          <w:tcPr>
            <w:tcW w:w="0" w:type="auto"/>
            <w:hideMark/>
          </w:tcPr>
          <w:p w14:paraId="18B8EBB6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NamPower</w:t>
            </w:r>
            <w:proofErr w:type="spellEnd"/>
            <w:r w:rsidRPr="00F629E4">
              <w:rPr>
                <w:rFonts w:ascii="Times New Roman" w:hAnsi="Times New Roman" w:cs="Times New Roman"/>
                <w:sz w:val="24"/>
                <w:szCs w:val="24"/>
              </w:rPr>
              <w:t xml:space="preserve"> financial health; SAPP pricing uncertainty</w:t>
            </w:r>
          </w:p>
        </w:tc>
      </w:tr>
    </w:tbl>
    <w:p w14:paraId="2BCA2B55" w14:textId="77777777" w:rsidR="00F629E4" w:rsidRPr="00F629E4" w:rsidRDefault="00F629E4" w:rsidP="00F629E4">
      <w:pPr>
        <w:spacing w:before="240" w:after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629E4">
        <w:rPr>
          <w:rFonts w:ascii="Times New Roman" w:hAnsi="Times New Roman" w:cs="Times New Roman"/>
          <w:b/>
          <w:bCs/>
          <w:sz w:val="24"/>
          <w:szCs w:val="24"/>
        </w:rPr>
        <w:t>6.2 Three Scenarios for Decision-Makers</w:t>
      </w:r>
    </w:p>
    <w:p w14:paraId="05ED1D85" w14:textId="34230D6F" w:rsidR="00F629E4" w:rsidRPr="00F629E4" w:rsidRDefault="00F629E4" w:rsidP="00F629E4">
      <w:pPr>
        <w:spacing w:before="240" w:after="1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2"/>
        <w:gridCol w:w="2703"/>
        <w:gridCol w:w="2357"/>
        <w:gridCol w:w="2264"/>
      </w:tblGrid>
      <w:tr w:rsidR="00F629E4" w:rsidRPr="00F629E4" w14:paraId="4C00395A" w14:textId="77777777" w:rsidTr="00F629E4">
        <w:tc>
          <w:tcPr>
            <w:tcW w:w="0" w:type="auto"/>
            <w:hideMark/>
          </w:tcPr>
          <w:p w14:paraId="74922F49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Parameter</w:t>
            </w:r>
          </w:p>
        </w:tc>
        <w:tc>
          <w:tcPr>
            <w:tcW w:w="0" w:type="auto"/>
            <w:hideMark/>
          </w:tcPr>
          <w:p w14:paraId="272CF7A9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Scenario A: Conservative (Reinjection-Only)</w:t>
            </w:r>
          </w:p>
        </w:tc>
        <w:tc>
          <w:tcPr>
            <w:tcW w:w="0" w:type="auto"/>
            <w:hideMark/>
          </w:tcPr>
          <w:p w14:paraId="0325D6DB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Scenario B: Balanced (Domestic Anchor)</w:t>
            </w:r>
          </w:p>
        </w:tc>
        <w:tc>
          <w:tcPr>
            <w:tcW w:w="0" w:type="auto"/>
            <w:hideMark/>
          </w:tcPr>
          <w:p w14:paraId="5DB03579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Scenario C: Integrated Export Hub</w:t>
            </w:r>
          </w:p>
        </w:tc>
      </w:tr>
      <w:tr w:rsidR="00F629E4" w:rsidRPr="00F629E4" w14:paraId="75644E72" w14:textId="77777777" w:rsidTr="00F629E4">
        <w:tc>
          <w:tcPr>
            <w:tcW w:w="0" w:type="auto"/>
            <w:hideMark/>
          </w:tcPr>
          <w:p w14:paraId="3FA50CBC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2035 Gas Production</w:t>
            </w:r>
          </w:p>
        </w:tc>
        <w:tc>
          <w:tcPr>
            <w:tcW w:w="0" w:type="auto"/>
            <w:hideMark/>
          </w:tcPr>
          <w:p w14:paraId="39E6565F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1,200 MMscfd</w:t>
            </w:r>
          </w:p>
        </w:tc>
        <w:tc>
          <w:tcPr>
            <w:tcW w:w="0" w:type="auto"/>
            <w:hideMark/>
          </w:tcPr>
          <w:p w14:paraId="548C5EB1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1,400 MMscfd</w:t>
            </w:r>
          </w:p>
        </w:tc>
        <w:tc>
          <w:tcPr>
            <w:tcW w:w="0" w:type="auto"/>
            <w:hideMark/>
          </w:tcPr>
          <w:p w14:paraId="28198086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1,800 MMscfd</w:t>
            </w:r>
          </w:p>
        </w:tc>
      </w:tr>
      <w:tr w:rsidR="00F629E4" w:rsidRPr="00F629E4" w14:paraId="2B86B696" w14:textId="77777777" w:rsidTr="00F629E4">
        <w:tc>
          <w:tcPr>
            <w:tcW w:w="0" w:type="auto"/>
            <w:hideMark/>
          </w:tcPr>
          <w:p w14:paraId="24226D57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Reinjection Share</w:t>
            </w:r>
          </w:p>
        </w:tc>
        <w:tc>
          <w:tcPr>
            <w:tcW w:w="0" w:type="auto"/>
            <w:hideMark/>
          </w:tcPr>
          <w:p w14:paraId="57C97B3F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85%</w:t>
            </w:r>
          </w:p>
        </w:tc>
        <w:tc>
          <w:tcPr>
            <w:tcW w:w="0" w:type="auto"/>
            <w:hideMark/>
          </w:tcPr>
          <w:p w14:paraId="6789F527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40%</w:t>
            </w:r>
          </w:p>
        </w:tc>
        <w:tc>
          <w:tcPr>
            <w:tcW w:w="0" w:type="auto"/>
            <w:hideMark/>
          </w:tcPr>
          <w:p w14:paraId="328ECE22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30%</w:t>
            </w:r>
          </w:p>
        </w:tc>
      </w:tr>
      <w:tr w:rsidR="00F629E4" w:rsidRPr="00F629E4" w14:paraId="3095DB5B" w14:textId="77777777" w:rsidTr="00F629E4">
        <w:tc>
          <w:tcPr>
            <w:tcW w:w="0" w:type="auto"/>
            <w:hideMark/>
          </w:tcPr>
          <w:p w14:paraId="6A174FDD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Domestic Market Share</w:t>
            </w:r>
          </w:p>
        </w:tc>
        <w:tc>
          <w:tcPr>
            <w:tcW w:w="0" w:type="auto"/>
            <w:hideMark/>
          </w:tcPr>
          <w:p w14:paraId="1B5FB40B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15%</w:t>
            </w:r>
          </w:p>
        </w:tc>
        <w:tc>
          <w:tcPr>
            <w:tcW w:w="0" w:type="auto"/>
            <w:hideMark/>
          </w:tcPr>
          <w:p w14:paraId="418ACCE8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55%</w:t>
            </w:r>
          </w:p>
        </w:tc>
        <w:tc>
          <w:tcPr>
            <w:tcW w:w="0" w:type="auto"/>
            <w:hideMark/>
          </w:tcPr>
          <w:p w14:paraId="04E3C1FE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25%</w:t>
            </w:r>
          </w:p>
        </w:tc>
      </w:tr>
      <w:tr w:rsidR="00F629E4" w:rsidRPr="00F629E4" w14:paraId="10F315E8" w14:textId="77777777" w:rsidTr="00F629E4">
        <w:tc>
          <w:tcPr>
            <w:tcW w:w="0" w:type="auto"/>
            <w:hideMark/>
          </w:tcPr>
          <w:p w14:paraId="000D00BD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Export Share</w:t>
            </w:r>
          </w:p>
        </w:tc>
        <w:tc>
          <w:tcPr>
            <w:tcW w:w="0" w:type="auto"/>
            <w:hideMark/>
          </w:tcPr>
          <w:p w14:paraId="0DE1FB80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0" w:type="auto"/>
            <w:hideMark/>
          </w:tcPr>
          <w:p w14:paraId="317A10C1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5%</w:t>
            </w:r>
          </w:p>
        </w:tc>
        <w:tc>
          <w:tcPr>
            <w:tcW w:w="0" w:type="auto"/>
            <w:hideMark/>
          </w:tcPr>
          <w:p w14:paraId="32E18689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45%</w:t>
            </w:r>
          </w:p>
        </w:tc>
      </w:tr>
      <w:tr w:rsidR="00F629E4" w:rsidRPr="00F629E4" w14:paraId="076DEC92" w14:textId="77777777" w:rsidTr="00F629E4">
        <w:tc>
          <w:tcPr>
            <w:tcW w:w="0" w:type="auto"/>
            <w:hideMark/>
          </w:tcPr>
          <w:p w14:paraId="589C1A7B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Program CAPEX (indicative)</w:t>
            </w:r>
          </w:p>
        </w:tc>
        <w:tc>
          <w:tcPr>
            <w:tcW w:w="0" w:type="auto"/>
            <w:hideMark/>
          </w:tcPr>
          <w:p w14:paraId="77B0B92C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$2–3B</w:t>
            </w:r>
          </w:p>
        </w:tc>
        <w:tc>
          <w:tcPr>
            <w:tcW w:w="0" w:type="auto"/>
            <w:hideMark/>
          </w:tcPr>
          <w:p w14:paraId="51BCBAAE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$6–8B</w:t>
            </w:r>
          </w:p>
        </w:tc>
        <w:tc>
          <w:tcPr>
            <w:tcW w:w="0" w:type="auto"/>
            <w:hideMark/>
          </w:tcPr>
          <w:p w14:paraId="50527C0D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$16–18B</w:t>
            </w:r>
          </w:p>
        </w:tc>
      </w:tr>
      <w:tr w:rsidR="00F629E4" w:rsidRPr="00F629E4" w14:paraId="2D9EFA7D" w14:textId="77777777" w:rsidTr="00F629E4">
        <w:tc>
          <w:tcPr>
            <w:tcW w:w="0" w:type="auto"/>
            <w:hideMark/>
          </w:tcPr>
          <w:p w14:paraId="1F195B75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Namibia Power Self-Sufficiency</w:t>
            </w:r>
          </w:p>
        </w:tc>
        <w:tc>
          <w:tcPr>
            <w:tcW w:w="0" w:type="auto"/>
            <w:hideMark/>
          </w:tcPr>
          <w:p w14:paraId="2AD656BF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Unchanged (~45% import)</w:t>
            </w:r>
          </w:p>
        </w:tc>
        <w:tc>
          <w:tcPr>
            <w:tcW w:w="0" w:type="auto"/>
            <w:hideMark/>
          </w:tcPr>
          <w:p w14:paraId="7BCA9C8C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100% self-sufficient</w:t>
            </w:r>
          </w:p>
        </w:tc>
        <w:tc>
          <w:tcPr>
            <w:tcW w:w="0" w:type="auto"/>
            <w:hideMark/>
          </w:tcPr>
          <w:p w14:paraId="26E4ABC9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Net exporter</w:t>
            </w:r>
          </w:p>
        </w:tc>
      </w:tr>
      <w:tr w:rsidR="00F629E4" w:rsidRPr="00F629E4" w14:paraId="261C286E" w14:textId="77777777" w:rsidTr="00F629E4">
        <w:tc>
          <w:tcPr>
            <w:tcW w:w="0" w:type="auto"/>
            <w:hideMark/>
          </w:tcPr>
          <w:p w14:paraId="46FC574A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Cumulative State Revenue (indicative)</w:t>
            </w:r>
          </w:p>
        </w:tc>
        <w:tc>
          <w:tcPr>
            <w:tcW w:w="0" w:type="auto"/>
            <w:hideMark/>
          </w:tcPr>
          <w:p w14:paraId="59AD8F78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$2–3B</w:t>
            </w:r>
          </w:p>
        </w:tc>
        <w:tc>
          <w:tcPr>
            <w:tcW w:w="0" w:type="auto"/>
            <w:hideMark/>
          </w:tcPr>
          <w:p w14:paraId="7265C369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$6–8B</w:t>
            </w:r>
          </w:p>
        </w:tc>
        <w:tc>
          <w:tcPr>
            <w:tcW w:w="0" w:type="auto"/>
            <w:hideMark/>
          </w:tcPr>
          <w:p w14:paraId="450684A9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$15–20B</w:t>
            </w:r>
          </w:p>
        </w:tc>
      </w:tr>
      <w:tr w:rsidR="00F629E4" w:rsidRPr="00F629E4" w14:paraId="46EFE0A5" w14:textId="77777777" w:rsidTr="00F629E4">
        <w:tc>
          <w:tcPr>
            <w:tcW w:w="0" w:type="auto"/>
            <w:hideMark/>
          </w:tcPr>
          <w:p w14:paraId="2147C00E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Strategic Fit</w:t>
            </w:r>
          </w:p>
        </w:tc>
        <w:tc>
          <w:tcPr>
            <w:tcW w:w="0" w:type="auto"/>
            <w:hideMark/>
          </w:tcPr>
          <w:p w14:paraId="589FA67C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Sub-optimal</w:t>
            </w:r>
          </w:p>
        </w:tc>
        <w:tc>
          <w:tcPr>
            <w:tcW w:w="0" w:type="auto"/>
            <w:hideMark/>
          </w:tcPr>
          <w:p w14:paraId="7FC2D53C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Most Probable</w:t>
            </w:r>
          </w:p>
        </w:tc>
        <w:tc>
          <w:tcPr>
            <w:tcW w:w="0" w:type="auto"/>
            <w:hideMark/>
          </w:tcPr>
          <w:p w14:paraId="707B581A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Aspirational</w:t>
            </w:r>
          </w:p>
        </w:tc>
      </w:tr>
    </w:tbl>
    <w:p w14:paraId="76AA8DB4" w14:textId="3A5C723E" w:rsidR="00F629E4" w:rsidRPr="00F629E4" w:rsidRDefault="00F629E4" w:rsidP="00F629E4">
      <w:pPr>
        <w:spacing w:before="240" w:after="120"/>
        <w:jc w:val="both"/>
        <w:rPr>
          <w:rFonts w:ascii="Times New Roman" w:hAnsi="Times New Roman" w:cs="Times New Roman"/>
          <w:sz w:val="24"/>
          <w:szCs w:val="24"/>
        </w:rPr>
      </w:pPr>
      <w:r w:rsidRPr="00F629E4">
        <w:rPr>
          <w:rFonts w:ascii="Times New Roman" w:hAnsi="Times New Roman" w:cs="Times New Roman"/>
          <w:b/>
          <w:bCs/>
          <w:sz w:val="24"/>
          <w:szCs w:val="24"/>
        </w:rPr>
        <w:t>Judgment:</w:t>
      </w:r>
      <w:r w:rsidRPr="00F629E4">
        <w:rPr>
          <w:rFonts w:ascii="Times New Roman" w:hAnsi="Times New Roman" w:cs="Times New Roman"/>
          <w:sz w:val="24"/>
          <w:szCs w:val="24"/>
        </w:rPr>
        <w:t xml:space="preserve"> Scenario B is the most realistic through 2035. Scenario C requires simultaneous FIDs on FLNG and a regional pipeline—an unlikely capital stack given current operator caution.</w:t>
      </w:r>
    </w:p>
    <w:p w14:paraId="5CA1F2EE" w14:textId="77777777" w:rsidR="00F629E4" w:rsidRDefault="00F629E4" w:rsidP="00F629E4">
      <w:pPr>
        <w:spacing w:before="240" w:after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80B31FF" w14:textId="079790FD" w:rsidR="00F629E4" w:rsidRPr="00F629E4" w:rsidRDefault="00F629E4" w:rsidP="00F629E4">
      <w:pPr>
        <w:spacing w:before="240" w:after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629E4">
        <w:rPr>
          <w:rFonts w:ascii="Times New Roman" w:hAnsi="Times New Roman" w:cs="Times New Roman"/>
          <w:b/>
          <w:bCs/>
          <w:sz w:val="24"/>
          <w:szCs w:val="24"/>
        </w:rPr>
        <w:lastRenderedPageBreak/>
        <w:t>7. DECISION POINTS &amp; RECOMMENDATIONS</w:t>
      </w:r>
    </w:p>
    <w:p w14:paraId="3089C400" w14:textId="77777777" w:rsidR="00F629E4" w:rsidRPr="00F629E4" w:rsidRDefault="00F629E4" w:rsidP="00F629E4">
      <w:pPr>
        <w:spacing w:before="240" w:after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629E4">
        <w:rPr>
          <w:rFonts w:ascii="Times New Roman" w:hAnsi="Times New Roman" w:cs="Times New Roman"/>
          <w:b/>
          <w:bCs/>
          <w:sz w:val="24"/>
          <w:szCs w:val="24"/>
        </w:rPr>
        <w:t>Immediate Actions (0–12 Months)</w:t>
      </w:r>
    </w:p>
    <w:p w14:paraId="30310EF7" w14:textId="77777777" w:rsidR="00F629E4" w:rsidRPr="00F629E4" w:rsidRDefault="00F629E4" w:rsidP="00F629E4">
      <w:pPr>
        <w:numPr>
          <w:ilvl w:val="0"/>
          <w:numId w:val="11"/>
        </w:numPr>
        <w:spacing w:before="240" w:after="120"/>
        <w:jc w:val="both"/>
        <w:rPr>
          <w:rFonts w:ascii="Times New Roman" w:hAnsi="Times New Roman" w:cs="Times New Roman"/>
          <w:sz w:val="24"/>
          <w:szCs w:val="24"/>
        </w:rPr>
      </w:pPr>
      <w:r w:rsidRPr="00F629E4">
        <w:rPr>
          <w:rFonts w:ascii="Times New Roman" w:hAnsi="Times New Roman" w:cs="Times New Roman"/>
          <w:b/>
          <w:bCs/>
          <w:sz w:val="24"/>
          <w:szCs w:val="24"/>
        </w:rPr>
        <w:t>Correct the regulatory baseline.</w:t>
      </w:r>
      <w:r w:rsidRPr="00F629E4">
        <w:rPr>
          <w:rFonts w:ascii="Times New Roman" w:hAnsi="Times New Roman" w:cs="Times New Roman"/>
          <w:sz w:val="24"/>
          <w:szCs w:val="24"/>
        </w:rPr>
        <w:t xml:space="preserve"> Namibia lacks a published Associated Gas Utilization Policy. Decision-makers should demand clarity on:</w:t>
      </w:r>
    </w:p>
    <w:p w14:paraId="6517E0D6" w14:textId="77777777" w:rsidR="00F629E4" w:rsidRPr="00F629E4" w:rsidRDefault="00F629E4" w:rsidP="00F629E4">
      <w:pPr>
        <w:numPr>
          <w:ilvl w:val="1"/>
          <w:numId w:val="11"/>
        </w:numPr>
        <w:spacing w:before="240" w:after="120"/>
        <w:jc w:val="both"/>
        <w:rPr>
          <w:rFonts w:ascii="Times New Roman" w:hAnsi="Times New Roman" w:cs="Times New Roman"/>
          <w:sz w:val="24"/>
          <w:szCs w:val="24"/>
        </w:rPr>
      </w:pPr>
      <w:r w:rsidRPr="00F629E4">
        <w:rPr>
          <w:rFonts w:ascii="Times New Roman" w:hAnsi="Times New Roman" w:cs="Times New Roman"/>
          <w:sz w:val="24"/>
          <w:szCs w:val="24"/>
        </w:rPr>
        <w:t>Flaring restrictions and reinjection rights</w:t>
      </w:r>
    </w:p>
    <w:p w14:paraId="60195A0A" w14:textId="77777777" w:rsidR="00F629E4" w:rsidRPr="00F629E4" w:rsidRDefault="00F629E4" w:rsidP="00F629E4">
      <w:pPr>
        <w:numPr>
          <w:ilvl w:val="1"/>
          <w:numId w:val="11"/>
        </w:numPr>
        <w:spacing w:before="240" w:after="120"/>
        <w:jc w:val="both"/>
        <w:rPr>
          <w:rFonts w:ascii="Times New Roman" w:hAnsi="Times New Roman" w:cs="Times New Roman"/>
          <w:sz w:val="24"/>
          <w:szCs w:val="24"/>
        </w:rPr>
      </w:pPr>
      <w:r w:rsidRPr="00F629E4">
        <w:rPr>
          <w:rFonts w:ascii="Times New Roman" w:hAnsi="Times New Roman" w:cs="Times New Roman"/>
          <w:sz w:val="24"/>
          <w:szCs w:val="24"/>
        </w:rPr>
        <w:t>Gas ownership split between oil and gas phases</w:t>
      </w:r>
    </w:p>
    <w:p w14:paraId="47A02BD7" w14:textId="77777777" w:rsidR="00F629E4" w:rsidRPr="00F629E4" w:rsidRDefault="00F629E4" w:rsidP="00F629E4">
      <w:pPr>
        <w:numPr>
          <w:ilvl w:val="1"/>
          <w:numId w:val="11"/>
        </w:numPr>
        <w:spacing w:before="240" w:after="120"/>
        <w:jc w:val="both"/>
        <w:rPr>
          <w:rFonts w:ascii="Times New Roman" w:hAnsi="Times New Roman" w:cs="Times New Roman"/>
          <w:sz w:val="24"/>
          <w:szCs w:val="24"/>
        </w:rPr>
      </w:pPr>
      <w:r w:rsidRPr="00F629E4">
        <w:rPr>
          <w:rFonts w:ascii="Times New Roman" w:hAnsi="Times New Roman" w:cs="Times New Roman"/>
          <w:sz w:val="24"/>
          <w:szCs w:val="24"/>
        </w:rPr>
        <w:t xml:space="preserve">Third-party access to common infrastructure </w:t>
      </w:r>
    </w:p>
    <w:p w14:paraId="66BEBAC2" w14:textId="77777777" w:rsidR="00F629E4" w:rsidRPr="00F629E4" w:rsidRDefault="00F629E4" w:rsidP="00F629E4">
      <w:pPr>
        <w:numPr>
          <w:ilvl w:val="0"/>
          <w:numId w:val="11"/>
        </w:numPr>
        <w:spacing w:before="240" w:after="120"/>
        <w:jc w:val="both"/>
        <w:rPr>
          <w:rFonts w:ascii="Times New Roman" w:hAnsi="Times New Roman" w:cs="Times New Roman"/>
          <w:sz w:val="24"/>
          <w:szCs w:val="24"/>
        </w:rPr>
      </w:pPr>
      <w:r w:rsidRPr="00F629E4">
        <w:rPr>
          <w:rFonts w:ascii="Times New Roman" w:hAnsi="Times New Roman" w:cs="Times New Roman"/>
          <w:b/>
          <w:bCs/>
          <w:sz w:val="24"/>
          <w:szCs w:val="24"/>
        </w:rPr>
        <w:t>Secure Kudu FID.</w:t>
      </w:r>
      <w:r w:rsidRPr="00F629E4">
        <w:rPr>
          <w:rFonts w:ascii="Times New Roman" w:hAnsi="Times New Roman" w:cs="Times New Roman"/>
          <w:sz w:val="24"/>
          <w:szCs w:val="24"/>
        </w:rPr>
        <w:t xml:space="preserve"> This is the only project with a credible path to first gas before 2030. Delay beyond late 2026 would push Namibia's energy independence timeline to the mid-2030s.</w:t>
      </w:r>
    </w:p>
    <w:p w14:paraId="3E0F94A5" w14:textId="77777777" w:rsidR="00F629E4" w:rsidRPr="00F629E4" w:rsidRDefault="00F629E4" w:rsidP="00F629E4">
      <w:pPr>
        <w:numPr>
          <w:ilvl w:val="0"/>
          <w:numId w:val="11"/>
        </w:numPr>
        <w:spacing w:before="240" w:after="120"/>
        <w:jc w:val="both"/>
        <w:rPr>
          <w:rFonts w:ascii="Times New Roman" w:hAnsi="Times New Roman" w:cs="Times New Roman"/>
          <w:sz w:val="24"/>
          <w:szCs w:val="24"/>
        </w:rPr>
      </w:pPr>
      <w:r w:rsidRPr="00F629E4">
        <w:rPr>
          <w:rFonts w:ascii="Times New Roman" w:hAnsi="Times New Roman" w:cs="Times New Roman"/>
          <w:b/>
          <w:bCs/>
          <w:sz w:val="24"/>
          <w:szCs w:val="24"/>
        </w:rPr>
        <w:t>Update equity registers.</w:t>
      </w:r>
      <w:r w:rsidRPr="00F629E4">
        <w:rPr>
          <w:rFonts w:ascii="Times New Roman" w:hAnsi="Times New Roman" w:cs="Times New Roman"/>
          <w:sz w:val="24"/>
          <w:szCs w:val="24"/>
        </w:rPr>
        <w:t xml:space="preserve"> All government briefings must reflect the Dec 2025 TotalEnergies–Galp swap. Outdated ownership tables damage credibility in investor discussions.</w:t>
      </w:r>
    </w:p>
    <w:p w14:paraId="76C6548E" w14:textId="77777777" w:rsidR="00F629E4" w:rsidRPr="00F629E4" w:rsidRDefault="00F629E4" w:rsidP="00F629E4">
      <w:pPr>
        <w:spacing w:before="240" w:after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629E4">
        <w:rPr>
          <w:rFonts w:ascii="Times New Roman" w:hAnsi="Times New Roman" w:cs="Times New Roman"/>
          <w:b/>
          <w:bCs/>
          <w:sz w:val="24"/>
          <w:szCs w:val="24"/>
        </w:rPr>
        <w:t>Medium-Term Actions (1–3 Years)</w:t>
      </w:r>
    </w:p>
    <w:p w14:paraId="31A6CAE4" w14:textId="77777777" w:rsidR="00F629E4" w:rsidRPr="00F629E4" w:rsidRDefault="00F629E4" w:rsidP="00F629E4">
      <w:pPr>
        <w:numPr>
          <w:ilvl w:val="0"/>
          <w:numId w:val="12"/>
        </w:numPr>
        <w:spacing w:before="240" w:after="120"/>
        <w:jc w:val="both"/>
        <w:rPr>
          <w:rFonts w:ascii="Times New Roman" w:hAnsi="Times New Roman" w:cs="Times New Roman"/>
          <w:sz w:val="24"/>
          <w:szCs w:val="24"/>
        </w:rPr>
      </w:pPr>
      <w:r w:rsidRPr="00F629E4">
        <w:rPr>
          <w:rFonts w:ascii="Times New Roman" w:hAnsi="Times New Roman" w:cs="Times New Roman"/>
          <w:b/>
          <w:bCs/>
          <w:sz w:val="24"/>
          <w:szCs w:val="24"/>
        </w:rPr>
        <w:t>Mandate gas-gathering readiness on all FPSOs.</w:t>
      </w:r>
      <w:r w:rsidRPr="00F629E4">
        <w:rPr>
          <w:rFonts w:ascii="Times New Roman" w:hAnsi="Times New Roman" w:cs="Times New Roman"/>
          <w:sz w:val="24"/>
          <w:szCs w:val="24"/>
        </w:rPr>
        <w:t xml:space="preserve"> Even if reinjection is Phase 1, FPSO topsides should be designed for future tie-in to a shared trunkline.</w:t>
      </w:r>
    </w:p>
    <w:p w14:paraId="66C257AE" w14:textId="77777777" w:rsidR="00F629E4" w:rsidRPr="00F629E4" w:rsidRDefault="00F629E4" w:rsidP="00F629E4">
      <w:pPr>
        <w:numPr>
          <w:ilvl w:val="0"/>
          <w:numId w:val="12"/>
        </w:numPr>
        <w:spacing w:before="240" w:after="120"/>
        <w:jc w:val="both"/>
        <w:rPr>
          <w:rFonts w:ascii="Times New Roman" w:hAnsi="Times New Roman" w:cs="Times New Roman"/>
          <w:sz w:val="24"/>
          <w:szCs w:val="24"/>
        </w:rPr>
      </w:pPr>
      <w:r w:rsidRPr="00F629E4">
        <w:rPr>
          <w:rFonts w:ascii="Times New Roman" w:hAnsi="Times New Roman" w:cs="Times New Roman"/>
          <w:b/>
          <w:bCs/>
          <w:sz w:val="24"/>
          <w:szCs w:val="24"/>
        </w:rPr>
        <w:t>Establish a Common-User Infrastructure SPV.</w:t>
      </w:r>
      <w:r w:rsidRPr="00F629E4">
        <w:rPr>
          <w:rFonts w:ascii="Times New Roman" w:hAnsi="Times New Roman" w:cs="Times New Roman"/>
          <w:sz w:val="24"/>
          <w:szCs w:val="24"/>
        </w:rPr>
        <w:t xml:space="preserve"> A NAMCOR-led special purpose vehicle for the Orange Basin trunkline would de-risk individual operator investments and standardize tariffs.</w:t>
      </w:r>
    </w:p>
    <w:p w14:paraId="48AA99A8" w14:textId="77777777" w:rsidR="00F629E4" w:rsidRPr="00F629E4" w:rsidRDefault="00F629E4" w:rsidP="00F629E4">
      <w:pPr>
        <w:numPr>
          <w:ilvl w:val="0"/>
          <w:numId w:val="12"/>
        </w:numPr>
        <w:spacing w:before="240" w:after="120"/>
        <w:jc w:val="both"/>
        <w:rPr>
          <w:rFonts w:ascii="Times New Roman" w:hAnsi="Times New Roman" w:cs="Times New Roman"/>
          <w:sz w:val="24"/>
          <w:szCs w:val="24"/>
        </w:rPr>
      </w:pPr>
      <w:r w:rsidRPr="00F629E4">
        <w:rPr>
          <w:rFonts w:ascii="Times New Roman" w:hAnsi="Times New Roman" w:cs="Times New Roman"/>
          <w:b/>
          <w:bCs/>
          <w:sz w:val="24"/>
          <w:szCs w:val="24"/>
        </w:rPr>
        <w:t>Commission a bankable domestic demand study.</w:t>
      </w:r>
      <w:r w:rsidRPr="00F629E4">
        <w:rPr>
          <w:rFonts w:ascii="Times New Roman" w:hAnsi="Times New Roman" w:cs="Times New Roman"/>
          <w:sz w:val="24"/>
          <w:szCs w:val="24"/>
        </w:rPr>
        <w:t xml:space="preserve"> The 320–420 MMscfd domestic demand figure is analytical, not contracted. Secure PPAs with </w:t>
      </w:r>
      <w:proofErr w:type="spellStart"/>
      <w:r w:rsidRPr="00F629E4">
        <w:rPr>
          <w:rFonts w:ascii="Times New Roman" w:hAnsi="Times New Roman" w:cs="Times New Roman"/>
          <w:sz w:val="24"/>
          <w:szCs w:val="24"/>
        </w:rPr>
        <w:t>NamPower</w:t>
      </w:r>
      <w:proofErr w:type="spellEnd"/>
      <w:r w:rsidRPr="00F629E4">
        <w:rPr>
          <w:rFonts w:ascii="Times New Roman" w:hAnsi="Times New Roman" w:cs="Times New Roman"/>
          <w:sz w:val="24"/>
          <w:szCs w:val="24"/>
        </w:rPr>
        <w:t>, mining houses, and industrial users before pipeline FEED.</w:t>
      </w:r>
    </w:p>
    <w:p w14:paraId="53D5AE01" w14:textId="77777777" w:rsidR="00F629E4" w:rsidRPr="00F629E4" w:rsidRDefault="00F629E4" w:rsidP="00F629E4">
      <w:pPr>
        <w:spacing w:before="240" w:after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629E4">
        <w:rPr>
          <w:rFonts w:ascii="Times New Roman" w:hAnsi="Times New Roman" w:cs="Times New Roman"/>
          <w:b/>
          <w:bCs/>
          <w:sz w:val="24"/>
          <w:szCs w:val="24"/>
        </w:rPr>
        <w:t>Long-Term Positioning (3–7 Years)</w:t>
      </w:r>
    </w:p>
    <w:p w14:paraId="47812C63" w14:textId="77777777" w:rsidR="00F629E4" w:rsidRPr="00F629E4" w:rsidRDefault="00F629E4" w:rsidP="00F629E4">
      <w:pPr>
        <w:numPr>
          <w:ilvl w:val="0"/>
          <w:numId w:val="13"/>
        </w:numPr>
        <w:spacing w:before="240" w:after="120"/>
        <w:jc w:val="both"/>
        <w:rPr>
          <w:rFonts w:ascii="Times New Roman" w:hAnsi="Times New Roman" w:cs="Times New Roman"/>
          <w:sz w:val="24"/>
          <w:szCs w:val="24"/>
        </w:rPr>
      </w:pPr>
      <w:r w:rsidRPr="00F629E4">
        <w:rPr>
          <w:rFonts w:ascii="Times New Roman" w:hAnsi="Times New Roman" w:cs="Times New Roman"/>
          <w:b/>
          <w:bCs/>
          <w:sz w:val="24"/>
          <w:szCs w:val="24"/>
        </w:rPr>
        <w:t>Preserve FLNG optionality.</w:t>
      </w:r>
      <w:r w:rsidRPr="00F629E4">
        <w:rPr>
          <w:rFonts w:ascii="Times New Roman" w:hAnsi="Times New Roman" w:cs="Times New Roman"/>
          <w:sz w:val="24"/>
          <w:szCs w:val="24"/>
        </w:rPr>
        <w:t xml:space="preserve"> Do not commit to FLNG FEED until Venus and Mopane have 3–5 years of production data confirming sustained gas volumes and composition.</w:t>
      </w:r>
    </w:p>
    <w:p w14:paraId="4190AB81" w14:textId="77777777" w:rsidR="00F629E4" w:rsidRPr="00F629E4" w:rsidRDefault="00F629E4" w:rsidP="00F629E4">
      <w:pPr>
        <w:numPr>
          <w:ilvl w:val="0"/>
          <w:numId w:val="13"/>
        </w:numPr>
        <w:spacing w:before="240" w:after="120"/>
        <w:jc w:val="both"/>
        <w:rPr>
          <w:rFonts w:ascii="Times New Roman" w:hAnsi="Times New Roman" w:cs="Times New Roman"/>
          <w:sz w:val="24"/>
          <w:szCs w:val="24"/>
        </w:rPr>
      </w:pPr>
      <w:r w:rsidRPr="00F629E4">
        <w:rPr>
          <w:rFonts w:ascii="Times New Roman" w:hAnsi="Times New Roman" w:cs="Times New Roman"/>
          <w:b/>
          <w:bCs/>
          <w:sz w:val="24"/>
          <w:szCs w:val="24"/>
        </w:rPr>
        <w:t>Negotiate a Namibia–South Africa gas pipeline MOU.</w:t>
      </w:r>
      <w:r w:rsidRPr="00F629E4">
        <w:rPr>
          <w:rFonts w:ascii="Times New Roman" w:hAnsi="Times New Roman" w:cs="Times New Roman"/>
          <w:sz w:val="24"/>
          <w:szCs w:val="24"/>
        </w:rPr>
        <w:t xml:space="preserve"> Even if not built until the 2030s, a government-level framework on tariffs, transit rights, and environmental approvals would accelerate private investment.</w:t>
      </w:r>
    </w:p>
    <w:p w14:paraId="66105006" w14:textId="4BF17711" w:rsidR="00F629E4" w:rsidRPr="00F629E4" w:rsidRDefault="00F629E4" w:rsidP="00F629E4">
      <w:pPr>
        <w:spacing w:before="240"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59D245D0" w14:textId="5F74E498" w:rsidR="00F629E4" w:rsidRPr="00F629E4" w:rsidRDefault="00F629E4" w:rsidP="00F629E4">
      <w:pPr>
        <w:spacing w:before="240" w:after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629E4">
        <w:rPr>
          <w:rFonts w:ascii="Times New Roman" w:hAnsi="Times New Roman" w:cs="Times New Roman"/>
          <w:b/>
          <w:bCs/>
          <w:sz w:val="24"/>
          <w:szCs w:val="24"/>
        </w:rPr>
        <w:lastRenderedPageBreak/>
        <w:t>ANNEX: DATA CONFIDENCE MATRIX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8"/>
        <w:gridCol w:w="1865"/>
        <w:gridCol w:w="4743"/>
      </w:tblGrid>
      <w:tr w:rsidR="00F629E4" w:rsidRPr="00F629E4" w14:paraId="1899E35B" w14:textId="77777777" w:rsidTr="00F629E4">
        <w:tc>
          <w:tcPr>
            <w:tcW w:w="0" w:type="auto"/>
            <w:hideMark/>
          </w:tcPr>
          <w:p w14:paraId="72CD1666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Section</w:t>
            </w:r>
          </w:p>
        </w:tc>
        <w:tc>
          <w:tcPr>
            <w:tcW w:w="0" w:type="auto"/>
            <w:hideMark/>
          </w:tcPr>
          <w:p w14:paraId="40E13F17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Confidence Level</w:t>
            </w:r>
          </w:p>
        </w:tc>
        <w:tc>
          <w:tcPr>
            <w:tcW w:w="0" w:type="auto"/>
            <w:hideMark/>
          </w:tcPr>
          <w:p w14:paraId="1C3E2EE6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Basis</w:t>
            </w:r>
          </w:p>
        </w:tc>
      </w:tr>
      <w:tr w:rsidR="00F629E4" w:rsidRPr="00F629E4" w14:paraId="51F952AB" w14:textId="77777777" w:rsidTr="00F629E4">
        <w:tc>
          <w:tcPr>
            <w:tcW w:w="0" w:type="auto"/>
            <w:hideMark/>
          </w:tcPr>
          <w:p w14:paraId="62B3DD91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Field discoveries &amp; operatorship</w:t>
            </w:r>
          </w:p>
        </w:tc>
        <w:tc>
          <w:tcPr>
            <w:tcW w:w="0" w:type="auto"/>
            <w:hideMark/>
          </w:tcPr>
          <w:p w14:paraId="2947F6C4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High</w:t>
            </w:r>
          </w:p>
        </w:tc>
        <w:tc>
          <w:tcPr>
            <w:tcW w:w="0" w:type="auto"/>
            <w:hideMark/>
          </w:tcPr>
          <w:p w14:paraId="48D2970B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Operator disclosures, regulatory filings</w:t>
            </w:r>
          </w:p>
        </w:tc>
      </w:tr>
      <w:tr w:rsidR="00F629E4" w:rsidRPr="00F629E4" w14:paraId="63B7DE30" w14:textId="77777777" w:rsidTr="00F629E4">
        <w:tc>
          <w:tcPr>
            <w:tcW w:w="0" w:type="auto"/>
            <w:hideMark/>
          </w:tcPr>
          <w:p w14:paraId="64E54382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Equity percentages</w:t>
            </w:r>
          </w:p>
        </w:tc>
        <w:tc>
          <w:tcPr>
            <w:tcW w:w="0" w:type="auto"/>
            <w:hideMark/>
          </w:tcPr>
          <w:p w14:paraId="4A5BC6D1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High</w:t>
            </w:r>
          </w:p>
        </w:tc>
        <w:tc>
          <w:tcPr>
            <w:tcW w:w="0" w:type="auto"/>
            <w:hideMark/>
          </w:tcPr>
          <w:p w14:paraId="3DE70BAE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Post-Dec 2025 swap agreements</w:t>
            </w:r>
          </w:p>
        </w:tc>
      </w:tr>
      <w:tr w:rsidR="00F629E4" w:rsidRPr="00F629E4" w14:paraId="7F599D0B" w14:textId="77777777" w:rsidTr="00F629E4">
        <w:tc>
          <w:tcPr>
            <w:tcW w:w="0" w:type="auto"/>
            <w:hideMark/>
          </w:tcPr>
          <w:p w14:paraId="1FD3B852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Resource volumes (in-place)</w:t>
            </w:r>
          </w:p>
        </w:tc>
        <w:tc>
          <w:tcPr>
            <w:tcW w:w="0" w:type="auto"/>
            <w:hideMark/>
          </w:tcPr>
          <w:p w14:paraId="1852F650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Moderate</w:t>
            </w:r>
          </w:p>
        </w:tc>
        <w:tc>
          <w:tcPr>
            <w:tcW w:w="0" w:type="auto"/>
            <w:hideMark/>
          </w:tcPr>
          <w:p w14:paraId="41C00A58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Operator estimates; not independently audited</w:t>
            </w:r>
          </w:p>
        </w:tc>
      </w:tr>
      <w:tr w:rsidR="00F629E4" w:rsidRPr="00F629E4" w14:paraId="4A8A89E4" w14:textId="77777777" w:rsidTr="00F629E4">
        <w:tc>
          <w:tcPr>
            <w:tcW w:w="0" w:type="auto"/>
            <w:hideMark/>
          </w:tcPr>
          <w:p w14:paraId="2BEAAF5A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Resource volumes (recoverable)</w:t>
            </w:r>
          </w:p>
        </w:tc>
        <w:tc>
          <w:tcPr>
            <w:tcW w:w="0" w:type="auto"/>
            <w:hideMark/>
          </w:tcPr>
          <w:p w14:paraId="6555C903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Moderate–Low</w:t>
            </w:r>
          </w:p>
        </w:tc>
        <w:tc>
          <w:tcPr>
            <w:tcW w:w="0" w:type="auto"/>
            <w:hideMark/>
          </w:tcPr>
          <w:p w14:paraId="270D7692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Early appraisal; subject to change</w:t>
            </w:r>
          </w:p>
        </w:tc>
      </w:tr>
      <w:tr w:rsidR="00F629E4" w:rsidRPr="00F629E4" w14:paraId="35F56397" w14:textId="77777777" w:rsidTr="00F629E4">
        <w:tc>
          <w:tcPr>
            <w:tcW w:w="0" w:type="auto"/>
            <w:hideMark/>
          </w:tcPr>
          <w:p w14:paraId="3FD8DB47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First oil timelines</w:t>
            </w:r>
          </w:p>
        </w:tc>
        <w:tc>
          <w:tcPr>
            <w:tcW w:w="0" w:type="auto"/>
            <w:hideMark/>
          </w:tcPr>
          <w:p w14:paraId="7D60F866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Moderate</w:t>
            </w:r>
          </w:p>
        </w:tc>
        <w:tc>
          <w:tcPr>
            <w:tcW w:w="0" w:type="auto"/>
            <w:hideMark/>
          </w:tcPr>
          <w:p w14:paraId="0C265772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Contingent on FID; Venus most advanced</w:t>
            </w:r>
          </w:p>
        </w:tc>
      </w:tr>
      <w:tr w:rsidR="00F629E4" w:rsidRPr="00F629E4" w14:paraId="1CD83A5D" w14:textId="77777777" w:rsidTr="00F629E4">
        <w:tc>
          <w:tcPr>
            <w:tcW w:w="0" w:type="auto"/>
            <w:hideMark/>
          </w:tcPr>
          <w:p w14:paraId="21FA7405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Infrastructure CAPEX</w:t>
            </w:r>
          </w:p>
        </w:tc>
        <w:tc>
          <w:tcPr>
            <w:tcW w:w="0" w:type="auto"/>
            <w:hideMark/>
          </w:tcPr>
          <w:p w14:paraId="2041A754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Low</w:t>
            </w:r>
          </w:p>
        </w:tc>
        <w:tc>
          <w:tcPr>
            <w:tcW w:w="0" w:type="auto"/>
            <w:hideMark/>
          </w:tcPr>
          <w:p w14:paraId="11BD0E3F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Author's/industry estimates; no FEED completed</w:t>
            </w:r>
          </w:p>
        </w:tc>
      </w:tr>
      <w:tr w:rsidR="00F629E4" w:rsidRPr="00F629E4" w14:paraId="5E775F9F" w14:textId="77777777" w:rsidTr="00F629E4">
        <w:tc>
          <w:tcPr>
            <w:tcW w:w="0" w:type="auto"/>
            <w:hideMark/>
          </w:tcPr>
          <w:p w14:paraId="2E43D375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Domestic demand projections</w:t>
            </w:r>
          </w:p>
        </w:tc>
        <w:tc>
          <w:tcPr>
            <w:tcW w:w="0" w:type="auto"/>
            <w:hideMark/>
          </w:tcPr>
          <w:p w14:paraId="7B1408E4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Low–Moderate</w:t>
            </w:r>
          </w:p>
        </w:tc>
        <w:tc>
          <w:tcPr>
            <w:tcW w:w="0" w:type="auto"/>
            <w:hideMark/>
          </w:tcPr>
          <w:p w14:paraId="4AA6076B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Analytical modeling; no firm offtake contracts</w:t>
            </w:r>
          </w:p>
        </w:tc>
      </w:tr>
      <w:tr w:rsidR="00F629E4" w:rsidRPr="00F629E4" w14:paraId="109AF0EA" w14:textId="77777777" w:rsidTr="00F629E4">
        <w:tc>
          <w:tcPr>
            <w:tcW w:w="0" w:type="auto"/>
            <w:hideMark/>
          </w:tcPr>
          <w:p w14:paraId="249C491B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Shell Graff/Jonker viability</w:t>
            </w:r>
          </w:p>
        </w:tc>
        <w:tc>
          <w:tcPr>
            <w:tcW w:w="0" w:type="auto"/>
            <w:hideMark/>
          </w:tcPr>
          <w:p w14:paraId="1AAD4B55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High (negative)</w:t>
            </w:r>
          </w:p>
        </w:tc>
        <w:tc>
          <w:tcPr>
            <w:tcW w:w="0" w:type="auto"/>
            <w:hideMark/>
          </w:tcPr>
          <w:p w14:paraId="052FAA0A" w14:textId="77777777" w:rsidR="00F629E4" w:rsidRPr="00F629E4" w:rsidRDefault="00F629E4" w:rsidP="00F629E4">
            <w:pPr>
              <w:spacing w:before="24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9E4">
              <w:rPr>
                <w:rFonts w:ascii="Times New Roman" w:hAnsi="Times New Roman" w:cs="Times New Roman"/>
                <w:sz w:val="24"/>
                <w:szCs w:val="24"/>
              </w:rPr>
              <w:t>Confirmed $400M impairment; commercially unviable</w:t>
            </w:r>
          </w:p>
        </w:tc>
      </w:tr>
    </w:tbl>
    <w:p w14:paraId="3C1DD47E" w14:textId="293D17C3" w:rsidR="00B83F46" w:rsidRPr="00B83F46" w:rsidRDefault="00B83F46" w:rsidP="00F629E4">
      <w:pPr>
        <w:spacing w:before="240" w:after="120"/>
        <w:jc w:val="both"/>
        <w:rPr>
          <w:rFonts w:ascii="Times New Roman" w:hAnsi="Times New Roman" w:cs="Times New Roman"/>
          <w:sz w:val="24"/>
          <w:szCs w:val="24"/>
        </w:rPr>
      </w:pPr>
    </w:p>
    <w:sectPr w:rsidR="00B83F46" w:rsidRPr="00B83F46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C3978BF"/>
    <w:multiLevelType w:val="multilevel"/>
    <w:tmpl w:val="02C2099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E525E24"/>
    <w:multiLevelType w:val="multilevel"/>
    <w:tmpl w:val="927AF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C9558FB"/>
    <w:multiLevelType w:val="multilevel"/>
    <w:tmpl w:val="A844E2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28C2956"/>
    <w:multiLevelType w:val="multilevel"/>
    <w:tmpl w:val="DFCC1B2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03216461">
    <w:abstractNumId w:val="8"/>
  </w:num>
  <w:num w:numId="2" w16cid:durableId="1128158944">
    <w:abstractNumId w:val="6"/>
  </w:num>
  <w:num w:numId="3" w16cid:durableId="97068755">
    <w:abstractNumId w:val="5"/>
  </w:num>
  <w:num w:numId="4" w16cid:durableId="1641960987">
    <w:abstractNumId w:val="4"/>
  </w:num>
  <w:num w:numId="5" w16cid:durableId="1940066188">
    <w:abstractNumId w:val="7"/>
  </w:num>
  <w:num w:numId="6" w16cid:durableId="552887076">
    <w:abstractNumId w:val="3"/>
  </w:num>
  <w:num w:numId="7" w16cid:durableId="495848017">
    <w:abstractNumId w:val="2"/>
  </w:num>
  <w:num w:numId="8" w16cid:durableId="1846086724">
    <w:abstractNumId w:val="1"/>
  </w:num>
  <w:num w:numId="9" w16cid:durableId="643433282">
    <w:abstractNumId w:val="0"/>
  </w:num>
  <w:num w:numId="10" w16cid:durableId="1751467973">
    <w:abstractNumId w:val="11"/>
  </w:num>
  <w:num w:numId="11" w16cid:durableId="1468667518">
    <w:abstractNumId w:val="10"/>
  </w:num>
  <w:num w:numId="12" w16cid:durableId="46151848">
    <w:abstractNumId w:val="9"/>
  </w:num>
  <w:num w:numId="13" w16cid:durableId="77216679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C6101"/>
    <w:rsid w:val="00AA1D8D"/>
    <w:rsid w:val="00B14635"/>
    <w:rsid w:val="00B47730"/>
    <w:rsid w:val="00B83F46"/>
    <w:rsid w:val="00CB0664"/>
    <w:rsid w:val="00D26C45"/>
    <w:rsid w:val="00F2122F"/>
    <w:rsid w:val="00F629E4"/>
    <w:rsid w:val="00FC693F"/>
    <w:rsid w:val="00FC7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012FF8D"/>
  <w14:defaultImageDpi w14:val="300"/>
  <w15:docId w15:val="{442D799C-0C96-42E2-8DFB-50AF5F662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10</Pages>
  <Words>1597</Words>
  <Characters>9104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10680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Administrator</cp:lastModifiedBy>
  <cp:revision>4</cp:revision>
  <dcterms:created xsi:type="dcterms:W3CDTF">2013-12-23T23:15:00Z</dcterms:created>
  <dcterms:modified xsi:type="dcterms:W3CDTF">2026-08-12T10:16:00Z</dcterms:modified>
  <cp:category/>
</cp:coreProperties>
</file>