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both"/>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40"/>
          <w:szCs w:val="40"/>
          <w:rtl w:val="0"/>
        </w:rPr>
        <w:t xml:space="preserve">Cameroon Upstream Investment Update: Repositioning for the Next Phase of Gas Monetisation and Commercialisation</w:t>
      </w:r>
    </w:p>
    <w:p w:rsidR="00000000" w:rsidDel="00000000" w:rsidP="00000000" w:rsidRDefault="00000000" w:rsidRPr="00000000" w14:paraId="00000002">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3">
      <w:pPr>
        <w:pStyle w:val="Heading1"/>
        <w:jc w:val="both"/>
        <w:rPr>
          <w:b w:val="1"/>
          <w:bCs w:val="1"/>
          <w:sz w:val="28"/>
          <w:szCs w:val="28"/>
        </w:rPr>
      </w:pPr>
      <w:bookmarkStart w:colFirst="0" w:colLast="0" w:name="_4xq82mma83zz" w:id="0"/>
      <w:bookmarkEnd w:id="0"/>
      <w:r w:rsidDel="00000000" w:rsidR="00000000" w:rsidRPr="00000000">
        <w:rPr>
          <w:b w:val="1"/>
          <w:bCs w:val="1"/>
          <w:sz w:val="28"/>
          <w:szCs w:val="28"/>
          <w:rtl w:val="0"/>
        </w:rPr>
        <w:t xml:space="preserve">Executive Summary</w:t>
      </w:r>
    </w:p>
    <w:p w:rsidR="00000000" w:rsidDel="00000000" w:rsidP="00000000" w:rsidRDefault="00000000" w:rsidRPr="00000000" w14:paraId="00000004">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Cameroon's upstream gas sector stands at a critical inflection point. The scheduled departure of the Hilli Episeyo floating liquefied natural gas (FLNG) vessel in July 2026, after eight years of operation has eliminated the country's only LNG export facility, creating an immediate revenue and infrastructure gap. LNG export revenues had already declined from a peak of CFA 622 billion ($1.1 billion) in 2022 to CFA 350.2 billion ($626 million) in 2025, representing an 8.1% year-over-year drop.</w:t>
      </w:r>
    </w:p>
    <w:p w:rsidR="00000000" w:rsidDel="00000000" w:rsidP="00000000" w:rsidRDefault="00000000" w:rsidRPr="00000000" w14:paraId="00000005">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economic consequences are significant, Cameroon's National Economic and Financial Committee (CNEF) projects GDP growth to slow from 3.5% in 2025 to 3.2% in 2026 and 3.1% in 2027, with the oil and gas sector contracting by 16.1% and 18%. However, the strategic picture is not entirely negative. Cameroon retains substantial proven gas reserves of approximately 6.18 trillion cubic feet (Tcf), with significant undeveloped resources in both the Rio del Rey and Douala/Kribi-Campo basins.</w:t>
      </w:r>
      <w:r w:rsidDel="00000000" w:rsidR="00000000" w:rsidRPr="00000000">
        <w:rPr>
          <w:rtl w:val="0"/>
        </w:rPr>
      </w:r>
    </w:p>
    <w:p w:rsidR="00000000" w:rsidDel="00000000" w:rsidP="00000000" w:rsidRDefault="00000000" w:rsidRPr="00000000" w14:paraId="00000006">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Government policy has responded on two tracks. First, a pragmatic near-term pivot toward domestic gas monetisation, redirecting Sanaga South and Ebomé gas that once fed the FLNG mooring toward the Bipaga Gas Processing Centre, expanding LPG output for the domestic cooking-gas market, and deepening gas-to-power and gas-to-industry supply (Kribi Thermal Power Plant, the Logbaba Association's Douala industrial gas network, and the Keda Ceramics gas-to-industry project). Second, a structural push to refill the exploration pipeline: an August 2025 licensing round covering nine blocks across the Rio del Rey and Douala/Kribi-Campo basins, a February 2026 unitisation agreement with Equatorial Guinea over Yoyo-Yolanda, and continued appraisal drilling by New Age on the Etinde permit targeting 1–2 Tcf of incremental gas.</w:t>
      </w:r>
    </w:p>
    <w:p w:rsidR="00000000" w:rsidDel="00000000" w:rsidP="00000000" w:rsidRDefault="00000000" w:rsidRPr="00000000" w14:paraId="00000007">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8">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investors, the net picture is one of near-term contraction paired with a genuinely reopened frontier. Cameroon's fiscal terms remain competitive by regional standards, SNH has increased data-room transparency, and the government has shown willingness to award new acreage quickly. Murphy West Africa, Octavia Energy and Chevron/Noble Energy have all taken up positions in the current cycle. The central investment question is one of timing: whether new gas volumes, a replacement liquefaction or export solution, and the Yoyo-Yolanda development can reach the market before the 2026–2027 production trough does lasting damage to fiscal buffers and investor sentiment.</w:t>
      </w:r>
    </w:p>
    <w:p w:rsidR="00000000" w:rsidDel="00000000" w:rsidP="00000000" w:rsidRDefault="00000000" w:rsidRPr="00000000" w14:paraId="00000009">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A">
      <w:pPr>
        <w:pStyle w:val="Heading1"/>
        <w:jc w:val="both"/>
        <w:rPr>
          <w:b w:val="1"/>
          <w:bCs w:val="1"/>
          <w:sz w:val="26"/>
          <w:szCs w:val="26"/>
        </w:rPr>
      </w:pPr>
      <w:bookmarkStart w:colFirst="0" w:colLast="0" w:name="_714dxhcjbw67" w:id="1"/>
      <w:bookmarkEnd w:id="1"/>
      <w:r w:rsidDel="00000000" w:rsidR="00000000" w:rsidRPr="00000000">
        <w:rPr>
          <w:b w:val="1"/>
          <w:bCs w:val="1"/>
          <w:sz w:val="26"/>
          <w:szCs w:val="26"/>
          <w:rtl w:val="0"/>
        </w:rPr>
        <w:t xml:space="preserve">Natural Gas Resource Base</w:t>
      </w:r>
    </w:p>
    <w:p w:rsidR="00000000" w:rsidDel="00000000" w:rsidP="00000000" w:rsidRDefault="00000000" w:rsidRPr="00000000" w14:paraId="0000000B">
      <w:pPr>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Cameroon's hydrocarbon endowment is concentrated in two proven offshore/onshore basins, with a modest, mostly unexplored onshore frontier in the far north. Gas has historically been a secondary product of oil-focused exploration, which is precisely why the resource base is now viewed as under-monetised relative to its scale.</w:t>
      </w:r>
    </w:p>
    <w:p w:rsidR="00000000" w:rsidDel="00000000" w:rsidP="00000000" w:rsidRDefault="00000000" w:rsidRPr="00000000" w14:paraId="0000000C">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jc w:val="both"/>
        <w:rPr>
          <w:rFonts w:ascii="Century Gothic" w:cs="Century Gothic" w:eastAsia="Century Gothic" w:hAnsi="Century Gothic"/>
          <w:b w:val="1"/>
          <w:bCs w:val="1"/>
          <w:color w:val="000000"/>
          <w:sz w:val="22"/>
          <w:szCs w:val="22"/>
        </w:rPr>
      </w:pPr>
      <w:bookmarkStart w:colFirst="0" w:colLast="0" w:name="_j0xavd44fxwt" w:id="2"/>
      <w:bookmarkEnd w:id="2"/>
      <w:r w:rsidDel="00000000" w:rsidR="00000000" w:rsidRPr="00000000">
        <w:rPr>
          <w:rFonts w:ascii="Century Gothic" w:cs="Century Gothic" w:eastAsia="Century Gothic" w:hAnsi="Century Gothic"/>
          <w:b w:val="1"/>
          <w:bCs w:val="1"/>
          <w:color w:val="000000"/>
          <w:sz w:val="22"/>
          <w:szCs w:val="22"/>
          <w:rtl w:val="0"/>
        </w:rPr>
        <w:t xml:space="preserve"> Key Producing Basins</w:t>
      </w:r>
    </w:p>
    <w:p w:rsidR="00000000" w:rsidDel="00000000" w:rsidP="00000000" w:rsidRDefault="00000000" w:rsidRPr="00000000" w14:paraId="0000000D">
      <w:pPr>
        <w:pStyle w:val="Heading3"/>
        <w:keepNext w:val="0"/>
        <w:keepLines w:val="0"/>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ind w:left="720" w:hanging="360"/>
        <w:jc w:val="both"/>
        <w:rPr>
          <w:rFonts w:ascii="Century Gothic" w:cs="Century Gothic" w:eastAsia="Century Gothic" w:hAnsi="Century Gothic"/>
          <w:b w:val="1"/>
          <w:bCs w:val="1"/>
          <w:color w:val="000000"/>
          <w:sz w:val="22"/>
          <w:szCs w:val="22"/>
        </w:rPr>
      </w:pPr>
      <w:bookmarkStart w:colFirst="0" w:colLast="0" w:name="_zdm6airpfnr" w:id="3"/>
      <w:bookmarkEnd w:id="3"/>
      <w:r w:rsidDel="00000000" w:rsidR="00000000" w:rsidRPr="00000000">
        <w:rPr>
          <w:rFonts w:ascii="Century Gothic" w:cs="Century Gothic" w:eastAsia="Century Gothic" w:hAnsi="Century Gothic"/>
          <w:b w:val="1"/>
          <w:bCs w:val="1"/>
          <w:color w:val="000000"/>
          <w:sz w:val="22"/>
          <w:szCs w:val="22"/>
          <w:rtl w:val="0"/>
        </w:rPr>
        <w:t xml:space="preserve">Rio del Rey (RDR) Basin</w:t>
      </w:r>
    </w:p>
    <w:p w:rsidR="00000000" w:rsidDel="00000000" w:rsidP="00000000" w:rsidRDefault="00000000" w:rsidRPr="00000000" w14:paraId="0000000E">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Rio del Rey Basin is Cameroon's most mature petroleum province, located offshore in the Gulf of Guinea near the Nigerian border. It has produced the majority of the country's oil and associated gas to date. The basin features:</w:t>
      </w:r>
    </w:p>
    <w:p w:rsidR="00000000" w:rsidDel="00000000" w:rsidP="00000000" w:rsidRDefault="00000000" w:rsidRPr="00000000" w14:paraId="0000000F">
      <w:pPr>
        <w:numPr>
          <w:ilvl w:val="0"/>
          <w:numId w:val="19"/>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Established production infrastructure and pipeline networks</w:t>
      </w:r>
    </w:p>
    <w:p w:rsidR="00000000" w:rsidDel="00000000" w:rsidP="00000000" w:rsidRDefault="00000000" w:rsidRPr="00000000" w14:paraId="00000010">
      <w:pPr>
        <w:numPr>
          <w:ilvl w:val="0"/>
          <w:numId w:val="19"/>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Multiple fields operated primarily by Perenco and SNH</w:t>
      </w:r>
    </w:p>
    <w:p w:rsidR="00000000" w:rsidDel="00000000" w:rsidP="00000000" w:rsidRDefault="00000000" w:rsidRPr="00000000" w14:paraId="00000011">
      <w:pPr>
        <w:numPr>
          <w:ilvl w:val="0"/>
          <w:numId w:val="19"/>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Significant remaining potential for enhanced oil recovery and gas monetisation</w:t>
      </w:r>
    </w:p>
    <w:p w:rsidR="00000000" w:rsidDel="00000000" w:rsidP="00000000" w:rsidRDefault="00000000" w:rsidRPr="00000000" w14:paraId="00000012">
      <w:pPr>
        <w:numPr>
          <w:ilvl w:val="0"/>
          <w:numId w:val="19"/>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Shallow-water environments suitable for conventional development</w:t>
      </w:r>
    </w:p>
    <w:p w:rsidR="00000000" w:rsidDel="00000000" w:rsidP="00000000" w:rsidRDefault="00000000" w:rsidRPr="00000000" w14:paraId="00000013">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basin contains proven traps spanning Lower Cretaceous to Upper Tertiary formations, including tilted fault blocks and turbidite channels.</w:t>
      </w:r>
    </w:p>
    <w:p w:rsidR="00000000" w:rsidDel="00000000" w:rsidP="00000000" w:rsidRDefault="00000000" w:rsidRPr="00000000" w14:paraId="00000014">
      <w:pPr>
        <w:numPr>
          <w:ilvl w:val="0"/>
          <w:numId w:val="14"/>
        </w:numPr>
        <w:spacing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Douala/Kribi-Campo (DKC) Basin</w:t>
      </w:r>
    </w:p>
    <w:p w:rsidR="00000000" w:rsidDel="00000000" w:rsidP="00000000" w:rsidRDefault="00000000" w:rsidRPr="00000000" w14:paraId="00000015">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Douala/Kribi-Campo Basin represents Cameroon's frontier and deepwater exploration frontier. Key characteristics include:</w:t>
      </w:r>
    </w:p>
    <w:p w:rsidR="00000000" w:rsidDel="00000000" w:rsidP="00000000" w:rsidRDefault="00000000" w:rsidRPr="00000000" w14:paraId="00000016">
      <w:pPr>
        <w:numPr>
          <w:ilvl w:val="0"/>
          <w:numId w:val="17"/>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Significant untapped gas potential in deepwater channels and stratigraphic traps</w:t>
      </w:r>
    </w:p>
    <w:p w:rsidR="00000000" w:rsidDel="00000000" w:rsidP="00000000" w:rsidRDefault="00000000" w:rsidRPr="00000000" w14:paraId="00000017">
      <w:pPr>
        <w:numPr>
          <w:ilvl w:val="0"/>
          <w:numId w:val="17"/>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Recent 3D seismic reimaging (2021) revealing overlooked prospects and new play concepts</w:t>
      </w:r>
    </w:p>
    <w:p w:rsidR="00000000" w:rsidDel="00000000" w:rsidP="00000000" w:rsidRDefault="00000000" w:rsidRPr="00000000" w14:paraId="00000018">
      <w:pPr>
        <w:numPr>
          <w:ilvl w:val="0"/>
          <w:numId w:val="17"/>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Proximity to the Kribi industrial zone and existing power infrastructure</w:t>
      </w:r>
    </w:p>
    <w:p w:rsidR="00000000" w:rsidDel="00000000" w:rsidP="00000000" w:rsidRDefault="00000000" w:rsidRPr="00000000" w14:paraId="00000019">
      <w:pPr>
        <w:numPr>
          <w:ilvl w:val="0"/>
          <w:numId w:val="17"/>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Water depths ranging from shallow shelf to deepwater (&gt;1,000m)</w:t>
      </w:r>
    </w:p>
    <w:p w:rsidR="00000000" w:rsidDel="00000000" w:rsidP="00000000" w:rsidRDefault="00000000" w:rsidRPr="00000000" w14:paraId="0000001A">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Recent petrophysical and geophysical analysis in the DKC basin has highlighted significant untapped potential through deepwater fan systems and channel complexes.</w:t>
      </w:r>
    </w:p>
    <w:p w:rsidR="00000000" w:rsidDel="00000000" w:rsidP="00000000" w:rsidRDefault="00000000" w:rsidRPr="00000000" w14:paraId="0000001B">
      <w:pPr>
        <w:spacing w:line="276" w:lineRule="auto"/>
        <w:jc w:val="both"/>
        <w:rPr>
          <w:rFonts w:ascii="Century Gothic" w:cs="Century Gothic" w:eastAsia="Century Gothic" w:hAnsi="Century Gothic"/>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Basin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Area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Status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Key fields/Assest</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Lead Operators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Rio del Rey (RDR)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~7,000 km², offshore/shallow water, eastern extension of the Niger Delta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Mature, producing since 1977; ~90% of national oil output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South Kole Marine, Thali PSC (Tower Resources), Bakassi acreage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Perenco, SNH, Tower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Douala/Kribi-Campo (DKC)</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~19,000 km², incl. ~7,000 km² onshore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Producing since 1997; deepwater largely underexplored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Sanaga South, Ebomé, Logbaba, Etinde, Yoyo-Yolanda (cross-border)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Perenco, SNH, New Age, Chevron/Noble Energy, Gaz du Cameroun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Logone-Birni (Far North)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~27,000 km², onshore, largest sedimentary basin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Frontier / minimally explored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material discoveries to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SNH-led exploration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Garoua Basin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~7,800 km², onshore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Frontier / least explored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material discoveries to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SNH-led exploration</w:t>
            </w:r>
          </w:p>
        </w:tc>
      </w:tr>
    </w:tbl>
    <w:p w:rsidR="00000000" w:rsidDel="00000000" w:rsidP="00000000" w:rsidRDefault="00000000" w:rsidRPr="00000000" w14:paraId="00000035">
      <w:pPr>
        <w:spacing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jc w:val="both"/>
        <w:rPr>
          <w:rFonts w:ascii="Century Gothic" w:cs="Century Gothic" w:eastAsia="Century Gothic" w:hAnsi="Century Gothic"/>
          <w:b w:val="1"/>
          <w:bCs w:val="1"/>
          <w:color w:val="000000"/>
          <w:sz w:val="22"/>
          <w:szCs w:val="22"/>
        </w:rPr>
      </w:pPr>
      <w:bookmarkStart w:colFirst="0" w:colLast="0" w:name="_wh6k8mrg9y1r" w:id="4"/>
      <w:bookmarkEnd w:id="4"/>
      <w:r w:rsidDel="00000000" w:rsidR="00000000" w:rsidRPr="00000000">
        <w:rPr>
          <w:rFonts w:ascii="Century Gothic" w:cs="Century Gothic" w:eastAsia="Century Gothic" w:hAnsi="Century Gothic"/>
          <w:b w:val="1"/>
          <w:bCs w:val="1"/>
          <w:color w:val="000000"/>
          <w:sz w:val="22"/>
          <w:szCs w:val="22"/>
          <w:rtl w:val="0"/>
        </w:rPr>
        <w:t xml:space="preserve">Recent Discoveries and Undeveloped Resources</w:t>
      </w:r>
    </w:p>
    <w:p w:rsidR="00000000" w:rsidDel="00000000" w:rsidP="00000000" w:rsidRDefault="00000000" w:rsidRPr="00000000" w14:paraId="00000037">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Several key discoveries and undeveloped resources shape Cameroon's gas future:</w:t>
      </w:r>
    </w:p>
    <w:p w:rsidR="00000000" w:rsidDel="00000000" w:rsidP="00000000" w:rsidRDefault="00000000" w:rsidRPr="00000000" w14:paraId="00000038">
      <w:pPr>
        <w:numPr>
          <w:ilvl w:val="0"/>
          <w:numId w:val="10"/>
        </w:numPr>
        <w:shd w:fill="ffffff" w:val="clear"/>
        <w:spacing w:after="24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Etinde Field</w:t>
      </w:r>
    </w:p>
    <w:p w:rsidR="00000000" w:rsidDel="00000000" w:rsidP="00000000" w:rsidRDefault="00000000" w:rsidRPr="00000000" w14:paraId="00000039">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Located in shallow water in the Rio del Rey Basin, Etinde was discovered in 1967 and comprises four proven reservoir intervals within Pliocene and Miocene formations. The principal discoveries lie within the Miocene Isongo formation, with tested wet gas and oil in several wells. The field is operated by New Age (now transitioning to Perenco) with development costs estimated at $1.451 billion and first production originally envisaged for 2026.</w:t>
      </w:r>
    </w:p>
    <w:p w:rsidR="00000000" w:rsidDel="00000000" w:rsidP="00000000" w:rsidRDefault="00000000" w:rsidRPr="00000000" w14:paraId="0000003A">
      <w:pPr>
        <w:numPr>
          <w:ilvl w:val="0"/>
          <w:numId w:val="15"/>
        </w:numPr>
        <w:shd w:fill="ffffff" w:val="clear"/>
        <w:spacing w:after="24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Yoyo-Yolanda Cross-Border Field</w:t>
      </w:r>
    </w:p>
    <w:p w:rsidR="00000000" w:rsidDel="00000000" w:rsidP="00000000" w:rsidRDefault="00000000" w:rsidRPr="00000000" w14:paraId="0000003B">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contiguous gas-condensate reservoir straddling the Cameroon-Equatorial Guinea maritime boundary contains an estimated 2.5 Tcf of natural gas reserves significant enough to underpin LNG exports or feed regional gas infrastructure. Discovered in 2007 by Noble Energy (now Chevron), the field lies in deep water at approximately 896 meters, roughly 50 kilometers east of Bioko Island.</w:t>
      </w:r>
    </w:p>
    <w:p w:rsidR="00000000" w:rsidDel="00000000" w:rsidP="00000000" w:rsidRDefault="00000000" w:rsidRPr="00000000" w14:paraId="0000003C">
      <w:pPr>
        <w:numPr>
          <w:ilvl w:val="0"/>
          <w:numId w:val="9"/>
        </w:numPr>
        <w:shd w:fill="ffffff" w:val="clear"/>
        <w:spacing w:after="24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Sanaga South and Ebomé Fields</w:t>
      </w:r>
    </w:p>
    <w:p w:rsidR="00000000" w:rsidDel="00000000" w:rsidP="00000000" w:rsidRDefault="00000000" w:rsidRPr="00000000" w14:paraId="0000003D">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mature shallow offshore fields have historically supplied feedstock to the Hilli Episeyo FLNG facility and continue to produce gas for domestic power generation via pipeline to the Kribi Power Development Company (KPDC).</w:t>
      </w:r>
    </w:p>
    <w:p w:rsidR="00000000" w:rsidDel="00000000" w:rsidP="00000000" w:rsidRDefault="00000000" w:rsidRPr="00000000" w14:paraId="0000003E">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943600" cy="2819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hd w:fill="ffffff" w:val="clear"/>
        <w:spacing w:after="240" w:line="276"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1 Cameroon Key Natural Gas Resource Estimates by Project</w:t>
      </w:r>
    </w:p>
    <w:p w:rsidR="00000000" w:rsidDel="00000000" w:rsidP="00000000" w:rsidRDefault="00000000" w:rsidRPr="00000000" w14:paraId="00000040">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lineRule="auto"/>
        <w:jc w:val="both"/>
        <w:rPr>
          <w:b w:val="1"/>
          <w:bCs w:val="1"/>
          <w:sz w:val="26"/>
          <w:szCs w:val="26"/>
        </w:rPr>
      </w:pPr>
      <w:bookmarkStart w:colFirst="0" w:colLast="0" w:name="_39p32xf5aqpa" w:id="5"/>
      <w:bookmarkEnd w:id="5"/>
      <w:r w:rsidDel="00000000" w:rsidR="00000000" w:rsidRPr="00000000">
        <w:rPr>
          <w:b w:val="1"/>
          <w:bCs w:val="1"/>
          <w:sz w:val="26"/>
          <w:szCs w:val="26"/>
          <w:rtl w:val="0"/>
        </w:rPr>
        <w:t xml:space="preserve">Upstream Investment Landscape</w:t>
      </w:r>
    </w:p>
    <w:p w:rsidR="00000000" w:rsidDel="00000000" w:rsidP="00000000" w:rsidRDefault="00000000" w:rsidRPr="00000000" w14:paraId="00000041">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jc w:val="both"/>
        <w:rPr>
          <w:rFonts w:ascii="Century Gothic" w:cs="Century Gothic" w:eastAsia="Century Gothic" w:hAnsi="Century Gothic"/>
          <w:b w:val="1"/>
          <w:bCs w:val="1"/>
          <w:color w:val="000000"/>
          <w:sz w:val="22"/>
          <w:szCs w:val="22"/>
        </w:rPr>
      </w:pPr>
      <w:bookmarkStart w:colFirst="0" w:colLast="0" w:name="_azx6iggrts9x" w:id="6"/>
      <w:bookmarkEnd w:id="6"/>
      <w:r w:rsidDel="00000000" w:rsidR="00000000" w:rsidRPr="00000000">
        <w:rPr>
          <w:rFonts w:ascii="Century Gothic" w:cs="Century Gothic" w:eastAsia="Century Gothic" w:hAnsi="Century Gothic"/>
          <w:b w:val="1"/>
          <w:bCs w:val="1"/>
          <w:color w:val="000000"/>
          <w:sz w:val="22"/>
          <w:szCs w:val="22"/>
          <w:rtl w:val="0"/>
        </w:rPr>
        <w:t xml:space="preserve">Current Licensing Environment</w:t>
      </w:r>
    </w:p>
    <w:p w:rsidR="00000000" w:rsidDel="00000000" w:rsidP="00000000" w:rsidRDefault="00000000" w:rsidRPr="00000000" w14:paraId="00000042">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Cameroon launched its 2025 Licensing Round on August 1, 2025, offering nine blocks across the Rio del Rey and Douala/Kribi-Campo basins, covering approximately 20,000 km² of prospective acreage. The round was structured under Cameroon's modernised 2019 Petroleum Code (Law No. 2019/008 of 25 April 2019) and Decree No. 2023/232 of May 4, 2023.</w:t>
      </w:r>
    </w:p>
    <w:p w:rsidR="00000000" w:rsidDel="00000000" w:rsidP="00000000" w:rsidRDefault="00000000" w:rsidRPr="00000000" w14:paraId="00000043">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of April 2026, five blocks have been awarded for Production Sharing Contract (PSC) negotiations: Bolongo to Octavia Energy, and Etinde Exploration, Tilapia, Ntem, and Elombo to Murphy West Africa. The remaining four blocks (Ndian River, Bakassi, Bomono, and Nkombe-Nsepe) remain available.</w:t>
      </w:r>
      <w:r w:rsidDel="00000000" w:rsidR="00000000" w:rsidRPr="00000000">
        <w:rPr>
          <w:rFonts w:ascii="Century Gothic" w:cs="Century Gothic" w:eastAsia="Century Gothic" w:hAnsi="Century Gothic"/>
          <w:rtl w:val="0"/>
        </w:rPr>
        <w:t xml:space="preserve"> </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Block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Basin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Contract term</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Note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Ndian River</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Rio del Rey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yrs, renewable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Shallow water, near existing infrastructure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highlight w:val="white"/>
                <w:rtl w:val="0"/>
              </w:rPr>
              <w:t xml:space="preserve">Bolongo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Rio del Rey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yrs, renewable twice (+2 yrs each)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Awarded to Octavia Energy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Bakassi</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Rio del Rey</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yrs, renewable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Shallow water, lower entry barrier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Etinde Exploration</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Douala/Kribi-Campo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yrs, renewable twice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Adjacent to New Age's producing Etinde permit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Bomono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Douala/Kribi-Campo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yrs, renewable twice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Frontier acreage; favourable structural indicators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Nkombe-Nsepe</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Douala/Kribi-Campo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yrs, renewable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Near-infrastructure prospect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Tilapia</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Douala/Kribi-Campo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yrs, renewable twice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Deeper-water gas potential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highlight w:val="white"/>
                <w:rtl w:val="0"/>
              </w:rPr>
              <w:t xml:space="preserve">Ntem</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Douala/Kribi-Campo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yrs, renewable twice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Deepwater; significant gas potential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Elombo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Douala/Kribi-Campo</w:t>
            </w:r>
            <w:r w:rsidDel="00000000" w:rsidR="00000000" w:rsidRPr="00000000">
              <w:rPr>
                <w:rFonts w:ascii="Century Gothic" w:cs="Century Gothic" w:eastAsia="Century Gothic" w:hAnsi="Century Gothic"/>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yrs, renewable twice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Deepwater; significant gas potential</w:t>
            </w:r>
          </w:p>
        </w:tc>
      </w:tr>
    </w:tbl>
    <w:p w:rsidR="00000000" w:rsidDel="00000000" w:rsidP="00000000" w:rsidRDefault="00000000" w:rsidRPr="00000000" w14:paraId="0000006C">
      <w:pPr>
        <w:shd w:fill="ffffff" w:val="clear"/>
        <w:spacing w:after="240"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D">
      <w:pPr>
        <w:shd w:fill="ffffff" w:val="clear"/>
        <w:spacing w:after="240" w:line="276"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Key Fiscal Incentives</w:t>
      </w:r>
    </w:p>
    <w:p w:rsidR="00000000" w:rsidDel="00000000" w:rsidP="00000000" w:rsidRDefault="00000000" w:rsidRPr="00000000" w14:paraId="0000006E">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2019 Petroleum Code introduced several fiscal and non-fiscal incentives aimed at encouraging foreign direct investment, they include:</w:t>
      </w:r>
      <w:r w:rsidDel="00000000" w:rsidR="00000000" w:rsidRPr="00000000">
        <w:rPr>
          <w:rtl w:val="0"/>
        </w:rPr>
      </w:r>
    </w:p>
    <w:p w:rsidR="00000000" w:rsidDel="00000000" w:rsidP="00000000" w:rsidRDefault="00000000" w:rsidRPr="00000000" w14:paraId="0000006F">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Exemption from all taxes or duties except corporate taxes on profits and dividends paid to shareholders</w:t>
      </w:r>
    </w:p>
    <w:p w:rsidR="00000000" w:rsidDel="00000000" w:rsidP="00000000" w:rsidRDefault="00000000" w:rsidRPr="00000000" w14:paraId="00000070">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Exemption from direct taxes on oil operations benefiting the state and local authorities</w:t>
      </w:r>
    </w:p>
    <w:p w:rsidR="00000000" w:rsidDel="00000000" w:rsidP="00000000" w:rsidRDefault="00000000" w:rsidRPr="00000000" w14:paraId="00000071">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Exemption from VAT (19.25%) on goods and services directly related to petroleum operations</w:t>
      </w:r>
    </w:p>
    <w:p w:rsidR="00000000" w:rsidDel="00000000" w:rsidP="00000000" w:rsidRDefault="00000000" w:rsidRPr="00000000" w14:paraId="00000072">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Preferential customs regime of 5% for equipment and materials during the first five years of production</w:t>
      </w:r>
    </w:p>
    <w:p w:rsidR="00000000" w:rsidDel="00000000" w:rsidP="00000000" w:rsidRDefault="00000000" w:rsidRPr="00000000" w14:paraId="00000073">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Full exemption for exploration and research phase equipment deemed to be re-exported</w:t>
      </w:r>
    </w:p>
    <w:p w:rsidR="00000000" w:rsidDel="00000000" w:rsidP="00000000" w:rsidRDefault="00000000" w:rsidRPr="00000000" w14:paraId="00000074">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Freedom to export hydrocarbon proceeds without export duties</w:t>
      </w:r>
    </w:p>
    <w:p w:rsidR="00000000" w:rsidDel="00000000" w:rsidP="00000000" w:rsidRDefault="00000000" w:rsidRPr="00000000" w14:paraId="00000075">
      <w:pPr>
        <w:numPr>
          <w:ilvl w:val="0"/>
          <w:numId w:val="12"/>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Expatriation of profits permitted without exit duties</w:t>
      </w:r>
    </w:p>
    <w:p w:rsidR="00000000" w:rsidDel="00000000" w:rsidP="00000000" w:rsidRDefault="00000000" w:rsidRPr="00000000" w14:paraId="00000076">
      <w:pPr>
        <w:pBdr>
          <w:top w:color="auto" w:space="0" w:sz="0" w:val="none"/>
          <w:bottom w:color="auto" w:space="0" w:sz="0" w:val="none"/>
          <w:right w:color="auto" w:space="0" w:sz="0" w:val="none"/>
          <w:between w:color="auto" w:space="0" w:sz="0" w:val="none"/>
        </w:pBdr>
        <w:shd w:fill="ffffff" w:val="clear"/>
        <w:spacing w:after="240" w:line="276"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Recent Exploration and Development Activity</w:t>
      </w:r>
    </w:p>
    <w:p w:rsidR="00000000" w:rsidDel="00000000" w:rsidP="00000000" w:rsidRDefault="00000000" w:rsidRPr="00000000" w14:paraId="00000077">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August 2025</w:t>
      </w:r>
      <w:r w:rsidDel="00000000" w:rsidR="00000000" w:rsidRPr="00000000">
        <w:rPr>
          <w:rFonts w:ascii="Century Gothic" w:cs="Century Gothic" w:eastAsia="Century Gothic" w:hAnsi="Century Gothic"/>
          <w:rtl w:val="0"/>
        </w:rPr>
        <w:t xml:space="preserve"> — SNH launches the nine-block licensing round; data rooms open in Yaoundé and London.</w:t>
      </w:r>
    </w:p>
    <w:p w:rsidR="00000000" w:rsidDel="00000000" w:rsidP="00000000" w:rsidRDefault="00000000" w:rsidRPr="00000000" w14:paraId="00000078">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July 2025</w:t>
      </w:r>
      <w:r w:rsidDel="00000000" w:rsidR="00000000" w:rsidRPr="00000000">
        <w:rPr>
          <w:rFonts w:ascii="Century Gothic" w:cs="Century Gothic" w:eastAsia="Century Gothic" w:hAnsi="Century Gothic"/>
          <w:rtl w:val="0"/>
        </w:rPr>
        <w:t xml:space="preserve"> — Foundation stone laid for the CSTAR refinery and tank-farm project in Kribi.</w:t>
      </w:r>
    </w:p>
    <w:p w:rsidR="00000000" w:rsidDel="00000000" w:rsidP="00000000" w:rsidRDefault="00000000" w:rsidRPr="00000000" w14:paraId="00000079">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2024 </w:t>
      </w:r>
      <w:r w:rsidDel="00000000" w:rsidR="00000000" w:rsidRPr="00000000">
        <w:rPr>
          <w:rFonts w:ascii="Century Gothic" w:cs="Century Gothic" w:eastAsia="Century Gothic" w:hAnsi="Century Gothic"/>
          <w:rtl w:val="0"/>
        </w:rPr>
        <w:t xml:space="preserve">— Bipaga Gas Processing Centre commissioned; first gas-to-industry supply contract (Perenco–SNH–Keda Ceramics) launched, Central Africa's first such project for the Perenco Group.</w:t>
      </w:r>
    </w:p>
    <w:p w:rsidR="00000000" w:rsidDel="00000000" w:rsidP="00000000" w:rsidRDefault="00000000" w:rsidRPr="00000000" w14:paraId="0000007A">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January 2026</w:t>
      </w:r>
      <w:r w:rsidDel="00000000" w:rsidR="00000000" w:rsidRPr="00000000">
        <w:rPr>
          <w:rFonts w:ascii="Century Gothic" w:cs="Century Gothic" w:eastAsia="Century Gothic" w:hAnsi="Century Gothic"/>
          <w:rtl w:val="0"/>
        </w:rPr>
        <w:t xml:space="preserve"> — SNH–Perenco–Adax Joint Commission meets in Paris to discuss prospective exploration, targeted investment and governance in the Rio del Rey basin.</w:t>
      </w:r>
    </w:p>
    <w:p w:rsidR="00000000" w:rsidDel="00000000" w:rsidP="00000000" w:rsidRDefault="00000000" w:rsidRPr="00000000" w14:paraId="0000007B">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February 2026</w:t>
      </w:r>
      <w:r w:rsidDel="00000000" w:rsidR="00000000" w:rsidRPr="00000000">
        <w:rPr>
          <w:rFonts w:ascii="Century Gothic" w:cs="Century Gothic" w:eastAsia="Century Gothic" w:hAnsi="Century Gothic"/>
          <w:rtl w:val="0"/>
        </w:rPr>
        <w:t xml:space="preserve"> — Cameroon and Equatorial Guinea sign the Yoyo-Yolanda unitisation agreement in Malabo.</w:t>
      </w:r>
    </w:p>
    <w:p w:rsidR="00000000" w:rsidDel="00000000" w:rsidP="00000000" w:rsidRDefault="00000000" w:rsidRPr="00000000" w14:paraId="0000007C">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February–April 2026</w:t>
      </w:r>
      <w:r w:rsidDel="00000000" w:rsidR="00000000" w:rsidRPr="00000000">
        <w:rPr>
          <w:rFonts w:ascii="Century Gothic" w:cs="Century Gothic" w:eastAsia="Century Gothic" w:hAnsi="Century Gothic"/>
          <w:rtl w:val="0"/>
        </w:rPr>
        <w:t xml:space="preserve"> — Licensing round data evaluation and proposal window; Murphy West Africa and Octavia Energy awards confirmed.</w:t>
      </w:r>
    </w:p>
    <w:p w:rsidR="00000000" w:rsidDel="00000000" w:rsidP="00000000" w:rsidRDefault="00000000" w:rsidRPr="00000000" w14:paraId="0000007D">
      <w:pPr>
        <w:numPr>
          <w:ilvl w:val="0"/>
          <w:numId w:val="12"/>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May 2026</w:t>
      </w:r>
      <w:r w:rsidDel="00000000" w:rsidR="00000000" w:rsidRPr="00000000">
        <w:rPr>
          <w:rFonts w:ascii="Century Gothic" w:cs="Century Gothic" w:eastAsia="Century Gothic" w:hAnsi="Century Gothic"/>
          <w:rtl w:val="0"/>
        </w:rPr>
        <w:t xml:space="preserve"> — Golar LNG confirms Hilli Episeyo technical/financial exit preparations from Cameroon FLNG are underway, targeting July 2026 disconnection.</w:t>
      </w:r>
    </w:p>
    <w:p w:rsidR="00000000" w:rsidDel="00000000" w:rsidP="00000000" w:rsidRDefault="00000000" w:rsidRPr="00000000" w14:paraId="0000007E">
      <w:pPr>
        <w:numPr>
          <w:ilvl w:val="0"/>
          <w:numId w:val="12"/>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sz w:val="22"/>
          <w:szCs w:val="22"/>
        </w:rPr>
      </w:pPr>
      <w:r w:rsidDel="00000000" w:rsidR="00000000" w:rsidRPr="00000000">
        <w:rPr>
          <w:rFonts w:ascii="Century Gothic" w:cs="Century Gothic" w:eastAsia="Century Gothic" w:hAnsi="Century Gothic"/>
          <w:b w:val="1"/>
          <w:bCs w:val="1"/>
          <w:rtl w:val="0"/>
        </w:rPr>
        <w:t xml:space="preserve">Ongoing</w:t>
      </w:r>
      <w:r w:rsidDel="00000000" w:rsidR="00000000" w:rsidRPr="00000000">
        <w:rPr>
          <w:rFonts w:ascii="Century Gothic" w:cs="Century Gothic" w:eastAsia="Century Gothic" w:hAnsi="Century Gothic"/>
          <w:rtl w:val="0"/>
        </w:rPr>
        <w:t xml:space="preserve"> — SNH unveils the "Gas-to-Data" (G2D) initiative, exploring the use of domestic natural gas and geothermal resources to power AI-ready digital infrastructure and data centres.</w:t>
      </w:r>
    </w:p>
    <w:p w:rsidR="00000000" w:rsidDel="00000000" w:rsidP="00000000" w:rsidRDefault="00000000" w:rsidRPr="00000000" w14:paraId="0000007F">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lineRule="auto"/>
        <w:jc w:val="both"/>
        <w:rPr>
          <w:b w:val="1"/>
          <w:bCs w:val="1"/>
          <w:sz w:val="26"/>
          <w:szCs w:val="26"/>
        </w:rPr>
      </w:pPr>
      <w:bookmarkStart w:colFirst="0" w:colLast="0" w:name="_s1mk29m43nqo" w:id="7"/>
      <w:bookmarkEnd w:id="7"/>
      <w:r w:rsidDel="00000000" w:rsidR="00000000" w:rsidRPr="00000000">
        <w:rPr>
          <w:b w:val="1"/>
          <w:bCs w:val="1"/>
          <w:sz w:val="26"/>
          <w:szCs w:val="26"/>
          <w:rtl w:val="0"/>
        </w:rPr>
        <w:t xml:space="preserve">Upstream Operators</w:t>
      </w:r>
    </w:p>
    <w:p w:rsidR="00000000" w:rsidDel="00000000" w:rsidP="00000000" w:rsidRDefault="00000000" w:rsidRPr="00000000" w14:paraId="00000080">
      <w:pPr>
        <w:pStyle w:val="Heading3"/>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ind w:left="720" w:hanging="360"/>
        <w:jc w:val="both"/>
        <w:rPr>
          <w:rFonts w:ascii="Century Gothic" w:cs="Century Gothic" w:eastAsia="Century Gothic" w:hAnsi="Century Gothic"/>
          <w:b w:val="1"/>
          <w:bCs w:val="1"/>
          <w:color w:val="000000"/>
          <w:sz w:val="22"/>
          <w:szCs w:val="22"/>
        </w:rPr>
      </w:pPr>
      <w:bookmarkStart w:colFirst="0" w:colLast="0" w:name="_wwwjf79kja0q" w:id="8"/>
      <w:bookmarkEnd w:id="8"/>
      <w:r w:rsidDel="00000000" w:rsidR="00000000" w:rsidRPr="00000000">
        <w:rPr>
          <w:rFonts w:ascii="Century Gothic" w:cs="Century Gothic" w:eastAsia="Century Gothic" w:hAnsi="Century Gothic"/>
          <w:b w:val="1"/>
          <w:bCs w:val="1"/>
          <w:color w:val="000000"/>
          <w:sz w:val="22"/>
          <w:szCs w:val="22"/>
          <w:rtl w:val="0"/>
        </w:rPr>
        <w:t xml:space="preserve">Société Nationale des Hydrocarbures (SNH)</w:t>
      </w:r>
    </w:p>
    <w:p w:rsidR="00000000" w:rsidDel="00000000" w:rsidP="00000000" w:rsidRDefault="00000000" w:rsidRPr="00000000" w14:paraId="00000081">
      <w:pPr>
        <w:pBdr>
          <w:top w:color="auto" w:space="0" w:sz="0" w:val="none"/>
          <w:bottom w:color="auto" w:space="0" w:sz="0" w:val="none"/>
          <w:right w:color="auto" w:space="0" w:sz="0" w:val="none"/>
          <w:between w:color="auto" w:space="0" w:sz="0" w:val="none"/>
        </w:pBd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SNH is Cameroon's national oil company and the primary vehicle for state participation in hydrocarbon developments. SNH:</w:t>
      </w:r>
    </w:p>
    <w:p w:rsidR="00000000" w:rsidDel="00000000" w:rsidP="00000000" w:rsidRDefault="00000000" w:rsidRPr="00000000" w14:paraId="00000082">
      <w:pPr>
        <w:numPr>
          <w:ilvl w:val="0"/>
          <w:numId w:val="18"/>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Holds state equity in all petroleum contracts (typically carried interest)</w:t>
      </w:r>
    </w:p>
    <w:p w:rsidR="00000000" w:rsidDel="00000000" w:rsidP="00000000" w:rsidRDefault="00000000" w:rsidRPr="00000000" w14:paraId="00000083">
      <w:pPr>
        <w:numPr>
          <w:ilvl w:val="0"/>
          <w:numId w:val="18"/>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Operates pipeline infrastructure including the Sanaga South-Kribi gas line</w:t>
      </w:r>
    </w:p>
    <w:p w:rsidR="00000000" w:rsidDel="00000000" w:rsidP="00000000" w:rsidRDefault="00000000" w:rsidRPr="00000000" w14:paraId="00000084">
      <w:pPr>
        <w:numPr>
          <w:ilvl w:val="0"/>
          <w:numId w:val="18"/>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Manages the licensing round process and data rooms</w:t>
      </w:r>
    </w:p>
    <w:p w:rsidR="00000000" w:rsidDel="00000000" w:rsidP="00000000" w:rsidRDefault="00000000" w:rsidRPr="00000000" w14:paraId="00000085">
      <w:pPr>
        <w:numPr>
          <w:ilvl w:val="0"/>
          <w:numId w:val="18"/>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Partners with international operators through joint ventures</w:t>
      </w:r>
    </w:p>
    <w:p w:rsidR="00000000" w:rsidDel="00000000" w:rsidP="00000000" w:rsidRDefault="00000000" w:rsidRPr="00000000" w14:paraId="00000086">
      <w:pPr>
        <w:pBdr>
          <w:top w:color="auto" w:space="0" w:sz="0" w:val="none"/>
          <w:bottom w:color="auto" w:space="0" w:sz="0" w:val="none"/>
          <w:right w:color="auto" w:space="0" w:sz="0" w:val="none"/>
          <w:between w:color="auto" w:space="0" w:sz="0" w:val="none"/>
        </w:pBd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SNH holds a 25% stake in the Cameroon side of the Yoyo-Yolanda field and is the government's commercial representative in all PSC negotiations.</w:t>
      </w:r>
    </w:p>
    <w:p w:rsidR="00000000" w:rsidDel="00000000" w:rsidP="00000000" w:rsidRDefault="00000000" w:rsidRPr="00000000" w14:paraId="00000087">
      <w:pPr>
        <w:pStyle w:val="Heading3"/>
        <w:keepNext w:val="0"/>
        <w:keepLines w:val="0"/>
        <w:numPr>
          <w:ilvl w:val="0"/>
          <w:numId w:val="6"/>
        </w:numPr>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ind w:left="720" w:hanging="360"/>
        <w:jc w:val="both"/>
        <w:rPr>
          <w:rFonts w:ascii="Century Gothic" w:cs="Century Gothic" w:eastAsia="Century Gothic" w:hAnsi="Century Gothic"/>
          <w:b w:val="1"/>
          <w:bCs w:val="1"/>
          <w:color w:val="000000"/>
          <w:sz w:val="22"/>
          <w:szCs w:val="22"/>
        </w:rPr>
      </w:pPr>
      <w:bookmarkStart w:colFirst="0" w:colLast="0" w:name="_ci42t8weg70q" w:id="9"/>
      <w:bookmarkEnd w:id="9"/>
      <w:r w:rsidDel="00000000" w:rsidR="00000000" w:rsidRPr="00000000">
        <w:rPr>
          <w:rFonts w:ascii="Century Gothic" w:cs="Century Gothic" w:eastAsia="Century Gothic" w:hAnsi="Century Gothic"/>
          <w:b w:val="1"/>
          <w:bCs w:val="1"/>
          <w:color w:val="000000"/>
          <w:sz w:val="22"/>
          <w:szCs w:val="22"/>
          <w:rtl w:val="0"/>
        </w:rPr>
        <w:t xml:space="preserve">Perenco</w:t>
      </w:r>
    </w:p>
    <w:p w:rsidR="00000000" w:rsidDel="00000000" w:rsidP="00000000" w:rsidRDefault="00000000" w:rsidRPr="00000000" w14:paraId="00000088">
      <w:pPr>
        <w:pBdr>
          <w:top w:color="auto" w:space="0" w:sz="0" w:val="none"/>
          <w:bottom w:color="auto" w:space="0" w:sz="0" w:val="none"/>
          <w:right w:color="auto" w:space="0" w:sz="0" w:val="none"/>
          <w:between w:color="auto" w:space="0" w:sz="0" w:val="none"/>
        </w:pBd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Perenco is Cameroon's largest independent oil and gas producer and the most active upstream operator. The Anglo-French company:</w:t>
      </w:r>
    </w:p>
    <w:p w:rsidR="00000000" w:rsidDel="00000000" w:rsidP="00000000" w:rsidRDefault="00000000" w:rsidRPr="00000000" w14:paraId="00000089">
      <w:pPr>
        <w:numPr>
          <w:ilvl w:val="0"/>
          <w:numId w:val="11"/>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Produces approximately 85,000 barrels of oil equivalent per day (51,000 bpd oil and 24 million m³ gas/day)</w:t>
      </w:r>
    </w:p>
    <w:p w:rsidR="00000000" w:rsidDel="00000000" w:rsidP="00000000" w:rsidRDefault="00000000" w:rsidRPr="00000000" w14:paraId="0000008A">
      <w:pPr>
        <w:numPr>
          <w:ilvl w:val="0"/>
          <w:numId w:val="11"/>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Operates the Sanaga South field in joint venture with SNH</w:t>
      </w:r>
    </w:p>
    <w:p w:rsidR="00000000" w:rsidDel="00000000" w:rsidP="00000000" w:rsidRDefault="00000000" w:rsidRPr="00000000" w14:paraId="0000008B">
      <w:pPr>
        <w:numPr>
          <w:ilvl w:val="0"/>
          <w:numId w:val="11"/>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Commissioned the Bipaga Gas Processing Centre in 2024 for gas-to-industry supply</w:t>
      </w:r>
    </w:p>
    <w:p w:rsidR="00000000" w:rsidDel="00000000" w:rsidP="00000000" w:rsidRDefault="00000000" w:rsidRPr="00000000" w14:paraId="0000008C">
      <w:pPr>
        <w:numPr>
          <w:ilvl w:val="0"/>
          <w:numId w:val="11"/>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Signed a 20-year PSA for Rio del Rey in 2023</w:t>
      </w:r>
    </w:p>
    <w:p w:rsidR="00000000" w:rsidDel="00000000" w:rsidP="00000000" w:rsidRDefault="00000000" w:rsidRPr="00000000" w14:paraId="0000008D">
      <w:pPr>
        <w:numPr>
          <w:ilvl w:val="0"/>
          <w:numId w:val="11"/>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Acquired New Age's stake in the Etinde development project in 2022</w:t>
      </w:r>
    </w:p>
    <w:p w:rsidR="00000000" w:rsidDel="00000000" w:rsidP="00000000" w:rsidRDefault="00000000" w:rsidRPr="00000000" w14:paraId="0000008E">
      <w:pPr>
        <w:numPr>
          <w:ilvl w:val="0"/>
          <w:numId w:val="11"/>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rtl w:val="0"/>
        </w:rPr>
        <w:t xml:space="preserve">Held a 9.9% stake in Golar LNG, partner in the Hilli Episeyo FLNG project</w:t>
      </w:r>
    </w:p>
    <w:p w:rsidR="00000000" w:rsidDel="00000000" w:rsidP="00000000" w:rsidRDefault="00000000" w:rsidRPr="00000000" w14:paraId="0000008F">
      <w:pPr>
        <w:pStyle w:val="Heading3"/>
        <w:keepNext w:val="0"/>
        <w:keepLines w:val="0"/>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after="0" w:before="360" w:line="276" w:lineRule="auto"/>
        <w:ind w:left="720" w:hanging="360"/>
        <w:jc w:val="both"/>
        <w:rPr>
          <w:rFonts w:ascii="Century Gothic" w:cs="Century Gothic" w:eastAsia="Century Gothic" w:hAnsi="Century Gothic"/>
          <w:b w:val="1"/>
          <w:bCs w:val="1"/>
          <w:color w:val="000000"/>
          <w:sz w:val="22"/>
          <w:szCs w:val="22"/>
        </w:rPr>
      </w:pPr>
      <w:bookmarkStart w:colFirst="0" w:colLast="0" w:name="_wnf6ohjhzwzk" w:id="10"/>
      <w:bookmarkEnd w:id="10"/>
      <w:r w:rsidDel="00000000" w:rsidR="00000000" w:rsidRPr="00000000">
        <w:rPr>
          <w:rFonts w:ascii="Century Gothic" w:cs="Century Gothic" w:eastAsia="Century Gothic" w:hAnsi="Century Gothic"/>
          <w:b w:val="1"/>
          <w:bCs w:val="1"/>
          <w:color w:val="000000"/>
          <w:sz w:val="22"/>
          <w:szCs w:val="22"/>
          <w:rtl w:val="0"/>
        </w:rPr>
        <w:t xml:space="preserve">New Age (African Global Energy)</w:t>
      </w:r>
    </w:p>
    <w:p w:rsidR="00000000" w:rsidDel="00000000" w:rsidP="00000000" w:rsidRDefault="00000000" w:rsidRPr="00000000" w14:paraId="00000090">
      <w:pPr>
        <w:pBdr>
          <w:top w:color="auto" w:space="0" w:sz="0" w:val="none"/>
          <w:bottom w:color="auto" w:space="0" w:sz="0" w:val="none"/>
          <w:right w:color="auto" w:space="0" w:sz="0" w:val="none"/>
          <w:between w:color="auto" w:space="0" w:sz="0" w:val="none"/>
        </w:pBd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New Age Cameroon Offshore Petroleum historically operated the Etinde permit (former Block 7) and advanced the field toward development planning. However, in 2022, New Age agreed to sell its participating interest and operatorship in Etinde to Perenco, subject to regulatory approvals and pre-emption rights held by Bowleven and Lukoil. New Age's exit reflects the broader industry consolidation around established operators with execution capability.</w:t>
      </w:r>
    </w:p>
    <w:p w:rsidR="00000000" w:rsidDel="00000000" w:rsidP="00000000" w:rsidRDefault="00000000" w:rsidRPr="00000000" w14:paraId="00000091">
      <w:pPr>
        <w:pStyle w:val="Heading3"/>
        <w:keepNext w:val="0"/>
        <w:keepLines w:val="0"/>
        <w:numPr>
          <w:ilvl w:val="0"/>
          <w:numId w:val="20"/>
        </w:numPr>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ind w:left="720" w:hanging="360"/>
        <w:jc w:val="both"/>
        <w:rPr>
          <w:rFonts w:ascii="Century Gothic" w:cs="Century Gothic" w:eastAsia="Century Gothic" w:hAnsi="Century Gothic"/>
          <w:b w:val="1"/>
          <w:bCs w:val="1"/>
          <w:color w:val="000000"/>
          <w:sz w:val="22"/>
          <w:szCs w:val="22"/>
        </w:rPr>
      </w:pPr>
      <w:bookmarkStart w:colFirst="0" w:colLast="0" w:name="_pk1mhu3y5gg0" w:id="11"/>
      <w:bookmarkEnd w:id="11"/>
      <w:r w:rsidDel="00000000" w:rsidR="00000000" w:rsidRPr="00000000">
        <w:rPr>
          <w:rFonts w:ascii="Century Gothic" w:cs="Century Gothic" w:eastAsia="Century Gothic" w:hAnsi="Century Gothic"/>
          <w:b w:val="1"/>
          <w:bCs w:val="1"/>
          <w:color w:val="000000"/>
          <w:sz w:val="22"/>
          <w:szCs w:val="22"/>
          <w:rtl w:val="0"/>
        </w:rPr>
        <w:t xml:space="preserve">Chevron (Noble Energy)</w:t>
      </w:r>
    </w:p>
    <w:p w:rsidR="00000000" w:rsidDel="00000000" w:rsidP="00000000" w:rsidRDefault="00000000" w:rsidRPr="00000000" w14:paraId="00000092">
      <w:pPr>
        <w:pBdr>
          <w:top w:color="auto" w:space="0" w:sz="0" w:val="none"/>
          <w:bottom w:color="auto" w:space="0" w:sz="0" w:val="none"/>
          <w:right w:color="auto" w:space="0" w:sz="0" w:val="none"/>
          <w:between w:color="auto" w:space="0" w:sz="0" w:val="none"/>
        </w:pBd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Chevron, through its Noble Energy subsidiaries (Noble Energy Cameroon Ltd. and Noble Energy EG Ltd.), serves as the technical operator of the Yoyo-Yolanda project following the February 2026 unitization agreement. Chevron's $4 billion investment plan includes installation of a central processing platform and drilling of three development wells.</w:t>
      </w:r>
    </w:p>
    <w:p w:rsidR="00000000" w:rsidDel="00000000" w:rsidP="00000000" w:rsidRDefault="00000000" w:rsidRPr="00000000" w14:paraId="00000093">
      <w:pPr>
        <w:pStyle w:val="Heading3"/>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ind w:left="720" w:hanging="360"/>
        <w:jc w:val="both"/>
        <w:rPr>
          <w:rFonts w:ascii="Century Gothic" w:cs="Century Gothic" w:eastAsia="Century Gothic" w:hAnsi="Century Gothic"/>
          <w:b w:val="1"/>
          <w:bCs w:val="1"/>
          <w:color w:val="000000"/>
          <w:sz w:val="22"/>
          <w:szCs w:val="22"/>
        </w:rPr>
      </w:pPr>
      <w:bookmarkStart w:colFirst="0" w:colLast="0" w:name="_oerjyot4s4m2" w:id="12"/>
      <w:bookmarkEnd w:id="12"/>
      <w:r w:rsidDel="00000000" w:rsidR="00000000" w:rsidRPr="00000000">
        <w:rPr>
          <w:rFonts w:ascii="Century Gothic" w:cs="Century Gothic" w:eastAsia="Century Gothic" w:hAnsi="Century Gothic"/>
          <w:b w:val="1"/>
          <w:bCs w:val="1"/>
          <w:color w:val="000000"/>
          <w:sz w:val="22"/>
          <w:szCs w:val="22"/>
          <w:rtl w:val="0"/>
        </w:rPr>
        <w:t xml:space="preserve">Murphy West Africa</w:t>
      </w:r>
    </w:p>
    <w:p w:rsidR="00000000" w:rsidDel="00000000" w:rsidP="00000000" w:rsidRDefault="00000000" w:rsidRPr="00000000" w14:paraId="00000094">
      <w:pPr>
        <w:pBdr>
          <w:top w:color="auto" w:space="0" w:sz="0" w:val="none"/>
          <w:bottom w:color="auto" w:space="0" w:sz="0" w:val="none"/>
          <w:right w:color="auto" w:space="0" w:sz="0" w:val="none"/>
          <w:between w:color="auto" w:space="0" w:sz="0" w:val="none"/>
        </w:pBd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Murphy West Africa emerged as the most successful bidder in the 2025 licensing round, securing four blocks in the Douala/Kribi-Campo Basin: Etinde Exploration, Tilapia, Ntem, and Elombo. This concentration of acreage in a single operator introduces both opportunities for integrated development and concentration risk.</w:t>
      </w:r>
    </w:p>
    <w:p w:rsidR="00000000" w:rsidDel="00000000" w:rsidP="00000000" w:rsidRDefault="00000000" w:rsidRPr="00000000" w14:paraId="00000095">
      <w:pPr>
        <w:pStyle w:val="Heading3"/>
        <w:keepNext w:val="0"/>
        <w:keepLines w:val="0"/>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360" w:line="276" w:lineRule="auto"/>
        <w:ind w:left="720" w:hanging="360"/>
        <w:jc w:val="both"/>
        <w:rPr>
          <w:rFonts w:ascii="Century Gothic" w:cs="Century Gothic" w:eastAsia="Century Gothic" w:hAnsi="Century Gothic"/>
          <w:b w:val="1"/>
          <w:bCs w:val="1"/>
          <w:color w:val="000000"/>
          <w:sz w:val="22"/>
          <w:szCs w:val="22"/>
        </w:rPr>
      </w:pPr>
      <w:bookmarkStart w:colFirst="0" w:colLast="0" w:name="_1bgh5nw0kn0o" w:id="13"/>
      <w:bookmarkEnd w:id="13"/>
      <w:r w:rsidDel="00000000" w:rsidR="00000000" w:rsidRPr="00000000">
        <w:rPr>
          <w:rFonts w:ascii="Century Gothic" w:cs="Century Gothic" w:eastAsia="Century Gothic" w:hAnsi="Century Gothic"/>
          <w:b w:val="1"/>
          <w:bCs w:val="1"/>
          <w:color w:val="000000"/>
          <w:sz w:val="22"/>
          <w:szCs w:val="22"/>
          <w:rtl w:val="0"/>
        </w:rPr>
        <w:t xml:space="preserve">Octavia Energy Corporation</w:t>
      </w:r>
    </w:p>
    <w:p w:rsidR="00000000" w:rsidDel="00000000" w:rsidP="00000000" w:rsidRDefault="00000000" w:rsidRPr="00000000" w14:paraId="00000096">
      <w:pPr>
        <w:pBdr>
          <w:top w:color="auto" w:space="0" w:sz="0" w:val="none"/>
          <w:bottom w:color="auto" w:space="0" w:sz="0" w:val="none"/>
          <w:right w:color="auto" w:space="0" w:sz="0" w:val="none"/>
          <w:between w:color="auto" w:space="0" w:sz="0" w:val="none"/>
        </w:pBdr>
        <w:shd w:fill="ffffff" w:val="clear"/>
        <w:spacing w:after="240" w:line="276" w:lineRule="auto"/>
        <w:jc w:val="both"/>
        <w:rPr>
          <w:b w:val="1"/>
          <w:bCs w:val="1"/>
          <w:sz w:val="26"/>
          <w:szCs w:val="26"/>
        </w:rPr>
      </w:pPr>
      <w:r w:rsidDel="00000000" w:rsidR="00000000" w:rsidRPr="00000000">
        <w:rPr>
          <w:rFonts w:ascii="Century Gothic" w:cs="Century Gothic" w:eastAsia="Century Gothic" w:hAnsi="Century Gothic"/>
          <w:rtl w:val="0"/>
        </w:rPr>
        <w:t xml:space="preserve">Octavia Energy secured the Bolongo Exploration block in the Rio del Rey Basin, marking its entry into Cameroon's mature basin redevelopment play.</w:t>
      </w:r>
      <w:r w:rsidDel="00000000" w:rsidR="00000000" w:rsidRPr="00000000">
        <w:rPr>
          <w:rtl w:val="0"/>
        </w:rPr>
      </w:r>
    </w:p>
    <w:p w:rsidR="00000000" w:rsidDel="00000000" w:rsidP="00000000" w:rsidRDefault="00000000" w:rsidRPr="00000000" w14:paraId="00000097">
      <w:pPr>
        <w:pStyle w:val="Heading1"/>
        <w:pBdr>
          <w:top w:color="auto" w:space="0" w:sz="0" w:val="none"/>
          <w:bottom w:color="auto" w:space="0" w:sz="0" w:val="none"/>
          <w:right w:color="auto" w:space="0" w:sz="0" w:val="none"/>
          <w:between w:color="auto" w:space="0" w:sz="0" w:val="none"/>
        </w:pBdr>
        <w:shd w:fill="ffffff" w:val="clear"/>
        <w:spacing w:after="240" w:lineRule="auto"/>
        <w:jc w:val="both"/>
        <w:rPr>
          <w:b w:val="1"/>
          <w:bCs w:val="1"/>
          <w:sz w:val="26"/>
          <w:szCs w:val="26"/>
        </w:rPr>
      </w:pPr>
      <w:bookmarkStart w:colFirst="0" w:colLast="0" w:name="_e5igj8r6q41f" w:id="14"/>
      <w:bookmarkEnd w:id="14"/>
      <w:r w:rsidDel="00000000" w:rsidR="00000000" w:rsidRPr="00000000">
        <w:rPr>
          <w:b w:val="1"/>
          <w:bCs w:val="1"/>
          <w:sz w:val="26"/>
          <w:szCs w:val="26"/>
          <w:rtl w:val="0"/>
        </w:rPr>
        <w:t xml:space="preserve">Investment Opportunities</w:t>
      </w:r>
    </w:p>
    <w:p w:rsidR="00000000" w:rsidDel="00000000" w:rsidP="00000000" w:rsidRDefault="00000000" w:rsidRPr="00000000" w14:paraId="00000098">
      <w:pPr>
        <w:numPr>
          <w:ilvl w:val="0"/>
          <w:numId w:val="5"/>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Domestic gas demand growth</w:t>
      </w:r>
    </w:p>
    <w:p w:rsidR="00000000" w:rsidDel="00000000" w:rsidP="00000000" w:rsidRDefault="00000000" w:rsidRPr="00000000" w14:paraId="00000099">
      <w:pPr>
        <w:pBdr>
          <w:top w:color="auto" w:space="0" w:sz="0" w:val="none"/>
          <w:bottom w:color="auto" w:space="0" w:sz="0" w:val="none"/>
          <w:right w:color="auto" w:space="0" w:sz="0" w:val="none"/>
          <w:between w:color="auto" w:space="0" w:sz="0" w:val="none"/>
        </w:pBdr>
        <w:shd w:fill="ffffff" w:val="clear"/>
        <w:spacing w:after="24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gas-to-power (Kribi, 216 MW), gas-to-industry (Keda Ceramics and the wider Douala/Logbaba network), and LPG import substitution all offer bankable, lower-execution-risk monetisation routes that do not depend on a new liquefaction facility.</w:t>
      </w:r>
    </w:p>
    <w:p w:rsidR="00000000" w:rsidDel="00000000" w:rsidP="00000000" w:rsidRDefault="00000000" w:rsidRPr="00000000" w14:paraId="0000009A">
      <w:pPr>
        <w:numPr>
          <w:ilvl w:val="0"/>
          <w:numId w:val="16"/>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Refining and downstream integration</w:t>
      </w:r>
    </w:p>
    <w:p w:rsidR="00000000" w:rsidDel="00000000" w:rsidP="00000000" w:rsidRDefault="00000000" w:rsidRPr="00000000" w14:paraId="0000009B">
      <w:pPr>
        <w:pBdr>
          <w:top w:color="auto" w:space="0" w:sz="0" w:val="none"/>
          <w:bottom w:color="auto" w:space="0" w:sz="0" w:val="none"/>
          <w:right w:color="auto" w:space="0" w:sz="0" w:val="none"/>
          <w:between w:color="auto" w:space="0" w:sz="0" w:val="none"/>
        </w:pBdr>
        <w:shd w:fill="ffffff" w:val="clear"/>
        <w:spacing w:after="24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CSTAR Kribi refinery, if it delivers on its accelerated H2 2026 partial start-up, adds a second demand pull for domestic hydrocarbons and reduces Cameroon's ~$680 million annual fuel-import bill, with positive knock-on effects for the broader energy investment climate.</w:t>
      </w:r>
    </w:p>
    <w:p w:rsidR="00000000" w:rsidDel="00000000" w:rsidP="00000000" w:rsidRDefault="00000000" w:rsidRPr="00000000" w14:paraId="0000009C">
      <w:pPr>
        <w:numPr>
          <w:ilvl w:val="0"/>
          <w:numId w:val="4"/>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Gas-to-Data</w:t>
      </w:r>
    </w:p>
    <w:p w:rsidR="00000000" w:rsidDel="00000000" w:rsidP="00000000" w:rsidRDefault="00000000" w:rsidRPr="00000000" w14:paraId="0000009D">
      <w:pPr>
        <w:pBdr>
          <w:top w:color="auto" w:space="0" w:sz="0" w:val="none"/>
          <w:bottom w:color="auto" w:space="0" w:sz="0" w:val="none"/>
          <w:right w:color="auto" w:space="0" w:sz="0" w:val="none"/>
          <w:between w:color="auto" w:space="0" w:sz="0" w:val="none"/>
        </w:pBdr>
        <w:shd w:fill="ffffff" w:val="clear"/>
        <w:spacing w:after="240" w:line="276"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SNH's early-stage initiative to position domestic gas (and geothermal resources) as power supply for AI-ready data-centre infrastructure signals an attempt to diversify gas demand beyond traditional industrial and power uses.</w:t>
      </w:r>
    </w:p>
    <w:p w:rsidR="00000000" w:rsidDel="00000000" w:rsidP="00000000" w:rsidRDefault="00000000" w:rsidRPr="00000000" w14:paraId="0000009E">
      <w:pPr>
        <w:pStyle w:val="Heading1"/>
        <w:pBdr>
          <w:top w:color="auto" w:space="0" w:sz="0" w:val="none"/>
          <w:bottom w:color="auto" w:space="0" w:sz="0" w:val="none"/>
          <w:right w:color="auto" w:space="0" w:sz="0" w:val="none"/>
          <w:between w:color="auto" w:space="0" w:sz="0" w:val="none"/>
        </w:pBdr>
        <w:shd w:fill="ffffff" w:val="clear"/>
        <w:spacing w:after="240" w:lineRule="auto"/>
        <w:jc w:val="both"/>
        <w:rPr>
          <w:b w:val="1"/>
          <w:bCs w:val="1"/>
          <w:sz w:val="26"/>
          <w:szCs w:val="26"/>
        </w:rPr>
      </w:pPr>
      <w:bookmarkStart w:colFirst="0" w:colLast="0" w:name="_eysu53wjkyu3" w:id="15"/>
      <w:bookmarkEnd w:id="15"/>
      <w:r w:rsidDel="00000000" w:rsidR="00000000" w:rsidRPr="00000000">
        <w:rPr>
          <w:b w:val="1"/>
          <w:bCs w:val="1"/>
          <w:sz w:val="26"/>
          <w:szCs w:val="26"/>
          <w:rtl w:val="0"/>
        </w:rPr>
        <w:t xml:space="preserve">Risks</w:t>
      </w:r>
    </w:p>
    <w:p w:rsidR="00000000" w:rsidDel="00000000" w:rsidP="00000000" w:rsidRDefault="00000000" w:rsidRPr="00000000" w14:paraId="0000009F">
      <w:pPr>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Export capacity gap</w:t>
      </w:r>
    </w:p>
    <w:p w:rsidR="00000000" w:rsidDel="00000000" w:rsidP="00000000" w:rsidRDefault="00000000" w:rsidRPr="00000000" w14:paraId="000000A0">
      <w:pPr>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Production and revenue decline</w:t>
      </w:r>
    </w:p>
    <w:p w:rsidR="00000000" w:rsidDel="00000000" w:rsidP="00000000" w:rsidRDefault="00000000" w:rsidRPr="00000000" w14:paraId="000000A1">
      <w:pPr>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76"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Mature asset base</w:t>
      </w:r>
    </w:p>
    <w:p w:rsidR="00000000" w:rsidDel="00000000" w:rsidP="00000000" w:rsidRDefault="00000000" w:rsidRPr="00000000" w14:paraId="000000A2">
      <w:pPr>
        <w:numPr>
          <w:ilvl w:val="0"/>
          <w:numId w:val="7"/>
        </w:numPr>
        <w:pBdr>
          <w:top w:color="auto" w:space="0" w:sz="0" w:val="none"/>
          <w:bottom w:color="auto" w:space="0" w:sz="0" w:val="none"/>
          <w:right w:color="auto" w:space="0" w:sz="0" w:val="none"/>
          <w:between w:color="auto" w:space="0" w:sz="0" w:val="none"/>
        </w:pBdr>
        <w:shd w:fill="ffffff" w:val="clear"/>
        <w:spacing w:after="240" w:line="276"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Global capital competition</w:t>
      </w:r>
      <w:r w:rsidDel="00000000" w:rsidR="00000000" w:rsidRPr="00000000">
        <w:rPr>
          <w:rtl w:val="0"/>
        </w:rPr>
      </w:r>
    </w:p>
    <w:p w:rsidR="00000000" w:rsidDel="00000000" w:rsidP="00000000" w:rsidRDefault="00000000" w:rsidRPr="00000000" w14:paraId="000000A3">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lineRule="auto"/>
        <w:jc w:val="both"/>
        <w:rPr>
          <w:b w:val="1"/>
          <w:bCs w:val="1"/>
          <w:sz w:val="26"/>
          <w:szCs w:val="26"/>
        </w:rPr>
      </w:pPr>
      <w:bookmarkStart w:colFirst="0" w:colLast="0" w:name="_3vpjwadgvc55" w:id="16"/>
      <w:bookmarkEnd w:id="16"/>
      <w:r w:rsidDel="00000000" w:rsidR="00000000" w:rsidRPr="00000000">
        <w:rPr>
          <w:b w:val="1"/>
          <w:bCs w:val="1"/>
          <w:sz w:val="26"/>
          <w:szCs w:val="26"/>
          <w:rtl w:val="0"/>
        </w:rPr>
        <w:t xml:space="preserve">Conclusion</w:t>
      </w:r>
    </w:p>
    <w:p w:rsidR="00000000" w:rsidDel="00000000" w:rsidP="00000000" w:rsidRDefault="00000000" w:rsidRPr="00000000" w14:paraId="000000A4">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Cameroon's upstream gas sector is undergoing a structural transformation forced by the Hilli Episeyo FLNG departure. The country has lost its LNG export capacity but retains substantial gas reserves, active domestic production, and a renewed licensing framework that has attracted credible international operators.</w:t>
      </w:r>
    </w:p>
    <w:p w:rsidR="00000000" w:rsidDel="00000000" w:rsidP="00000000" w:rsidRDefault="00000000" w:rsidRPr="00000000" w14:paraId="000000A5">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critical challenge is liquefaction infrastructure. Without a replacement facility whether FLNG, onshore terminal, or regional hub integration, Cameroon cannot monetize its gas for global markets regardless of exploration success. The Yoyo-Yolanda project offers the most credible path back to export markets, but its 2.5 Tcf and $4 billion price tag require years to develop.</w:t>
      </w:r>
    </w:p>
    <w:p w:rsidR="00000000" w:rsidDel="00000000" w:rsidP="00000000" w:rsidRDefault="00000000" w:rsidRPr="00000000" w14:paraId="000000A6">
      <w:pPr>
        <w:shd w:fill="ffffff" w:val="clear"/>
        <w:spacing w:after="240" w:line="276"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investors with a multi-year horizon and tolerance for pre-FID and early-appraisal risk, the 2025-26 licensing round and the Yoyo-Yolanda project offer genuine entry points into a resource base that remains comparatively under-exploited. For investors focused on near-term cash flow tied to LNG exports specifically, 2026–2027 is likely to be a period to watch from the sidelines rather than a window to enter.</w:t>
      </w:r>
    </w:p>
    <w:p w:rsidR="00000000" w:rsidDel="00000000" w:rsidP="00000000" w:rsidRDefault="00000000" w:rsidRPr="00000000" w14:paraId="000000A7">
      <w:pPr>
        <w:shd w:fill="ffffff" w:val="clear"/>
        <w:spacing w:after="240"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8">
      <w:pPr>
        <w:spacing w:line="276" w:lineRule="auto"/>
        <w:jc w:val="both"/>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Roboto" w:cs="Roboto" w:eastAsia="Roboto" w:hAnsi="Roboto"/>
        <w:b w:val="0"/>
        <w:bCs w:val="0"/>
        <w:i w:val="0"/>
        <w:iCs w:val="0"/>
        <w:smallCap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Roboto" w:cs="Roboto" w:eastAsia="Roboto" w:hAnsi="Roboto"/>
        <w:b w:val="0"/>
        <w:bCs w:val="0"/>
        <w:i w:val="0"/>
        <w:iCs w:val="0"/>
        <w:smallCap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Roboto" w:cs="Roboto" w:eastAsia="Roboto" w:hAnsi="Roboto"/>
        <w:b w:val="0"/>
        <w:bCs w:val="0"/>
        <w:i w:val="0"/>
        <w:iCs w:val="0"/>
        <w:smallCap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Roboto" w:cs="Roboto" w:eastAsia="Roboto" w:hAnsi="Roboto"/>
        <w:b w:val="0"/>
        <w:bCs w:val="0"/>
        <w:i w:val="0"/>
        <w:iCs w:val="0"/>
        <w:smallCap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Roboto" w:cs="Roboto" w:eastAsia="Roboto" w:hAnsi="Roboto"/>
        <w:b w:val="0"/>
        <w:bCs w:val="0"/>
        <w:i w:val="0"/>
        <w:iCs w:val="0"/>
        <w:smallCap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