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FB01B" w14:textId="01D36212" w:rsidR="00E662A1" w:rsidRPr="00E625F3" w:rsidRDefault="00E625F3" w:rsidP="004C1873">
      <w:pPr>
        <w:spacing w:before="200" w:after="100"/>
        <w:jc w:val="both"/>
        <w:rPr>
          <w:rFonts w:ascii="Times New Roman" w:hAnsi="Times New Roman" w:cs="Times New Roman"/>
          <w:sz w:val="24"/>
          <w:szCs w:val="24"/>
        </w:rPr>
      </w:pPr>
      <w:r w:rsidRPr="00E625F3">
        <w:rPr>
          <w:rFonts w:ascii="Times New Roman" w:hAnsi="Times New Roman" w:cs="Times New Roman"/>
          <w:b/>
          <w:bCs/>
          <w:sz w:val="24"/>
          <w:szCs w:val="24"/>
        </w:rPr>
        <w:t>MONETISATION PATHWAYS FOR MOZAMBIQUE'S ROVUMA BASIN</w:t>
      </w:r>
    </w:p>
    <w:p w14:paraId="6F81BDE3" w14:textId="77777777" w:rsidR="00E662A1" w:rsidRPr="00E625F3" w:rsidRDefault="00000000" w:rsidP="004C1873">
      <w:pPr>
        <w:pStyle w:val="Heading1"/>
        <w:spacing w:before="400" w:after="200"/>
        <w:jc w:val="both"/>
        <w:rPr>
          <w:rFonts w:ascii="Times New Roman" w:hAnsi="Times New Roman" w:cs="Times New Roman"/>
          <w:color w:val="auto"/>
          <w:sz w:val="24"/>
          <w:szCs w:val="24"/>
        </w:rPr>
      </w:pPr>
      <w:r w:rsidRPr="00E625F3">
        <w:rPr>
          <w:rFonts w:ascii="Times New Roman" w:hAnsi="Times New Roman" w:cs="Times New Roman"/>
          <w:b/>
          <w:bCs/>
          <w:color w:val="auto"/>
          <w:sz w:val="24"/>
          <w:szCs w:val="24"/>
        </w:rPr>
        <w:t>Executive Summary</w:t>
      </w:r>
    </w:p>
    <w:p w14:paraId="5F5EA81F" w14:textId="77777777" w:rsidR="00E662A1" w:rsidRPr="00E625F3" w:rsidRDefault="00000000" w:rsidP="004C1873">
      <w:pPr>
        <w:spacing w:after="180" w:line="276" w:lineRule="auto"/>
        <w:jc w:val="both"/>
        <w:rPr>
          <w:rFonts w:ascii="Times New Roman" w:hAnsi="Times New Roman" w:cs="Times New Roman"/>
          <w:sz w:val="24"/>
          <w:szCs w:val="24"/>
        </w:rPr>
      </w:pPr>
      <w:r w:rsidRPr="00E625F3">
        <w:rPr>
          <w:rFonts w:ascii="Times New Roman" w:hAnsi="Times New Roman" w:cs="Times New Roman"/>
          <w:sz w:val="24"/>
          <w:szCs w:val="24"/>
        </w:rPr>
        <w:t xml:space="preserve">Mozambique's Rovuma Basin has re-entered the front rank of global LNG supply investment following the January 2026 restart of TotalEnergies' Mozambique LNG (Area 1) project and ExxonMobil's move toward a final investment decision on the Rovuma LNG (Area 4) project, now targeted for the second half of 2026. Combined with Eni's operating Coral Sul FLNG facility and the sanctioned Coral Norte expansion, the basin's proven and probable resource base of roughly 180 </w:t>
      </w:r>
      <w:proofErr w:type="spellStart"/>
      <w:r w:rsidRPr="00E625F3">
        <w:rPr>
          <w:rFonts w:ascii="Times New Roman" w:hAnsi="Times New Roman" w:cs="Times New Roman"/>
          <w:sz w:val="24"/>
          <w:szCs w:val="24"/>
        </w:rPr>
        <w:t>Tcf</w:t>
      </w:r>
      <w:proofErr w:type="spellEnd"/>
      <w:r w:rsidRPr="00E625F3">
        <w:rPr>
          <w:rFonts w:ascii="Times New Roman" w:hAnsi="Times New Roman" w:cs="Times New Roman"/>
          <w:sz w:val="24"/>
          <w:szCs w:val="24"/>
        </w:rPr>
        <w:t xml:space="preserve"> underpins a potential ~31 Mtpa of sanctioned or near-sanctioned LNG export capacity, positioning Mozambique to become Africa's third-largest LNG exporter behind Nigeria and Algeria, and a top-ten global supplier by the early 2030s.</w:t>
      </w:r>
    </w:p>
    <w:p w14:paraId="4D649470" w14:textId="77777777" w:rsidR="00E662A1" w:rsidRPr="00E625F3" w:rsidRDefault="00000000" w:rsidP="004C1873">
      <w:pPr>
        <w:spacing w:after="180" w:line="276" w:lineRule="auto"/>
        <w:jc w:val="both"/>
        <w:rPr>
          <w:rFonts w:ascii="Times New Roman" w:hAnsi="Times New Roman" w:cs="Times New Roman"/>
          <w:sz w:val="24"/>
          <w:szCs w:val="24"/>
        </w:rPr>
      </w:pPr>
      <w:r w:rsidRPr="00E625F3">
        <w:rPr>
          <w:rFonts w:ascii="Times New Roman" w:hAnsi="Times New Roman" w:cs="Times New Roman"/>
          <w:sz w:val="24"/>
          <w:szCs w:val="24"/>
        </w:rPr>
        <w:t xml:space="preserve">This note provides a comparative commercial and strategic assessment of the </w:t>
      </w:r>
      <w:proofErr w:type="spellStart"/>
      <w:r w:rsidRPr="00E625F3">
        <w:rPr>
          <w:rFonts w:ascii="Times New Roman" w:hAnsi="Times New Roman" w:cs="Times New Roman"/>
          <w:sz w:val="24"/>
          <w:szCs w:val="24"/>
        </w:rPr>
        <w:t>monetisation</w:t>
      </w:r>
      <w:proofErr w:type="spellEnd"/>
      <w:r w:rsidRPr="00E625F3">
        <w:rPr>
          <w:rFonts w:ascii="Times New Roman" w:hAnsi="Times New Roman" w:cs="Times New Roman"/>
          <w:sz w:val="24"/>
          <w:szCs w:val="24"/>
        </w:rPr>
        <w:t xml:space="preserve"> pathways available to Mozambique and its resource partners: large-scale LNG exports, floating LNG, domestic gas-to-power, </w:t>
      </w:r>
      <w:proofErr w:type="spellStart"/>
      <w:r w:rsidRPr="00E625F3">
        <w:rPr>
          <w:rFonts w:ascii="Times New Roman" w:hAnsi="Times New Roman" w:cs="Times New Roman"/>
          <w:sz w:val="24"/>
          <w:szCs w:val="24"/>
        </w:rPr>
        <w:t>fertiliser</w:t>
      </w:r>
      <w:proofErr w:type="spellEnd"/>
      <w:r w:rsidRPr="00E625F3">
        <w:rPr>
          <w:rFonts w:ascii="Times New Roman" w:hAnsi="Times New Roman" w:cs="Times New Roman"/>
          <w:sz w:val="24"/>
          <w:szCs w:val="24"/>
        </w:rPr>
        <w:t xml:space="preserve"> and ammonia production, methanol, gas-to-liquids (GTL), and regional pipeline exports. It benchmarks these pathways on CAPEX intensity, OPEX, NPV, IRR and payback, and situates the analysis within a fast-moving global gas market context, a live security environment in Cabo Delgado, and an evolving energy transition and methane-regulation landscape.</w:t>
      </w:r>
    </w:p>
    <w:p w14:paraId="269F6B19" w14:textId="77777777" w:rsidR="00E662A1" w:rsidRPr="00E625F3" w:rsidRDefault="00000000" w:rsidP="004C1873">
      <w:pPr>
        <w:spacing w:before="200" w:after="100"/>
        <w:jc w:val="both"/>
        <w:rPr>
          <w:rFonts w:ascii="Times New Roman" w:hAnsi="Times New Roman" w:cs="Times New Roman"/>
          <w:sz w:val="24"/>
          <w:szCs w:val="24"/>
        </w:rPr>
      </w:pPr>
      <w:r w:rsidRPr="00E625F3">
        <w:rPr>
          <w:rFonts w:ascii="Times New Roman" w:hAnsi="Times New Roman" w:cs="Times New Roman"/>
          <w:b/>
          <w:bCs/>
          <w:sz w:val="24"/>
          <w:szCs w:val="24"/>
        </w:rPr>
        <w:t>Key Judgements</w:t>
      </w:r>
    </w:p>
    <w:p w14:paraId="4CDC72D3" w14:textId="77777777" w:rsidR="00E662A1" w:rsidRPr="00E625F3" w:rsidRDefault="00000000" w:rsidP="004C1873">
      <w:pPr>
        <w:pStyle w:val="ListParagraph"/>
        <w:numPr>
          <w:ilvl w:val="0"/>
          <w:numId w:val="2"/>
        </w:numPr>
        <w:spacing w:after="90" w:line="264" w:lineRule="auto"/>
        <w:jc w:val="both"/>
        <w:rPr>
          <w:rFonts w:ascii="Times New Roman" w:hAnsi="Times New Roman" w:cs="Times New Roman"/>
          <w:sz w:val="24"/>
          <w:szCs w:val="24"/>
        </w:rPr>
      </w:pPr>
      <w:r w:rsidRPr="00E625F3">
        <w:rPr>
          <w:rFonts w:ascii="Times New Roman" w:hAnsi="Times New Roman" w:cs="Times New Roman"/>
          <w:sz w:val="24"/>
          <w:szCs w:val="24"/>
        </w:rPr>
        <w:t xml:space="preserve">LNG exports remain the highest absolute value-creation pathway for Rovuma gas, but the incremental return advantage over gas-to-power and </w:t>
      </w:r>
      <w:proofErr w:type="spellStart"/>
      <w:r w:rsidRPr="00E625F3">
        <w:rPr>
          <w:rFonts w:ascii="Times New Roman" w:hAnsi="Times New Roman" w:cs="Times New Roman"/>
          <w:sz w:val="24"/>
          <w:szCs w:val="24"/>
        </w:rPr>
        <w:t>fertiliser</w:t>
      </w:r>
      <w:proofErr w:type="spellEnd"/>
      <w:r w:rsidRPr="00E625F3">
        <w:rPr>
          <w:rFonts w:ascii="Times New Roman" w:hAnsi="Times New Roman" w:cs="Times New Roman"/>
          <w:sz w:val="24"/>
          <w:szCs w:val="24"/>
        </w:rPr>
        <w:t xml:space="preserve"> routes has narrowed as global LNG markets move into a multi-year supply glut from approximately 2027, with the IEA and </w:t>
      </w:r>
      <w:proofErr w:type="spellStart"/>
      <w:r w:rsidRPr="00E625F3">
        <w:rPr>
          <w:rFonts w:ascii="Times New Roman" w:hAnsi="Times New Roman" w:cs="Times New Roman"/>
          <w:sz w:val="24"/>
          <w:szCs w:val="24"/>
        </w:rPr>
        <w:t>BloombergNEF</w:t>
      </w:r>
      <w:proofErr w:type="spellEnd"/>
      <w:r w:rsidRPr="00E625F3">
        <w:rPr>
          <w:rFonts w:ascii="Times New Roman" w:hAnsi="Times New Roman" w:cs="Times New Roman"/>
          <w:sz w:val="24"/>
          <w:szCs w:val="24"/>
        </w:rPr>
        <w:t xml:space="preserve"> both projecting structural oversupply into the 2030s.</w:t>
      </w:r>
    </w:p>
    <w:p w14:paraId="402DF333" w14:textId="77777777" w:rsidR="00E662A1" w:rsidRPr="00E625F3" w:rsidRDefault="00000000" w:rsidP="004C1873">
      <w:pPr>
        <w:pStyle w:val="ListParagraph"/>
        <w:numPr>
          <w:ilvl w:val="0"/>
          <w:numId w:val="2"/>
        </w:numPr>
        <w:spacing w:after="90" w:line="264" w:lineRule="auto"/>
        <w:jc w:val="both"/>
        <w:rPr>
          <w:rFonts w:ascii="Times New Roman" w:hAnsi="Times New Roman" w:cs="Times New Roman"/>
          <w:sz w:val="24"/>
          <w:szCs w:val="24"/>
        </w:rPr>
      </w:pPr>
      <w:r w:rsidRPr="00E625F3">
        <w:rPr>
          <w:rFonts w:ascii="Times New Roman" w:hAnsi="Times New Roman" w:cs="Times New Roman"/>
          <w:sz w:val="24"/>
          <w:szCs w:val="24"/>
        </w:rPr>
        <w:t>Floating LNG (Coral Sul/Coral Norte) offers superior capital efficiency and the fastest payback of any Rovuma pathway, reflecting lower onshore infrastructure exposure and materially reduced Cabo Delgado security risk — a factor now explicitly priced into IOC capital-allocation decisions.</w:t>
      </w:r>
    </w:p>
    <w:p w14:paraId="3DD7D09B" w14:textId="77777777" w:rsidR="00E662A1" w:rsidRPr="00E625F3" w:rsidRDefault="00000000" w:rsidP="004C1873">
      <w:pPr>
        <w:pStyle w:val="ListParagraph"/>
        <w:numPr>
          <w:ilvl w:val="0"/>
          <w:numId w:val="2"/>
        </w:numPr>
        <w:spacing w:after="90" w:line="264" w:lineRule="auto"/>
        <w:jc w:val="both"/>
        <w:rPr>
          <w:rFonts w:ascii="Times New Roman" w:hAnsi="Times New Roman" w:cs="Times New Roman"/>
          <w:sz w:val="24"/>
          <w:szCs w:val="24"/>
        </w:rPr>
      </w:pPr>
      <w:r w:rsidRPr="00E625F3">
        <w:rPr>
          <w:rFonts w:ascii="Times New Roman" w:hAnsi="Times New Roman" w:cs="Times New Roman"/>
          <w:sz w:val="24"/>
          <w:szCs w:val="24"/>
        </w:rPr>
        <w:t xml:space="preserve">Domestic gas-to-power and downstream petrochemicals (ammonia, urea, methanol) generate lower absolute returns but materially higher strategic value for Mozambique: they diversify fiscal exposure away from a single global commodity cycle, support </w:t>
      </w:r>
      <w:proofErr w:type="spellStart"/>
      <w:r w:rsidRPr="00E625F3">
        <w:rPr>
          <w:rFonts w:ascii="Times New Roman" w:hAnsi="Times New Roman" w:cs="Times New Roman"/>
          <w:sz w:val="24"/>
          <w:szCs w:val="24"/>
        </w:rPr>
        <w:t>industrialisation</w:t>
      </w:r>
      <w:proofErr w:type="spellEnd"/>
      <w:r w:rsidRPr="00E625F3">
        <w:rPr>
          <w:rFonts w:ascii="Times New Roman" w:hAnsi="Times New Roman" w:cs="Times New Roman"/>
          <w:sz w:val="24"/>
          <w:szCs w:val="24"/>
        </w:rPr>
        <w:t xml:space="preserve"> and employment, and reduce dependence on volatile LNG export pricing.</w:t>
      </w:r>
    </w:p>
    <w:p w14:paraId="1B6AA56D" w14:textId="77777777" w:rsidR="00E662A1" w:rsidRPr="00E625F3" w:rsidRDefault="00000000" w:rsidP="004C1873">
      <w:pPr>
        <w:pStyle w:val="ListParagraph"/>
        <w:numPr>
          <w:ilvl w:val="0"/>
          <w:numId w:val="2"/>
        </w:numPr>
        <w:spacing w:after="90" w:line="264" w:lineRule="auto"/>
        <w:jc w:val="both"/>
        <w:rPr>
          <w:rFonts w:ascii="Times New Roman" w:hAnsi="Times New Roman" w:cs="Times New Roman"/>
          <w:sz w:val="24"/>
          <w:szCs w:val="24"/>
        </w:rPr>
      </w:pPr>
      <w:r w:rsidRPr="00E625F3">
        <w:rPr>
          <w:rFonts w:ascii="Times New Roman" w:hAnsi="Times New Roman" w:cs="Times New Roman"/>
          <w:sz w:val="24"/>
          <w:szCs w:val="24"/>
        </w:rPr>
        <w:t>Security conditions in Cabo Delgado remain the single largest swing factor in project economics. The 2021–2025 force majeure period added an estimated $4.5bn to Mozambique LNG's cost base and pushed first LNG from 2024–25 to 2029; continued insurgent activity and uncertainty over funding for the Rwandan security deployment constitute an active, unresolved risk.</w:t>
      </w:r>
    </w:p>
    <w:p w14:paraId="6558F547" w14:textId="1C58E225" w:rsidR="00E662A1" w:rsidRPr="00E625F3" w:rsidRDefault="00000000" w:rsidP="004C1873">
      <w:pPr>
        <w:pStyle w:val="ListParagraph"/>
        <w:numPr>
          <w:ilvl w:val="0"/>
          <w:numId w:val="2"/>
        </w:numPr>
        <w:spacing w:after="90" w:line="264" w:lineRule="auto"/>
        <w:jc w:val="both"/>
        <w:rPr>
          <w:rFonts w:ascii="Times New Roman" w:hAnsi="Times New Roman" w:cs="Times New Roman"/>
          <w:sz w:val="24"/>
          <w:szCs w:val="24"/>
        </w:rPr>
      </w:pPr>
      <w:r w:rsidRPr="00E625F3">
        <w:rPr>
          <w:rFonts w:ascii="Times New Roman" w:hAnsi="Times New Roman" w:cs="Times New Roman"/>
          <w:sz w:val="24"/>
          <w:szCs w:val="24"/>
        </w:rPr>
        <w:t>Financing has broadly reconsolidated around Area 1 (US EXIM's $4.7bn loan, most export credit agencies recommitted), but the December 2025 withdrawal of UK Export Finance's $1.15bn commitment illustrates continued lender sensitivity to security and human-rights risk</w:t>
      </w:r>
      <w:r w:rsidR="0063444C">
        <w:rPr>
          <w:rFonts w:ascii="Times New Roman" w:hAnsi="Times New Roman" w:cs="Times New Roman"/>
          <w:sz w:val="24"/>
          <w:szCs w:val="24"/>
        </w:rPr>
        <w:t>,</w:t>
      </w:r>
      <w:r w:rsidRPr="00E625F3">
        <w:rPr>
          <w:rFonts w:ascii="Times New Roman" w:hAnsi="Times New Roman" w:cs="Times New Roman"/>
          <w:sz w:val="24"/>
          <w:szCs w:val="24"/>
        </w:rPr>
        <w:t xml:space="preserve"> a precedent that could recur in Area 4 financing.</w:t>
      </w:r>
    </w:p>
    <w:p w14:paraId="20C684DA" w14:textId="77777777" w:rsidR="00E662A1" w:rsidRPr="00E625F3" w:rsidRDefault="00000000" w:rsidP="004C1873">
      <w:pPr>
        <w:pStyle w:val="ListParagraph"/>
        <w:numPr>
          <w:ilvl w:val="0"/>
          <w:numId w:val="2"/>
        </w:numPr>
        <w:spacing w:after="90" w:line="264" w:lineRule="auto"/>
        <w:jc w:val="both"/>
        <w:rPr>
          <w:rFonts w:ascii="Times New Roman" w:hAnsi="Times New Roman" w:cs="Times New Roman"/>
          <w:sz w:val="24"/>
          <w:szCs w:val="24"/>
        </w:rPr>
      </w:pPr>
      <w:r w:rsidRPr="00E625F3">
        <w:rPr>
          <w:rFonts w:ascii="Times New Roman" w:hAnsi="Times New Roman" w:cs="Times New Roman"/>
          <w:sz w:val="24"/>
          <w:szCs w:val="24"/>
        </w:rPr>
        <w:lastRenderedPageBreak/>
        <w:t xml:space="preserve">Mozambique's fiscal position is transformed by these projects: government-linked studies cite potential cumulative revenues approaching $100bn (nominal) by 2040, but this value is heavily back-loaded and contingent on FID timing, price </w:t>
      </w:r>
      <w:proofErr w:type="spellStart"/>
      <w:r w:rsidRPr="00E625F3">
        <w:rPr>
          <w:rFonts w:ascii="Times New Roman" w:hAnsi="Times New Roman" w:cs="Times New Roman"/>
          <w:sz w:val="24"/>
          <w:szCs w:val="24"/>
        </w:rPr>
        <w:t>realisation</w:t>
      </w:r>
      <w:proofErr w:type="spellEnd"/>
      <w:r w:rsidRPr="00E625F3">
        <w:rPr>
          <w:rFonts w:ascii="Times New Roman" w:hAnsi="Times New Roman" w:cs="Times New Roman"/>
          <w:sz w:val="24"/>
          <w:szCs w:val="24"/>
        </w:rPr>
        <w:t>, and the government's capacity to convert fiscal receipts into durable domestic investment rather than one-off consumption.</w:t>
      </w:r>
    </w:p>
    <w:p w14:paraId="5C343224" w14:textId="77777777" w:rsidR="00E625F3" w:rsidRDefault="00E625F3" w:rsidP="004C1873">
      <w:pPr>
        <w:jc w:val="both"/>
        <w:rPr>
          <w:rFonts w:ascii="Times New Roman" w:hAnsi="Times New Roman" w:cs="Times New Roman"/>
          <w:b/>
          <w:bCs/>
          <w:sz w:val="24"/>
          <w:szCs w:val="24"/>
        </w:rPr>
      </w:pPr>
    </w:p>
    <w:p w14:paraId="623A4D6C" w14:textId="77777777" w:rsidR="00E625F3" w:rsidRDefault="00E625F3" w:rsidP="004C1873">
      <w:pPr>
        <w:jc w:val="both"/>
        <w:rPr>
          <w:rFonts w:ascii="Times New Roman" w:hAnsi="Times New Roman" w:cs="Times New Roman"/>
          <w:b/>
          <w:bCs/>
          <w:sz w:val="24"/>
          <w:szCs w:val="24"/>
        </w:rPr>
      </w:pPr>
    </w:p>
    <w:p w14:paraId="6174A5DE" w14:textId="77777777" w:rsidR="00E625F3" w:rsidRDefault="00E625F3" w:rsidP="004C1873">
      <w:pPr>
        <w:jc w:val="both"/>
        <w:rPr>
          <w:rFonts w:ascii="Times New Roman" w:hAnsi="Times New Roman" w:cs="Times New Roman"/>
          <w:b/>
          <w:bCs/>
          <w:sz w:val="24"/>
          <w:szCs w:val="24"/>
        </w:rPr>
      </w:pPr>
    </w:p>
    <w:p w14:paraId="3ABAB296" w14:textId="6B143787" w:rsidR="00E662A1" w:rsidRDefault="00E625F3" w:rsidP="004C1873">
      <w:pPr>
        <w:jc w:val="both"/>
        <w:rPr>
          <w:rFonts w:ascii="Times New Roman" w:hAnsi="Times New Roman" w:cs="Times New Roman"/>
          <w:b/>
          <w:bCs/>
          <w:sz w:val="24"/>
          <w:szCs w:val="24"/>
        </w:rPr>
      </w:pPr>
      <w:r w:rsidRPr="00E625F3">
        <w:rPr>
          <w:rFonts w:ascii="Times New Roman" w:hAnsi="Times New Roman" w:cs="Times New Roman"/>
          <w:b/>
          <w:bCs/>
          <w:sz w:val="24"/>
          <w:szCs w:val="24"/>
        </w:rPr>
        <w:t>STRATEGIC IMPORTANCE OF THE ROVUMA BASIN</w:t>
      </w:r>
    </w:p>
    <w:p w14:paraId="1116FBF2" w14:textId="77777777" w:rsidR="00E625F3" w:rsidRPr="00E625F3" w:rsidRDefault="00E625F3" w:rsidP="004C1873">
      <w:pPr>
        <w:jc w:val="both"/>
        <w:rPr>
          <w:rFonts w:ascii="Times New Roman" w:hAnsi="Times New Roman" w:cs="Times New Roman"/>
          <w:sz w:val="24"/>
          <w:szCs w:val="24"/>
        </w:rPr>
      </w:pPr>
    </w:p>
    <w:p w14:paraId="2761F138" w14:textId="49F657B7" w:rsidR="00E662A1" w:rsidRPr="00E625F3" w:rsidRDefault="00000000" w:rsidP="004C1873">
      <w:pPr>
        <w:spacing w:after="180" w:line="276" w:lineRule="auto"/>
        <w:jc w:val="both"/>
        <w:rPr>
          <w:rFonts w:ascii="Times New Roman" w:hAnsi="Times New Roman" w:cs="Times New Roman"/>
          <w:sz w:val="24"/>
          <w:szCs w:val="24"/>
        </w:rPr>
      </w:pPr>
      <w:r w:rsidRPr="00E625F3">
        <w:rPr>
          <w:rFonts w:ascii="Times New Roman" w:hAnsi="Times New Roman" w:cs="Times New Roman"/>
          <w:sz w:val="24"/>
          <w:szCs w:val="24"/>
        </w:rPr>
        <w:t>The Rovuma Basin,</w:t>
      </w:r>
      <w:r w:rsidR="00E625F3">
        <w:rPr>
          <w:rFonts w:ascii="Times New Roman" w:hAnsi="Times New Roman" w:cs="Times New Roman"/>
          <w:sz w:val="24"/>
          <w:szCs w:val="24"/>
        </w:rPr>
        <w:t xml:space="preserve"> is located</w:t>
      </w:r>
      <w:r w:rsidRPr="00E625F3">
        <w:rPr>
          <w:rFonts w:ascii="Times New Roman" w:hAnsi="Times New Roman" w:cs="Times New Roman"/>
          <w:sz w:val="24"/>
          <w:szCs w:val="24"/>
        </w:rPr>
        <w:t xml:space="preserve"> offshore northern Mozambique and southern Tanzania, holds one of the largest natural gas discoveries of the past two decades</w:t>
      </w:r>
      <w:r w:rsidR="00E625F3">
        <w:rPr>
          <w:rFonts w:ascii="Times New Roman" w:hAnsi="Times New Roman" w:cs="Times New Roman"/>
          <w:sz w:val="24"/>
          <w:szCs w:val="24"/>
        </w:rPr>
        <w:t xml:space="preserve"> </w:t>
      </w:r>
      <w:r w:rsidRPr="00E625F3">
        <w:rPr>
          <w:rFonts w:ascii="Times New Roman" w:hAnsi="Times New Roman" w:cs="Times New Roman"/>
          <w:sz w:val="24"/>
          <w:szCs w:val="24"/>
        </w:rPr>
        <w:t xml:space="preserve">an estimated 180 </w:t>
      </w:r>
      <w:proofErr w:type="spellStart"/>
      <w:r w:rsidRPr="00E625F3">
        <w:rPr>
          <w:rFonts w:ascii="Times New Roman" w:hAnsi="Times New Roman" w:cs="Times New Roman"/>
          <w:sz w:val="24"/>
          <w:szCs w:val="24"/>
        </w:rPr>
        <w:t>Tcf</w:t>
      </w:r>
      <w:proofErr w:type="spellEnd"/>
      <w:r w:rsidRPr="00E625F3">
        <w:rPr>
          <w:rFonts w:ascii="Times New Roman" w:hAnsi="Times New Roman" w:cs="Times New Roman"/>
          <w:sz w:val="24"/>
          <w:szCs w:val="24"/>
        </w:rPr>
        <w:t xml:space="preserve"> of recoverable resource concentrated in Area 1 (</w:t>
      </w:r>
      <w:proofErr w:type="spellStart"/>
      <w:r w:rsidRPr="00E625F3">
        <w:rPr>
          <w:rFonts w:ascii="Times New Roman" w:hAnsi="Times New Roman" w:cs="Times New Roman"/>
          <w:sz w:val="24"/>
          <w:szCs w:val="24"/>
        </w:rPr>
        <w:t>Golfinho</w:t>
      </w:r>
      <w:proofErr w:type="spellEnd"/>
      <w:r w:rsidRPr="00E625F3">
        <w:rPr>
          <w:rFonts w:ascii="Times New Roman" w:hAnsi="Times New Roman" w:cs="Times New Roman"/>
          <w:sz w:val="24"/>
          <w:szCs w:val="24"/>
        </w:rPr>
        <w:t xml:space="preserve">-Atum, operated by TotalEnergies) and Area 4 (Mamba/Coral, operated onshore by ExxonMobil and offshore by Eni). This scale places Mozambique alongside Qatar, Australia, the United States and Russia in the tier of countries capable of hosting multi-train, multi-decade LNG export </w:t>
      </w:r>
      <w:proofErr w:type="spellStart"/>
      <w:r w:rsidRPr="00E625F3">
        <w:rPr>
          <w:rFonts w:ascii="Times New Roman" w:hAnsi="Times New Roman" w:cs="Times New Roman"/>
          <w:sz w:val="24"/>
          <w:szCs w:val="24"/>
        </w:rPr>
        <w:t>programmes</w:t>
      </w:r>
      <w:proofErr w:type="spellEnd"/>
      <w:r w:rsidRPr="00E625F3">
        <w:rPr>
          <w:rFonts w:ascii="Times New Roman" w:hAnsi="Times New Roman" w:cs="Times New Roman"/>
          <w:sz w:val="24"/>
          <w:szCs w:val="24"/>
        </w:rPr>
        <w:t xml:space="preserve"> from a single basin.</w:t>
      </w:r>
    </w:p>
    <w:p w14:paraId="736FCB2E" w14:textId="4B62485E" w:rsidR="00E662A1" w:rsidRPr="00E625F3" w:rsidRDefault="00000000" w:rsidP="004C1873">
      <w:pPr>
        <w:spacing w:after="180" w:line="276" w:lineRule="auto"/>
        <w:jc w:val="both"/>
        <w:rPr>
          <w:rFonts w:ascii="Times New Roman" w:hAnsi="Times New Roman" w:cs="Times New Roman"/>
          <w:sz w:val="24"/>
          <w:szCs w:val="24"/>
        </w:rPr>
      </w:pPr>
      <w:r w:rsidRPr="00E625F3">
        <w:rPr>
          <w:rFonts w:ascii="Times New Roman" w:hAnsi="Times New Roman" w:cs="Times New Roman"/>
          <w:sz w:val="24"/>
          <w:szCs w:val="24"/>
        </w:rPr>
        <w:t xml:space="preserve">For Africa, the basin is strategically significant on three dimensions. First, it diversifies the continent's LNG supply base beyond the traditional exporters Nigeria and Algeria, adding a third major hub with materially different geography an Indian Ocean-facing coastline with short transit times to South and East Asian demand </w:t>
      </w:r>
      <w:proofErr w:type="spellStart"/>
      <w:r w:rsidRPr="00E625F3">
        <w:rPr>
          <w:rFonts w:ascii="Times New Roman" w:hAnsi="Times New Roman" w:cs="Times New Roman"/>
          <w:sz w:val="24"/>
          <w:szCs w:val="24"/>
        </w:rPr>
        <w:t>centres</w:t>
      </w:r>
      <w:proofErr w:type="spellEnd"/>
      <w:r w:rsidRPr="00E625F3">
        <w:rPr>
          <w:rFonts w:ascii="Times New Roman" w:hAnsi="Times New Roman" w:cs="Times New Roman"/>
          <w:sz w:val="24"/>
          <w:szCs w:val="24"/>
        </w:rPr>
        <w:t>, positioning Mozambican cargoes competitively against Middle Eastern and Australian supply into premium Asian markets. Second, it anchors a Southern African gas market integration agenda, linking Rovuma resources to South Africa's industrial gas users via the ROMPCO pipeline and the new Matola LNG import terminal as domestic Mozambican fields (Pande-</w:t>
      </w:r>
      <w:proofErr w:type="spellStart"/>
      <w:r w:rsidRPr="00E625F3">
        <w:rPr>
          <w:rFonts w:ascii="Times New Roman" w:hAnsi="Times New Roman" w:cs="Times New Roman"/>
          <w:sz w:val="24"/>
          <w:szCs w:val="24"/>
        </w:rPr>
        <w:t>Temane</w:t>
      </w:r>
      <w:proofErr w:type="spellEnd"/>
      <w:r w:rsidRPr="00E625F3">
        <w:rPr>
          <w:rFonts w:ascii="Times New Roman" w:hAnsi="Times New Roman" w:cs="Times New Roman"/>
          <w:sz w:val="24"/>
          <w:szCs w:val="24"/>
        </w:rPr>
        <w:t>) deplete. Third, it is now a live test case for how African resource nations negotiate fiscal and security terms with global capital in an era of heightened great-power competition for African energy assets, with China (CNPC), Gulf capital (ADNOC/XRG), Indian NOCs, and Western majors all present in the ownership structure.</w:t>
      </w:r>
    </w:p>
    <w:p w14:paraId="22D29BC0" w14:textId="6BF02942" w:rsidR="00E662A1" w:rsidRPr="00E625F3" w:rsidRDefault="00000000" w:rsidP="004C1873">
      <w:pPr>
        <w:spacing w:after="180" w:line="276" w:lineRule="auto"/>
        <w:jc w:val="both"/>
        <w:rPr>
          <w:rFonts w:ascii="Times New Roman" w:hAnsi="Times New Roman" w:cs="Times New Roman"/>
          <w:sz w:val="24"/>
          <w:szCs w:val="24"/>
        </w:rPr>
      </w:pPr>
      <w:r w:rsidRPr="00E625F3">
        <w:rPr>
          <w:rFonts w:ascii="Times New Roman" w:hAnsi="Times New Roman" w:cs="Times New Roman"/>
          <w:sz w:val="24"/>
          <w:szCs w:val="24"/>
        </w:rPr>
        <w:t xml:space="preserve">Globally, Rovuma LNG matters because of its timing. First cargoes from Area 1 (2029) and Area 4 (2030) will arrive as the global LNG market absorbs an unprecedented wave of new supply some 300 </w:t>
      </w:r>
      <w:proofErr w:type="spellStart"/>
      <w:r w:rsidRPr="00E625F3">
        <w:rPr>
          <w:rFonts w:ascii="Times New Roman" w:hAnsi="Times New Roman" w:cs="Times New Roman"/>
          <w:sz w:val="24"/>
          <w:szCs w:val="24"/>
        </w:rPr>
        <w:t>bcm</w:t>
      </w:r>
      <w:proofErr w:type="spellEnd"/>
      <w:r w:rsidRPr="00E625F3">
        <w:rPr>
          <w:rFonts w:ascii="Times New Roman" w:hAnsi="Times New Roman" w:cs="Times New Roman"/>
          <w:sz w:val="24"/>
          <w:szCs w:val="24"/>
        </w:rPr>
        <w:t>/y of new liquefaction capacity by 2030, according to the IEA's Gas 2025 report, driven primarily by US Gulf Coast and Qatari expansions. Mozambique's relative cost position, discussed in the commercial viability section below, will materially determine whether Rovuma cargoes secure durable market share or absorb a disproportionate share of any price-driven curtailment during the oversupply period.</w:t>
      </w:r>
    </w:p>
    <w:p w14:paraId="04ADC7EE" w14:textId="58C0C189" w:rsidR="00E662A1" w:rsidRPr="00E625F3" w:rsidRDefault="00E625F3" w:rsidP="004C1873">
      <w:pPr>
        <w:pStyle w:val="Heading1"/>
        <w:spacing w:before="400" w:after="200"/>
        <w:jc w:val="both"/>
        <w:rPr>
          <w:rFonts w:ascii="Times New Roman" w:hAnsi="Times New Roman" w:cs="Times New Roman"/>
          <w:color w:val="auto"/>
          <w:sz w:val="24"/>
          <w:szCs w:val="24"/>
        </w:rPr>
      </w:pPr>
      <w:r w:rsidRPr="00E625F3">
        <w:rPr>
          <w:rFonts w:ascii="Times New Roman" w:hAnsi="Times New Roman" w:cs="Times New Roman"/>
          <w:b/>
          <w:bCs/>
          <w:color w:val="auto"/>
          <w:sz w:val="24"/>
          <w:szCs w:val="24"/>
        </w:rPr>
        <w:t>CURRENT UPSTREAM DEVELOPMENTS</w:t>
      </w:r>
    </w:p>
    <w:p w14:paraId="19DBAB43" w14:textId="77777777" w:rsidR="00E662A1" w:rsidRPr="00E625F3" w:rsidRDefault="00000000" w:rsidP="004C1873">
      <w:pPr>
        <w:pStyle w:val="Heading2"/>
        <w:spacing w:before="300" w:after="150"/>
        <w:jc w:val="both"/>
        <w:rPr>
          <w:rFonts w:ascii="Times New Roman" w:hAnsi="Times New Roman" w:cs="Times New Roman"/>
          <w:color w:val="auto"/>
          <w:sz w:val="24"/>
          <w:szCs w:val="24"/>
        </w:rPr>
      </w:pPr>
      <w:r w:rsidRPr="00E625F3">
        <w:rPr>
          <w:rFonts w:ascii="Times New Roman" w:hAnsi="Times New Roman" w:cs="Times New Roman"/>
          <w:b/>
          <w:bCs/>
          <w:color w:val="auto"/>
          <w:sz w:val="24"/>
          <w:szCs w:val="24"/>
        </w:rPr>
        <w:t>Area 1 — Mozambique LNG (TotalEnergies, operator)</w:t>
      </w:r>
    </w:p>
    <w:p w14:paraId="1B45ECDA" w14:textId="77777777" w:rsidR="00E662A1" w:rsidRPr="00E625F3" w:rsidRDefault="00000000" w:rsidP="004C1873">
      <w:pPr>
        <w:spacing w:after="180" w:line="276" w:lineRule="auto"/>
        <w:jc w:val="both"/>
        <w:rPr>
          <w:rFonts w:ascii="Times New Roman" w:hAnsi="Times New Roman" w:cs="Times New Roman"/>
          <w:sz w:val="24"/>
          <w:szCs w:val="24"/>
        </w:rPr>
      </w:pPr>
      <w:r w:rsidRPr="00E625F3">
        <w:rPr>
          <w:rFonts w:ascii="Times New Roman" w:hAnsi="Times New Roman" w:cs="Times New Roman"/>
          <w:sz w:val="24"/>
          <w:szCs w:val="24"/>
        </w:rPr>
        <w:t xml:space="preserve">Mozambique LNG is a two-train, 13.1 Mtpa onshore liquefaction facility at </w:t>
      </w:r>
      <w:proofErr w:type="spellStart"/>
      <w:r w:rsidRPr="00E625F3">
        <w:rPr>
          <w:rFonts w:ascii="Times New Roman" w:hAnsi="Times New Roman" w:cs="Times New Roman"/>
          <w:sz w:val="24"/>
          <w:szCs w:val="24"/>
        </w:rPr>
        <w:t>Afungi</w:t>
      </w:r>
      <w:proofErr w:type="spellEnd"/>
      <w:r w:rsidRPr="00E625F3">
        <w:rPr>
          <w:rFonts w:ascii="Times New Roman" w:hAnsi="Times New Roman" w:cs="Times New Roman"/>
          <w:sz w:val="24"/>
          <w:szCs w:val="24"/>
        </w:rPr>
        <w:t xml:space="preserve">, drawing on the </w:t>
      </w:r>
      <w:proofErr w:type="spellStart"/>
      <w:r w:rsidRPr="00E625F3">
        <w:rPr>
          <w:rFonts w:ascii="Times New Roman" w:hAnsi="Times New Roman" w:cs="Times New Roman"/>
          <w:sz w:val="24"/>
          <w:szCs w:val="24"/>
        </w:rPr>
        <w:t>Golfinho</w:t>
      </w:r>
      <w:proofErr w:type="spellEnd"/>
      <w:r w:rsidRPr="00E625F3">
        <w:rPr>
          <w:rFonts w:ascii="Times New Roman" w:hAnsi="Times New Roman" w:cs="Times New Roman"/>
          <w:sz w:val="24"/>
          <w:szCs w:val="24"/>
        </w:rPr>
        <w:t xml:space="preserve">-Atum fields. Sanctioned in 2019 at a headline cost of approximately $20bn, the project was suspended under force majeure in April 2021 following the insurgent assault </w:t>
      </w:r>
      <w:r w:rsidRPr="00E625F3">
        <w:rPr>
          <w:rFonts w:ascii="Times New Roman" w:hAnsi="Times New Roman" w:cs="Times New Roman"/>
          <w:sz w:val="24"/>
          <w:szCs w:val="24"/>
        </w:rPr>
        <w:lastRenderedPageBreak/>
        <w:t xml:space="preserve">on Palma. Force majeure was formally lifted on 7 November 2025, and full onshore and offshore construction activity resumed on 29 January 2026, with more than 4,000 workers </w:t>
      </w:r>
      <w:proofErr w:type="spellStart"/>
      <w:r w:rsidRPr="00E625F3">
        <w:rPr>
          <w:rFonts w:ascii="Times New Roman" w:hAnsi="Times New Roman" w:cs="Times New Roman"/>
          <w:sz w:val="24"/>
          <w:szCs w:val="24"/>
        </w:rPr>
        <w:t>mobilised</w:t>
      </w:r>
      <w:proofErr w:type="spellEnd"/>
      <w:r w:rsidRPr="00E625F3">
        <w:rPr>
          <w:rFonts w:ascii="Times New Roman" w:hAnsi="Times New Roman" w:cs="Times New Roman"/>
          <w:sz w:val="24"/>
          <w:szCs w:val="24"/>
        </w:rPr>
        <w:t xml:space="preserve"> (roughly 80% Mozambican nationals).</w:t>
      </w:r>
    </w:p>
    <w:p w14:paraId="649C33EC" w14:textId="77777777" w:rsidR="00E662A1" w:rsidRPr="00E625F3" w:rsidRDefault="00000000" w:rsidP="004C1873">
      <w:pPr>
        <w:pStyle w:val="ListParagraph"/>
        <w:numPr>
          <w:ilvl w:val="0"/>
          <w:numId w:val="2"/>
        </w:numPr>
        <w:spacing w:after="90" w:line="264" w:lineRule="auto"/>
        <w:jc w:val="both"/>
        <w:rPr>
          <w:rFonts w:ascii="Times New Roman" w:hAnsi="Times New Roman" w:cs="Times New Roman"/>
          <w:sz w:val="24"/>
          <w:szCs w:val="24"/>
        </w:rPr>
      </w:pPr>
      <w:r w:rsidRPr="00E625F3">
        <w:rPr>
          <w:rFonts w:ascii="Times New Roman" w:hAnsi="Times New Roman" w:cs="Times New Roman"/>
          <w:sz w:val="24"/>
          <w:szCs w:val="24"/>
        </w:rPr>
        <w:t xml:space="preserve">Revised cost envelope: approximately $24.5bn, reflecting roughly $4.5bn of incremental cost from the multi-year suspension, </w:t>
      </w:r>
      <w:proofErr w:type="spellStart"/>
      <w:r w:rsidRPr="00E625F3">
        <w:rPr>
          <w:rFonts w:ascii="Times New Roman" w:hAnsi="Times New Roman" w:cs="Times New Roman"/>
          <w:sz w:val="24"/>
          <w:szCs w:val="24"/>
        </w:rPr>
        <w:t>remobilisation</w:t>
      </w:r>
      <w:proofErr w:type="spellEnd"/>
      <w:r w:rsidRPr="00E625F3">
        <w:rPr>
          <w:rFonts w:ascii="Times New Roman" w:hAnsi="Times New Roman" w:cs="Times New Roman"/>
          <w:sz w:val="24"/>
          <w:szCs w:val="24"/>
        </w:rPr>
        <w:t>, and schedule extension.</w:t>
      </w:r>
    </w:p>
    <w:p w14:paraId="5780BE93" w14:textId="77777777" w:rsidR="00E662A1" w:rsidRPr="00E625F3" w:rsidRDefault="00000000" w:rsidP="004C1873">
      <w:pPr>
        <w:pStyle w:val="ListParagraph"/>
        <w:numPr>
          <w:ilvl w:val="0"/>
          <w:numId w:val="2"/>
        </w:numPr>
        <w:spacing w:after="90" w:line="264" w:lineRule="auto"/>
        <w:jc w:val="both"/>
        <w:rPr>
          <w:rFonts w:ascii="Times New Roman" w:hAnsi="Times New Roman" w:cs="Times New Roman"/>
          <w:sz w:val="24"/>
          <w:szCs w:val="24"/>
        </w:rPr>
      </w:pPr>
      <w:r w:rsidRPr="00E625F3">
        <w:rPr>
          <w:rFonts w:ascii="Times New Roman" w:hAnsi="Times New Roman" w:cs="Times New Roman"/>
          <w:sz w:val="24"/>
          <w:szCs w:val="24"/>
        </w:rPr>
        <w:t xml:space="preserve">Construction is reported at approximately 40% completion and currently operating in a security-conscious "containment mode" around the </w:t>
      </w:r>
      <w:proofErr w:type="spellStart"/>
      <w:r w:rsidRPr="00E625F3">
        <w:rPr>
          <w:rFonts w:ascii="Times New Roman" w:hAnsi="Times New Roman" w:cs="Times New Roman"/>
          <w:sz w:val="24"/>
          <w:szCs w:val="24"/>
        </w:rPr>
        <w:t>Afungi</w:t>
      </w:r>
      <w:proofErr w:type="spellEnd"/>
      <w:r w:rsidRPr="00E625F3">
        <w:rPr>
          <w:rFonts w:ascii="Times New Roman" w:hAnsi="Times New Roman" w:cs="Times New Roman"/>
          <w:sz w:val="24"/>
          <w:szCs w:val="24"/>
        </w:rPr>
        <w:t xml:space="preserve"> site.</w:t>
      </w:r>
    </w:p>
    <w:p w14:paraId="011BDF14" w14:textId="77777777" w:rsidR="00E662A1" w:rsidRPr="00E625F3" w:rsidRDefault="00000000" w:rsidP="004C1873">
      <w:pPr>
        <w:pStyle w:val="ListParagraph"/>
        <w:numPr>
          <w:ilvl w:val="0"/>
          <w:numId w:val="2"/>
        </w:numPr>
        <w:spacing w:after="90" w:line="264" w:lineRule="auto"/>
        <w:jc w:val="both"/>
        <w:rPr>
          <w:rFonts w:ascii="Times New Roman" w:hAnsi="Times New Roman" w:cs="Times New Roman"/>
          <w:sz w:val="24"/>
          <w:szCs w:val="24"/>
        </w:rPr>
      </w:pPr>
      <w:r w:rsidRPr="00E625F3">
        <w:rPr>
          <w:rFonts w:ascii="Times New Roman" w:hAnsi="Times New Roman" w:cs="Times New Roman"/>
          <w:sz w:val="24"/>
          <w:szCs w:val="24"/>
        </w:rPr>
        <w:t>TotalEnergies has requested a ten-year extension of its production concession to reflect the delay, and is seeking government approval of a revised budget and schedule.</w:t>
      </w:r>
    </w:p>
    <w:p w14:paraId="2549B54B" w14:textId="77777777" w:rsidR="00E662A1" w:rsidRPr="00E625F3" w:rsidRDefault="00000000" w:rsidP="004C1873">
      <w:pPr>
        <w:pStyle w:val="ListParagraph"/>
        <w:numPr>
          <w:ilvl w:val="0"/>
          <w:numId w:val="2"/>
        </w:numPr>
        <w:spacing w:after="90" w:line="264" w:lineRule="auto"/>
        <w:jc w:val="both"/>
        <w:rPr>
          <w:rFonts w:ascii="Times New Roman" w:hAnsi="Times New Roman" w:cs="Times New Roman"/>
          <w:sz w:val="24"/>
          <w:szCs w:val="24"/>
        </w:rPr>
      </w:pPr>
      <w:r w:rsidRPr="00E625F3">
        <w:rPr>
          <w:rFonts w:ascii="Times New Roman" w:hAnsi="Times New Roman" w:cs="Times New Roman"/>
          <w:sz w:val="24"/>
          <w:szCs w:val="24"/>
        </w:rPr>
        <w:t>First LNG is now targeted for 2029, versus an original pre-suspension target of 2024–25.</w:t>
      </w:r>
    </w:p>
    <w:p w14:paraId="17BCCC7A" w14:textId="77777777" w:rsidR="00E662A1" w:rsidRPr="00E625F3" w:rsidRDefault="00000000" w:rsidP="004C1873">
      <w:pPr>
        <w:pStyle w:val="ListParagraph"/>
        <w:numPr>
          <w:ilvl w:val="0"/>
          <w:numId w:val="2"/>
        </w:numPr>
        <w:spacing w:after="90" w:line="264" w:lineRule="auto"/>
        <w:jc w:val="both"/>
        <w:rPr>
          <w:rFonts w:ascii="Times New Roman" w:hAnsi="Times New Roman" w:cs="Times New Roman"/>
          <w:sz w:val="24"/>
          <w:szCs w:val="24"/>
        </w:rPr>
      </w:pPr>
      <w:r w:rsidRPr="00E625F3">
        <w:rPr>
          <w:rFonts w:ascii="Times New Roman" w:hAnsi="Times New Roman" w:cs="Times New Roman"/>
          <w:sz w:val="24"/>
          <w:szCs w:val="24"/>
        </w:rPr>
        <w:t xml:space="preserve">Ownership: TotalEnergies EP Mozambique Area 1 (26.5%, operator), Mitsui (20%), ENH Rovuma </w:t>
      </w:r>
      <w:proofErr w:type="spellStart"/>
      <w:r w:rsidRPr="00E625F3">
        <w:rPr>
          <w:rFonts w:ascii="Times New Roman" w:hAnsi="Times New Roman" w:cs="Times New Roman"/>
          <w:sz w:val="24"/>
          <w:szCs w:val="24"/>
        </w:rPr>
        <w:t>Área</w:t>
      </w:r>
      <w:proofErr w:type="spellEnd"/>
      <w:r w:rsidRPr="00E625F3">
        <w:rPr>
          <w:rFonts w:ascii="Times New Roman" w:hAnsi="Times New Roman" w:cs="Times New Roman"/>
          <w:sz w:val="24"/>
          <w:szCs w:val="24"/>
        </w:rPr>
        <w:t xml:space="preserve"> Um (15%), ONGC Videsh (10%), Beas Rovuma Energy Mozambique / Oil India (10%), BPRL Ventures / Bharat Petroleum (10%), PTTEP (8.5%).</w:t>
      </w:r>
    </w:p>
    <w:p w14:paraId="40FD1536" w14:textId="77777777" w:rsidR="00E662A1" w:rsidRPr="00E625F3" w:rsidRDefault="00000000" w:rsidP="004C1873">
      <w:pPr>
        <w:pStyle w:val="Heading2"/>
        <w:spacing w:before="300" w:after="150"/>
        <w:jc w:val="both"/>
        <w:rPr>
          <w:rFonts w:ascii="Times New Roman" w:hAnsi="Times New Roman" w:cs="Times New Roman"/>
          <w:color w:val="auto"/>
          <w:sz w:val="24"/>
          <w:szCs w:val="24"/>
        </w:rPr>
      </w:pPr>
      <w:r w:rsidRPr="00E625F3">
        <w:rPr>
          <w:rFonts w:ascii="Times New Roman" w:hAnsi="Times New Roman" w:cs="Times New Roman"/>
          <w:b/>
          <w:bCs/>
          <w:color w:val="auto"/>
          <w:sz w:val="24"/>
          <w:szCs w:val="24"/>
        </w:rPr>
        <w:t>Area 4 — Rovuma LNG (ExxonMobil, onshore operator; Eni, FLNG operator) and Coral Sul/Coral Norte FLNG</w:t>
      </w:r>
    </w:p>
    <w:p w14:paraId="4823933E" w14:textId="792B8530" w:rsidR="00E662A1" w:rsidRPr="00E625F3" w:rsidRDefault="00000000" w:rsidP="004C1873">
      <w:pPr>
        <w:spacing w:after="180" w:line="276" w:lineRule="auto"/>
        <w:jc w:val="both"/>
        <w:rPr>
          <w:rFonts w:ascii="Times New Roman" w:hAnsi="Times New Roman" w:cs="Times New Roman"/>
          <w:sz w:val="24"/>
          <w:szCs w:val="24"/>
        </w:rPr>
      </w:pPr>
      <w:r w:rsidRPr="00E625F3">
        <w:rPr>
          <w:rFonts w:ascii="Times New Roman" w:hAnsi="Times New Roman" w:cs="Times New Roman"/>
          <w:sz w:val="24"/>
          <w:szCs w:val="24"/>
        </w:rPr>
        <w:t>Area 4 hosts two distinct development streams. The first is the operating Coral Sul FLNG facility (3.4 Mtpa), which has produced LNG since 2022 from the Mamba complex via a permanently moored floating vessel</w:t>
      </w:r>
      <w:r w:rsidR="00E625F3">
        <w:rPr>
          <w:rFonts w:ascii="Times New Roman" w:hAnsi="Times New Roman" w:cs="Times New Roman"/>
          <w:sz w:val="24"/>
          <w:szCs w:val="24"/>
        </w:rPr>
        <w:t xml:space="preserve">, </w:t>
      </w:r>
      <w:r w:rsidRPr="00E625F3">
        <w:rPr>
          <w:rFonts w:ascii="Times New Roman" w:hAnsi="Times New Roman" w:cs="Times New Roman"/>
          <w:sz w:val="24"/>
          <w:szCs w:val="24"/>
        </w:rPr>
        <w:t>the first FLNG development in deep water offshore Africa. Eni sanctioned a second floating unit, Coral Norte (3.5 Mtpa, approximately $7.2bn), with FID signed in October 2025 and start-up targeted for 2028, doubling Area 4's floating capacity to roughly 7 Mtpa.</w:t>
      </w:r>
    </w:p>
    <w:p w14:paraId="17D492C8" w14:textId="77777777" w:rsidR="00E662A1" w:rsidRPr="00E625F3" w:rsidRDefault="00000000" w:rsidP="004C1873">
      <w:pPr>
        <w:spacing w:after="180" w:line="276" w:lineRule="auto"/>
        <w:jc w:val="both"/>
        <w:rPr>
          <w:rFonts w:ascii="Times New Roman" w:hAnsi="Times New Roman" w:cs="Times New Roman"/>
          <w:sz w:val="24"/>
          <w:szCs w:val="24"/>
        </w:rPr>
      </w:pPr>
      <w:r w:rsidRPr="00E625F3">
        <w:rPr>
          <w:rFonts w:ascii="Times New Roman" w:hAnsi="Times New Roman" w:cs="Times New Roman"/>
          <w:sz w:val="24"/>
          <w:szCs w:val="24"/>
        </w:rPr>
        <w:t xml:space="preserve">The second stream is the larger, onshore Rovuma LNG project: two trains </w:t>
      </w:r>
      <w:proofErr w:type="spellStart"/>
      <w:r w:rsidRPr="00E625F3">
        <w:rPr>
          <w:rFonts w:ascii="Times New Roman" w:hAnsi="Times New Roman" w:cs="Times New Roman"/>
          <w:sz w:val="24"/>
          <w:szCs w:val="24"/>
        </w:rPr>
        <w:t>totalling</w:t>
      </w:r>
      <w:proofErr w:type="spellEnd"/>
      <w:r w:rsidRPr="00E625F3">
        <w:rPr>
          <w:rFonts w:ascii="Times New Roman" w:hAnsi="Times New Roman" w:cs="Times New Roman"/>
          <w:sz w:val="24"/>
          <w:szCs w:val="24"/>
        </w:rPr>
        <w:t xml:space="preserve"> 18 Mtpa at </w:t>
      </w:r>
      <w:proofErr w:type="spellStart"/>
      <w:r w:rsidRPr="00E625F3">
        <w:rPr>
          <w:rFonts w:ascii="Times New Roman" w:hAnsi="Times New Roman" w:cs="Times New Roman"/>
          <w:sz w:val="24"/>
          <w:szCs w:val="24"/>
        </w:rPr>
        <w:t>Afungi</w:t>
      </w:r>
      <w:proofErr w:type="spellEnd"/>
      <w:r w:rsidRPr="00E625F3">
        <w:rPr>
          <w:rFonts w:ascii="Times New Roman" w:hAnsi="Times New Roman" w:cs="Times New Roman"/>
          <w:sz w:val="24"/>
          <w:szCs w:val="24"/>
        </w:rPr>
        <w:t xml:space="preserve">, sharing infrastructure with the </w:t>
      </w:r>
      <w:proofErr w:type="spellStart"/>
      <w:r w:rsidRPr="00E625F3">
        <w:rPr>
          <w:rFonts w:ascii="Times New Roman" w:hAnsi="Times New Roman" w:cs="Times New Roman"/>
          <w:sz w:val="24"/>
          <w:szCs w:val="24"/>
        </w:rPr>
        <w:t>neighbouring</w:t>
      </w:r>
      <w:proofErr w:type="spellEnd"/>
      <w:r w:rsidRPr="00E625F3">
        <w:rPr>
          <w:rFonts w:ascii="Times New Roman" w:hAnsi="Times New Roman" w:cs="Times New Roman"/>
          <w:sz w:val="24"/>
          <w:szCs w:val="24"/>
        </w:rPr>
        <w:t xml:space="preserve"> Area 1 site. ExxonMobil lifted force majeure on 20 November 2025. Mozambican President Daniel Chapo has publicly targeted an ExxonMobil final investment decision by September 2026, describing the project as "the largest private investment on the African continent" at approximately $30bn (some reporting cites $20bn for the initial phase). First LNG is targeted for 2030.</w:t>
      </w:r>
    </w:p>
    <w:p w14:paraId="510FD3A7" w14:textId="77777777" w:rsidR="00E662A1" w:rsidRPr="00E625F3" w:rsidRDefault="00000000" w:rsidP="004C1873">
      <w:pPr>
        <w:pStyle w:val="ListParagraph"/>
        <w:numPr>
          <w:ilvl w:val="0"/>
          <w:numId w:val="2"/>
        </w:numPr>
        <w:spacing w:after="90" w:line="264" w:lineRule="auto"/>
        <w:jc w:val="both"/>
        <w:rPr>
          <w:rFonts w:ascii="Times New Roman" w:hAnsi="Times New Roman" w:cs="Times New Roman"/>
          <w:sz w:val="24"/>
          <w:szCs w:val="24"/>
        </w:rPr>
      </w:pPr>
      <w:r w:rsidRPr="00E625F3">
        <w:rPr>
          <w:rFonts w:ascii="Times New Roman" w:hAnsi="Times New Roman" w:cs="Times New Roman"/>
          <w:sz w:val="24"/>
          <w:szCs w:val="24"/>
        </w:rPr>
        <w:t>Area 4 concessionaire structure (Mozambique Rovuma Venture, MRV): Eni and ExxonMobil together with China National Petroleum Corporation (CNPC/CNODC) hold the bulk of the venture; other participants include Korea Gas Corporation (KOGAS), ADNOC/XRG, Galp Energia, and ENH, each typically holding 10% tranches.</w:t>
      </w:r>
    </w:p>
    <w:p w14:paraId="67379511" w14:textId="77777777" w:rsidR="00E662A1" w:rsidRPr="00E625F3" w:rsidRDefault="00000000" w:rsidP="004C1873">
      <w:pPr>
        <w:pStyle w:val="ListParagraph"/>
        <w:numPr>
          <w:ilvl w:val="0"/>
          <w:numId w:val="2"/>
        </w:numPr>
        <w:spacing w:after="90" w:line="264" w:lineRule="auto"/>
        <w:jc w:val="both"/>
        <w:rPr>
          <w:rFonts w:ascii="Times New Roman" w:hAnsi="Times New Roman" w:cs="Times New Roman"/>
          <w:sz w:val="24"/>
          <w:szCs w:val="24"/>
        </w:rPr>
      </w:pPr>
      <w:r w:rsidRPr="00E625F3">
        <w:rPr>
          <w:rFonts w:ascii="Times New Roman" w:hAnsi="Times New Roman" w:cs="Times New Roman"/>
          <w:sz w:val="24"/>
          <w:szCs w:val="24"/>
        </w:rPr>
        <w:t xml:space="preserve">Area 4 gas resource: approximately 85 </w:t>
      </w:r>
      <w:proofErr w:type="spellStart"/>
      <w:r w:rsidRPr="00E625F3">
        <w:rPr>
          <w:rFonts w:ascii="Times New Roman" w:hAnsi="Times New Roman" w:cs="Times New Roman"/>
          <w:sz w:val="24"/>
          <w:szCs w:val="24"/>
        </w:rPr>
        <w:t>Tcf</w:t>
      </w:r>
      <w:proofErr w:type="spellEnd"/>
      <w:r w:rsidRPr="00E625F3">
        <w:rPr>
          <w:rFonts w:ascii="Times New Roman" w:hAnsi="Times New Roman" w:cs="Times New Roman"/>
          <w:sz w:val="24"/>
          <w:szCs w:val="24"/>
        </w:rPr>
        <w:t xml:space="preserve"> of total resource, with roughly 21.7 </w:t>
      </w:r>
      <w:proofErr w:type="spellStart"/>
      <w:r w:rsidRPr="00E625F3">
        <w:rPr>
          <w:rFonts w:ascii="Times New Roman" w:hAnsi="Times New Roman" w:cs="Times New Roman"/>
          <w:sz w:val="24"/>
          <w:szCs w:val="24"/>
        </w:rPr>
        <w:t>Tcf</w:t>
      </w:r>
      <w:proofErr w:type="spellEnd"/>
      <w:r w:rsidRPr="00E625F3">
        <w:rPr>
          <w:rFonts w:ascii="Times New Roman" w:hAnsi="Times New Roman" w:cs="Times New Roman"/>
          <w:sz w:val="24"/>
          <w:szCs w:val="24"/>
        </w:rPr>
        <w:t xml:space="preserve"> reserved for the Rovuma LNG development.</w:t>
      </w:r>
    </w:p>
    <w:p w14:paraId="5A5EA07D" w14:textId="77777777" w:rsidR="00E662A1" w:rsidRPr="00E625F3" w:rsidRDefault="00000000" w:rsidP="004C1873">
      <w:pPr>
        <w:pStyle w:val="ListParagraph"/>
        <w:numPr>
          <w:ilvl w:val="0"/>
          <w:numId w:val="2"/>
        </w:numPr>
        <w:spacing w:after="90" w:line="264" w:lineRule="auto"/>
        <w:jc w:val="both"/>
        <w:rPr>
          <w:rFonts w:ascii="Times New Roman" w:hAnsi="Times New Roman" w:cs="Times New Roman"/>
          <w:sz w:val="24"/>
          <w:szCs w:val="24"/>
        </w:rPr>
      </w:pPr>
      <w:r w:rsidRPr="00E625F3">
        <w:rPr>
          <w:rFonts w:ascii="Times New Roman" w:hAnsi="Times New Roman" w:cs="Times New Roman"/>
          <w:sz w:val="24"/>
          <w:szCs w:val="24"/>
        </w:rPr>
        <w:t>FEED (front-end engineering design) was entered in August 2025 and is expected to run approximately 16 months, the final gating step before FID.</w:t>
      </w:r>
    </w:p>
    <w:p w14:paraId="7B3FCA27" w14:textId="6E5A53B4" w:rsidR="00E662A1" w:rsidRPr="00E625F3" w:rsidRDefault="00E625F3" w:rsidP="004C1873">
      <w:pPr>
        <w:pStyle w:val="Heading2"/>
        <w:spacing w:before="300" w:after="150"/>
        <w:jc w:val="both"/>
        <w:rPr>
          <w:rFonts w:ascii="Times New Roman" w:hAnsi="Times New Roman" w:cs="Times New Roman"/>
          <w:color w:val="auto"/>
          <w:sz w:val="24"/>
          <w:szCs w:val="24"/>
        </w:rPr>
      </w:pPr>
      <w:r w:rsidRPr="00E625F3">
        <w:rPr>
          <w:rFonts w:ascii="Times New Roman" w:hAnsi="Times New Roman" w:cs="Times New Roman"/>
          <w:b/>
          <w:bCs/>
          <w:color w:val="auto"/>
          <w:sz w:val="24"/>
          <w:szCs w:val="24"/>
        </w:rPr>
        <w:t>FUTURE PROSPECTS AND EXPLORATION UPSIDE</w:t>
      </w:r>
    </w:p>
    <w:p w14:paraId="593B25D7" w14:textId="77777777" w:rsidR="00E662A1" w:rsidRPr="00E625F3" w:rsidRDefault="00000000" w:rsidP="004C1873">
      <w:pPr>
        <w:pStyle w:val="ListParagraph"/>
        <w:numPr>
          <w:ilvl w:val="0"/>
          <w:numId w:val="2"/>
        </w:numPr>
        <w:spacing w:after="90" w:line="264" w:lineRule="auto"/>
        <w:jc w:val="both"/>
        <w:rPr>
          <w:rFonts w:ascii="Times New Roman" w:hAnsi="Times New Roman" w:cs="Times New Roman"/>
          <w:sz w:val="24"/>
          <w:szCs w:val="24"/>
        </w:rPr>
      </w:pPr>
      <w:r w:rsidRPr="00E625F3">
        <w:rPr>
          <w:rFonts w:ascii="Times New Roman" w:hAnsi="Times New Roman" w:cs="Times New Roman"/>
          <w:sz w:val="24"/>
          <w:szCs w:val="24"/>
        </w:rPr>
        <w:t xml:space="preserve">Additional exploration upside exists in the wider Rovuma Basin and adjacent acreage, though appraisal activity has been constrained by the multi-year security disruption; renewed drilling campaigns are expected to resume alongside construction </w:t>
      </w:r>
      <w:proofErr w:type="spellStart"/>
      <w:r w:rsidRPr="00E625F3">
        <w:rPr>
          <w:rFonts w:ascii="Times New Roman" w:hAnsi="Times New Roman" w:cs="Times New Roman"/>
          <w:sz w:val="24"/>
          <w:szCs w:val="24"/>
        </w:rPr>
        <w:t>remobilisation</w:t>
      </w:r>
      <w:proofErr w:type="spellEnd"/>
      <w:r w:rsidRPr="00E625F3">
        <w:rPr>
          <w:rFonts w:ascii="Times New Roman" w:hAnsi="Times New Roman" w:cs="Times New Roman"/>
          <w:sz w:val="24"/>
          <w:szCs w:val="24"/>
        </w:rPr>
        <w:t>.</w:t>
      </w:r>
    </w:p>
    <w:p w14:paraId="4D2783B1" w14:textId="77777777" w:rsidR="00E662A1" w:rsidRPr="00E625F3" w:rsidRDefault="00000000" w:rsidP="004C1873">
      <w:pPr>
        <w:pStyle w:val="ListParagraph"/>
        <w:numPr>
          <w:ilvl w:val="0"/>
          <w:numId w:val="2"/>
        </w:numPr>
        <w:spacing w:after="90" w:line="264" w:lineRule="auto"/>
        <w:jc w:val="both"/>
        <w:rPr>
          <w:rFonts w:ascii="Times New Roman" w:hAnsi="Times New Roman" w:cs="Times New Roman"/>
          <w:sz w:val="24"/>
          <w:szCs w:val="24"/>
        </w:rPr>
      </w:pPr>
      <w:r w:rsidRPr="00E625F3">
        <w:rPr>
          <w:rFonts w:ascii="Times New Roman" w:hAnsi="Times New Roman" w:cs="Times New Roman"/>
          <w:sz w:val="24"/>
          <w:szCs w:val="24"/>
        </w:rPr>
        <w:lastRenderedPageBreak/>
        <w:t>A potential third floating LNG unit at Area 4 has been publicly flagged by Eni as a longer-dated option, contingent on Coral Norte's execution and market conditions.</w:t>
      </w:r>
    </w:p>
    <w:p w14:paraId="7FF40E4A" w14:textId="77777777" w:rsidR="00E662A1" w:rsidRPr="00E625F3" w:rsidRDefault="00000000" w:rsidP="004C1873">
      <w:pPr>
        <w:pStyle w:val="ListParagraph"/>
        <w:numPr>
          <w:ilvl w:val="0"/>
          <w:numId w:val="2"/>
        </w:numPr>
        <w:spacing w:after="90" w:line="264" w:lineRule="auto"/>
        <w:jc w:val="both"/>
        <w:rPr>
          <w:rFonts w:ascii="Times New Roman" w:hAnsi="Times New Roman" w:cs="Times New Roman"/>
          <w:sz w:val="24"/>
          <w:szCs w:val="24"/>
        </w:rPr>
      </w:pPr>
      <w:r w:rsidRPr="00E625F3">
        <w:rPr>
          <w:rFonts w:ascii="Times New Roman" w:hAnsi="Times New Roman" w:cs="Times New Roman"/>
          <w:sz w:val="24"/>
          <w:szCs w:val="24"/>
        </w:rPr>
        <w:t>Southern Mozambique (Pande-</w:t>
      </w:r>
      <w:proofErr w:type="spellStart"/>
      <w:r w:rsidRPr="00E625F3">
        <w:rPr>
          <w:rFonts w:ascii="Times New Roman" w:hAnsi="Times New Roman" w:cs="Times New Roman"/>
          <w:sz w:val="24"/>
          <w:szCs w:val="24"/>
        </w:rPr>
        <w:t>Temane</w:t>
      </w:r>
      <w:proofErr w:type="spellEnd"/>
      <w:r w:rsidRPr="00E625F3">
        <w:rPr>
          <w:rFonts w:ascii="Times New Roman" w:hAnsi="Times New Roman" w:cs="Times New Roman"/>
          <w:sz w:val="24"/>
          <w:szCs w:val="24"/>
        </w:rPr>
        <w:t xml:space="preserve">, operated by Sasol) offers a smaller but strategically important near-term exploration and appraisal </w:t>
      </w:r>
      <w:proofErr w:type="spellStart"/>
      <w:r w:rsidRPr="00E625F3">
        <w:rPr>
          <w:rFonts w:ascii="Times New Roman" w:hAnsi="Times New Roman" w:cs="Times New Roman"/>
          <w:sz w:val="24"/>
          <w:szCs w:val="24"/>
        </w:rPr>
        <w:t>programme</w:t>
      </w:r>
      <w:proofErr w:type="spellEnd"/>
      <w:r w:rsidRPr="00E625F3">
        <w:rPr>
          <w:rFonts w:ascii="Times New Roman" w:hAnsi="Times New Roman" w:cs="Times New Roman"/>
          <w:sz w:val="24"/>
          <w:szCs w:val="24"/>
        </w:rPr>
        <w:t xml:space="preserve"> (e.g., the Bonito-1 discovery), aimed at extending domestic gas supply as legacy fields mature and decline.</w:t>
      </w:r>
    </w:p>
    <w:p w14:paraId="084EA2FB" w14:textId="77777777" w:rsidR="00E625F3" w:rsidRDefault="00E625F3" w:rsidP="004C1873">
      <w:pPr>
        <w:jc w:val="both"/>
        <w:rPr>
          <w:rFonts w:ascii="Times New Roman" w:hAnsi="Times New Roman" w:cs="Times New Roman"/>
          <w:sz w:val="24"/>
          <w:szCs w:val="24"/>
        </w:rPr>
      </w:pPr>
    </w:p>
    <w:p w14:paraId="1CB0FC6F" w14:textId="2D9D583B" w:rsidR="00E662A1" w:rsidRPr="00E625F3" w:rsidRDefault="00E625F3" w:rsidP="004C1873">
      <w:pPr>
        <w:jc w:val="both"/>
        <w:rPr>
          <w:rFonts w:ascii="Times New Roman" w:hAnsi="Times New Roman" w:cs="Times New Roman"/>
          <w:sz w:val="24"/>
          <w:szCs w:val="24"/>
        </w:rPr>
      </w:pPr>
      <w:r w:rsidRPr="00E625F3">
        <w:rPr>
          <w:rFonts w:ascii="Times New Roman" w:hAnsi="Times New Roman" w:cs="Times New Roman"/>
          <w:b/>
          <w:bCs/>
          <w:sz w:val="24"/>
          <w:szCs w:val="24"/>
        </w:rPr>
        <w:t>RESERVE QUALITY, PRODUCTION OUTLOOK AND INFRASTRUCTURE READINESS</w:t>
      </w:r>
    </w:p>
    <w:p w14:paraId="4CD0DDD4" w14:textId="77777777" w:rsidR="00E662A1" w:rsidRPr="00E625F3" w:rsidRDefault="00000000" w:rsidP="004C1873">
      <w:pPr>
        <w:pStyle w:val="Heading2"/>
        <w:spacing w:before="300" w:after="150"/>
        <w:jc w:val="both"/>
        <w:rPr>
          <w:rFonts w:ascii="Times New Roman" w:hAnsi="Times New Roman" w:cs="Times New Roman"/>
          <w:color w:val="auto"/>
          <w:sz w:val="24"/>
          <w:szCs w:val="24"/>
        </w:rPr>
      </w:pPr>
      <w:r w:rsidRPr="00E625F3">
        <w:rPr>
          <w:rFonts w:ascii="Times New Roman" w:hAnsi="Times New Roman" w:cs="Times New Roman"/>
          <w:b/>
          <w:bCs/>
          <w:color w:val="auto"/>
          <w:sz w:val="24"/>
          <w:szCs w:val="24"/>
        </w:rPr>
        <w:t>Reserve Quality</w:t>
      </w:r>
    </w:p>
    <w:p w14:paraId="03DAEE01" w14:textId="77777777" w:rsidR="00E662A1" w:rsidRPr="00E625F3" w:rsidRDefault="00000000" w:rsidP="004C1873">
      <w:pPr>
        <w:spacing w:after="180" w:line="276" w:lineRule="auto"/>
        <w:jc w:val="both"/>
        <w:rPr>
          <w:rFonts w:ascii="Times New Roman" w:hAnsi="Times New Roman" w:cs="Times New Roman"/>
          <w:sz w:val="24"/>
          <w:szCs w:val="24"/>
        </w:rPr>
      </w:pPr>
      <w:r w:rsidRPr="00E625F3">
        <w:rPr>
          <w:rFonts w:ascii="Times New Roman" w:hAnsi="Times New Roman" w:cs="Times New Roman"/>
          <w:sz w:val="24"/>
          <w:szCs w:val="24"/>
        </w:rPr>
        <w:t xml:space="preserve">Rovuma Basin reservoirs are </w:t>
      </w:r>
      <w:proofErr w:type="spellStart"/>
      <w:r w:rsidRPr="00E625F3">
        <w:rPr>
          <w:rFonts w:ascii="Times New Roman" w:hAnsi="Times New Roman" w:cs="Times New Roman"/>
          <w:sz w:val="24"/>
          <w:szCs w:val="24"/>
        </w:rPr>
        <w:t>characterised</w:t>
      </w:r>
      <w:proofErr w:type="spellEnd"/>
      <w:r w:rsidRPr="00E625F3">
        <w:rPr>
          <w:rFonts w:ascii="Times New Roman" w:hAnsi="Times New Roman" w:cs="Times New Roman"/>
          <w:sz w:val="24"/>
          <w:szCs w:val="24"/>
        </w:rPr>
        <w:t xml:space="preserve"> by high-deliverability, structurally simple offshore turbidite sands at water depths that are challenging but within the proven envelope of deepwater development (roughly 1,200–2,600 </w:t>
      </w:r>
      <w:proofErr w:type="spellStart"/>
      <w:r w:rsidRPr="00E625F3">
        <w:rPr>
          <w:rFonts w:ascii="Times New Roman" w:hAnsi="Times New Roman" w:cs="Times New Roman"/>
          <w:sz w:val="24"/>
          <w:szCs w:val="24"/>
        </w:rPr>
        <w:t>metres</w:t>
      </w:r>
      <w:proofErr w:type="spellEnd"/>
      <w:r w:rsidRPr="00E625F3">
        <w:rPr>
          <w:rFonts w:ascii="Times New Roman" w:hAnsi="Times New Roman" w:cs="Times New Roman"/>
          <w:sz w:val="24"/>
          <w:szCs w:val="24"/>
        </w:rPr>
        <w:t xml:space="preserve">). Reserve quality supports strong per-well flow rates and a </w:t>
      </w:r>
      <w:proofErr w:type="spellStart"/>
      <w:r w:rsidRPr="00E625F3">
        <w:rPr>
          <w:rFonts w:ascii="Times New Roman" w:hAnsi="Times New Roman" w:cs="Times New Roman"/>
          <w:sz w:val="24"/>
          <w:szCs w:val="24"/>
        </w:rPr>
        <w:t>favourable</w:t>
      </w:r>
      <w:proofErr w:type="spellEnd"/>
      <w:r w:rsidRPr="00E625F3">
        <w:rPr>
          <w:rFonts w:ascii="Times New Roman" w:hAnsi="Times New Roman" w:cs="Times New Roman"/>
          <w:sz w:val="24"/>
          <w:szCs w:val="24"/>
        </w:rPr>
        <w:t xml:space="preserve"> condensate yield, improving project economics relative to drier, lower-deliverability basins. The combination of Area 1 and Area 4 resource (approximately 160–180 </w:t>
      </w:r>
      <w:proofErr w:type="spellStart"/>
      <w:r w:rsidRPr="00E625F3">
        <w:rPr>
          <w:rFonts w:ascii="Times New Roman" w:hAnsi="Times New Roman" w:cs="Times New Roman"/>
          <w:sz w:val="24"/>
          <w:szCs w:val="24"/>
        </w:rPr>
        <w:t>Tcf</w:t>
      </w:r>
      <w:proofErr w:type="spellEnd"/>
      <w:r w:rsidRPr="00E625F3">
        <w:rPr>
          <w:rFonts w:ascii="Times New Roman" w:hAnsi="Times New Roman" w:cs="Times New Roman"/>
          <w:sz w:val="24"/>
          <w:szCs w:val="24"/>
        </w:rPr>
        <w:t>, per Mozambican government and industry disclosures) ranks among the largest under-</w:t>
      </w:r>
      <w:proofErr w:type="spellStart"/>
      <w:r w:rsidRPr="00E625F3">
        <w:rPr>
          <w:rFonts w:ascii="Times New Roman" w:hAnsi="Times New Roman" w:cs="Times New Roman"/>
          <w:sz w:val="24"/>
          <w:szCs w:val="24"/>
        </w:rPr>
        <w:t>monetised</w:t>
      </w:r>
      <w:proofErr w:type="spellEnd"/>
      <w:r w:rsidRPr="00E625F3">
        <w:rPr>
          <w:rFonts w:ascii="Times New Roman" w:hAnsi="Times New Roman" w:cs="Times New Roman"/>
          <w:sz w:val="24"/>
          <w:szCs w:val="24"/>
        </w:rPr>
        <w:t xml:space="preserve"> gas resources globally, comparable in scale to entire national gas endowments elsewhere in Africa.</w:t>
      </w:r>
    </w:p>
    <w:p w14:paraId="00E943A1" w14:textId="77777777" w:rsidR="00E662A1" w:rsidRPr="00E625F3" w:rsidRDefault="00000000" w:rsidP="004C1873">
      <w:pPr>
        <w:pStyle w:val="Heading2"/>
        <w:spacing w:before="300" w:after="150"/>
        <w:jc w:val="both"/>
        <w:rPr>
          <w:rFonts w:ascii="Times New Roman" w:hAnsi="Times New Roman" w:cs="Times New Roman"/>
          <w:color w:val="auto"/>
          <w:sz w:val="24"/>
          <w:szCs w:val="24"/>
        </w:rPr>
      </w:pPr>
      <w:r w:rsidRPr="00E625F3">
        <w:rPr>
          <w:rFonts w:ascii="Times New Roman" w:hAnsi="Times New Roman" w:cs="Times New Roman"/>
          <w:b/>
          <w:bCs/>
          <w:color w:val="auto"/>
          <w:sz w:val="24"/>
          <w:szCs w:val="24"/>
        </w:rPr>
        <w:t>Production Outlook</w:t>
      </w:r>
    </w:p>
    <w:tbl>
      <w:tblPr>
        <w:tblStyle w:val="TableGrid"/>
        <w:tblW w:w="8995" w:type="dxa"/>
        <w:tblLook w:val="04A0" w:firstRow="1" w:lastRow="0" w:firstColumn="1" w:lastColumn="0" w:noHBand="0" w:noVBand="1"/>
      </w:tblPr>
      <w:tblGrid>
        <w:gridCol w:w="2965"/>
        <w:gridCol w:w="1530"/>
        <w:gridCol w:w="2705"/>
        <w:gridCol w:w="1795"/>
      </w:tblGrid>
      <w:tr w:rsidR="00E625F3" w:rsidRPr="00E625F3" w14:paraId="6D3C1773" w14:textId="77777777" w:rsidTr="00E625F3">
        <w:tc>
          <w:tcPr>
            <w:tcW w:w="2965" w:type="dxa"/>
          </w:tcPr>
          <w:p w14:paraId="0FD431DC"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b/>
                <w:bCs/>
                <w:sz w:val="24"/>
                <w:szCs w:val="24"/>
              </w:rPr>
              <w:t>Asset</w:t>
            </w:r>
          </w:p>
        </w:tc>
        <w:tc>
          <w:tcPr>
            <w:tcW w:w="1530" w:type="dxa"/>
          </w:tcPr>
          <w:p w14:paraId="5A898B81"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b/>
                <w:bCs/>
                <w:sz w:val="24"/>
                <w:szCs w:val="24"/>
              </w:rPr>
              <w:t>Capacity</w:t>
            </w:r>
          </w:p>
        </w:tc>
        <w:tc>
          <w:tcPr>
            <w:tcW w:w="2705" w:type="dxa"/>
          </w:tcPr>
          <w:p w14:paraId="69B9BD3F"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b/>
                <w:bCs/>
                <w:sz w:val="24"/>
                <w:szCs w:val="24"/>
              </w:rPr>
              <w:t>Status (mid-2026)</w:t>
            </w:r>
          </w:p>
        </w:tc>
        <w:tc>
          <w:tcPr>
            <w:tcW w:w="1795" w:type="dxa"/>
          </w:tcPr>
          <w:p w14:paraId="159E1945"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b/>
                <w:bCs/>
                <w:sz w:val="24"/>
                <w:szCs w:val="24"/>
              </w:rPr>
              <w:t>First/current production</w:t>
            </w:r>
          </w:p>
        </w:tc>
      </w:tr>
      <w:tr w:rsidR="00E625F3" w:rsidRPr="00E625F3" w14:paraId="5C1DA332" w14:textId="77777777" w:rsidTr="00E625F3">
        <w:tc>
          <w:tcPr>
            <w:tcW w:w="2965" w:type="dxa"/>
          </w:tcPr>
          <w:p w14:paraId="355C7723"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Coral Sul FLNG (Area 4)</w:t>
            </w:r>
          </w:p>
        </w:tc>
        <w:tc>
          <w:tcPr>
            <w:tcW w:w="1530" w:type="dxa"/>
          </w:tcPr>
          <w:p w14:paraId="375343F8"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3.4 Mtpa</w:t>
            </w:r>
          </w:p>
        </w:tc>
        <w:tc>
          <w:tcPr>
            <w:tcW w:w="2705" w:type="dxa"/>
          </w:tcPr>
          <w:p w14:paraId="10635B29"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Operating</w:t>
            </w:r>
          </w:p>
        </w:tc>
        <w:tc>
          <w:tcPr>
            <w:tcW w:w="1795" w:type="dxa"/>
          </w:tcPr>
          <w:p w14:paraId="4EACF41C"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2022</w:t>
            </w:r>
          </w:p>
        </w:tc>
      </w:tr>
      <w:tr w:rsidR="00E625F3" w:rsidRPr="00E625F3" w14:paraId="57623E90" w14:textId="77777777" w:rsidTr="00E625F3">
        <w:tc>
          <w:tcPr>
            <w:tcW w:w="2965" w:type="dxa"/>
          </w:tcPr>
          <w:p w14:paraId="780AAAE0"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Coral Norte FLNG (Area 4)</w:t>
            </w:r>
          </w:p>
        </w:tc>
        <w:tc>
          <w:tcPr>
            <w:tcW w:w="1530" w:type="dxa"/>
          </w:tcPr>
          <w:p w14:paraId="4C4A3AED"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3.5 Mtpa</w:t>
            </w:r>
          </w:p>
        </w:tc>
        <w:tc>
          <w:tcPr>
            <w:tcW w:w="2705" w:type="dxa"/>
          </w:tcPr>
          <w:p w14:paraId="56C37122"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FID Oct-2025, construction</w:t>
            </w:r>
          </w:p>
        </w:tc>
        <w:tc>
          <w:tcPr>
            <w:tcW w:w="1795" w:type="dxa"/>
          </w:tcPr>
          <w:p w14:paraId="22D819CB"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~2028</w:t>
            </w:r>
          </w:p>
        </w:tc>
      </w:tr>
      <w:tr w:rsidR="00E625F3" w:rsidRPr="00E625F3" w14:paraId="4EC784A0" w14:textId="77777777" w:rsidTr="00E625F3">
        <w:tc>
          <w:tcPr>
            <w:tcW w:w="2965" w:type="dxa"/>
          </w:tcPr>
          <w:p w14:paraId="6F06EE88"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Mozambique LNG (Area 1)</w:t>
            </w:r>
          </w:p>
        </w:tc>
        <w:tc>
          <w:tcPr>
            <w:tcW w:w="1530" w:type="dxa"/>
          </w:tcPr>
          <w:p w14:paraId="77F9B789"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13.1 Mtpa</w:t>
            </w:r>
          </w:p>
        </w:tc>
        <w:tc>
          <w:tcPr>
            <w:tcW w:w="2705" w:type="dxa"/>
          </w:tcPr>
          <w:p w14:paraId="420304C5"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Under construction (restarted Jan-2026)</w:t>
            </w:r>
          </w:p>
        </w:tc>
        <w:tc>
          <w:tcPr>
            <w:tcW w:w="1795" w:type="dxa"/>
          </w:tcPr>
          <w:p w14:paraId="08DAD91B"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~2029</w:t>
            </w:r>
          </w:p>
        </w:tc>
      </w:tr>
      <w:tr w:rsidR="00E625F3" w:rsidRPr="00E625F3" w14:paraId="14273925" w14:textId="77777777" w:rsidTr="00E625F3">
        <w:tc>
          <w:tcPr>
            <w:tcW w:w="2965" w:type="dxa"/>
          </w:tcPr>
          <w:p w14:paraId="5737C138"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Rovuma LNG (Area 4)</w:t>
            </w:r>
          </w:p>
        </w:tc>
        <w:tc>
          <w:tcPr>
            <w:tcW w:w="1530" w:type="dxa"/>
          </w:tcPr>
          <w:p w14:paraId="10FC6C0B"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18.0 Mtpa</w:t>
            </w:r>
          </w:p>
        </w:tc>
        <w:tc>
          <w:tcPr>
            <w:tcW w:w="2705" w:type="dxa"/>
          </w:tcPr>
          <w:p w14:paraId="3EC9AEA6"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FEED; FID targeted 2H-2026</w:t>
            </w:r>
          </w:p>
        </w:tc>
        <w:tc>
          <w:tcPr>
            <w:tcW w:w="1795" w:type="dxa"/>
          </w:tcPr>
          <w:p w14:paraId="5A3DE92D"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~2030</w:t>
            </w:r>
          </w:p>
        </w:tc>
      </w:tr>
      <w:tr w:rsidR="00E625F3" w:rsidRPr="00E625F3" w14:paraId="57B27D3C" w14:textId="77777777" w:rsidTr="00E625F3">
        <w:tc>
          <w:tcPr>
            <w:tcW w:w="2965" w:type="dxa"/>
          </w:tcPr>
          <w:p w14:paraId="3FC7F318"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Pande-</w:t>
            </w:r>
            <w:proofErr w:type="spellStart"/>
            <w:r w:rsidRPr="00E625F3">
              <w:rPr>
                <w:rFonts w:ascii="Times New Roman" w:hAnsi="Times New Roman" w:cs="Times New Roman"/>
                <w:sz w:val="24"/>
                <w:szCs w:val="24"/>
              </w:rPr>
              <w:t>Temane</w:t>
            </w:r>
            <w:proofErr w:type="spellEnd"/>
            <w:r w:rsidRPr="00E625F3">
              <w:rPr>
                <w:rFonts w:ascii="Times New Roman" w:hAnsi="Times New Roman" w:cs="Times New Roman"/>
                <w:sz w:val="24"/>
                <w:szCs w:val="24"/>
              </w:rPr>
              <w:t xml:space="preserve"> (onshore, domestic)</w:t>
            </w:r>
          </w:p>
        </w:tc>
        <w:tc>
          <w:tcPr>
            <w:tcW w:w="1530" w:type="dxa"/>
          </w:tcPr>
          <w:p w14:paraId="74C5B176"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 xml:space="preserve">~1.7 </w:t>
            </w:r>
            <w:proofErr w:type="spellStart"/>
            <w:r w:rsidRPr="00E625F3">
              <w:rPr>
                <w:rFonts w:ascii="Times New Roman" w:hAnsi="Times New Roman" w:cs="Times New Roman"/>
                <w:sz w:val="24"/>
                <w:szCs w:val="24"/>
              </w:rPr>
              <w:t>Tcf</w:t>
            </w:r>
            <w:proofErr w:type="spellEnd"/>
            <w:r w:rsidRPr="00E625F3">
              <w:rPr>
                <w:rFonts w:ascii="Times New Roman" w:hAnsi="Times New Roman" w:cs="Times New Roman"/>
                <w:sz w:val="24"/>
                <w:szCs w:val="24"/>
              </w:rPr>
              <w:t xml:space="preserve"> remaining</w:t>
            </w:r>
          </w:p>
        </w:tc>
        <w:tc>
          <w:tcPr>
            <w:tcW w:w="2705" w:type="dxa"/>
          </w:tcPr>
          <w:p w14:paraId="5F360296"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Producing, declining</w:t>
            </w:r>
          </w:p>
        </w:tc>
        <w:tc>
          <w:tcPr>
            <w:tcW w:w="1795" w:type="dxa"/>
          </w:tcPr>
          <w:p w14:paraId="360E251C"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Ongoing; RSA exports ceasing ~mid-2026</w:t>
            </w:r>
          </w:p>
        </w:tc>
      </w:tr>
    </w:tbl>
    <w:p w14:paraId="757B4D5F" w14:textId="4BCF3EF7" w:rsidR="00E662A1" w:rsidRPr="00E625F3" w:rsidRDefault="00000000" w:rsidP="004C1873">
      <w:pPr>
        <w:spacing w:before="80" w:after="260"/>
        <w:jc w:val="both"/>
        <w:rPr>
          <w:rFonts w:ascii="Times New Roman" w:hAnsi="Times New Roman" w:cs="Times New Roman"/>
          <w:sz w:val="24"/>
          <w:szCs w:val="24"/>
        </w:rPr>
      </w:pPr>
      <w:r w:rsidRPr="00E625F3">
        <w:rPr>
          <w:rFonts w:ascii="Times New Roman" w:hAnsi="Times New Roman" w:cs="Times New Roman"/>
          <w:sz w:val="24"/>
          <w:szCs w:val="24"/>
        </w:rPr>
        <w:t>Rovuma Basin and Pande-</w:t>
      </w:r>
      <w:proofErr w:type="spellStart"/>
      <w:r w:rsidRPr="00E625F3">
        <w:rPr>
          <w:rFonts w:ascii="Times New Roman" w:hAnsi="Times New Roman" w:cs="Times New Roman"/>
          <w:sz w:val="24"/>
          <w:szCs w:val="24"/>
        </w:rPr>
        <w:t>Temane</w:t>
      </w:r>
      <w:proofErr w:type="spellEnd"/>
      <w:r w:rsidRPr="00E625F3">
        <w:rPr>
          <w:rFonts w:ascii="Times New Roman" w:hAnsi="Times New Roman" w:cs="Times New Roman"/>
          <w:sz w:val="24"/>
          <w:szCs w:val="24"/>
        </w:rPr>
        <w:t xml:space="preserve"> project status, mid-2026. Source: TotalEnergies, ExxonMobil/Eni, Eni, ENH, Sasol disclosures.</w:t>
      </w:r>
    </w:p>
    <w:p w14:paraId="165428E7" w14:textId="77777777" w:rsidR="00E662A1" w:rsidRPr="00E625F3" w:rsidRDefault="00000000" w:rsidP="004C1873">
      <w:pPr>
        <w:spacing w:after="180" w:line="276" w:lineRule="auto"/>
        <w:jc w:val="both"/>
        <w:rPr>
          <w:rFonts w:ascii="Times New Roman" w:hAnsi="Times New Roman" w:cs="Times New Roman"/>
          <w:sz w:val="24"/>
          <w:szCs w:val="24"/>
        </w:rPr>
      </w:pPr>
      <w:r w:rsidRPr="00E625F3">
        <w:rPr>
          <w:rFonts w:ascii="Times New Roman" w:hAnsi="Times New Roman" w:cs="Times New Roman"/>
          <w:sz w:val="24"/>
          <w:szCs w:val="24"/>
        </w:rPr>
        <w:t xml:space="preserve">On a fully sanctioned basis, the basin's LNG nameplate capacity reaches approximately 38 Mtpa by the early 2030s (Coral Sul, Coral Norte, Area 1 and Area 4 combined), which would represent a roughly eightfold increase in Mozambican LNG output from 2026 levels. This buildout profile is unusually compressed for a frontier basin, concentrating construction, workforce, and financing demand across a five-year window (2026–2030) — a scheduling risk in its own right, given competition for EPC contractor capacity, skilled </w:t>
      </w:r>
      <w:proofErr w:type="spellStart"/>
      <w:r w:rsidRPr="00E625F3">
        <w:rPr>
          <w:rFonts w:ascii="Times New Roman" w:hAnsi="Times New Roman" w:cs="Times New Roman"/>
          <w:sz w:val="24"/>
          <w:szCs w:val="24"/>
        </w:rPr>
        <w:t>labour</w:t>
      </w:r>
      <w:proofErr w:type="spellEnd"/>
      <w:r w:rsidRPr="00E625F3">
        <w:rPr>
          <w:rFonts w:ascii="Times New Roman" w:hAnsi="Times New Roman" w:cs="Times New Roman"/>
          <w:sz w:val="24"/>
          <w:szCs w:val="24"/>
        </w:rPr>
        <w:t xml:space="preserve"> and </w:t>
      </w:r>
      <w:proofErr w:type="spellStart"/>
      <w:r w:rsidRPr="00E625F3">
        <w:rPr>
          <w:rFonts w:ascii="Times New Roman" w:hAnsi="Times New Roman" w:cs="Times New Roman"/>
          <w:sz w:val="24"/>
          <w:szCs w:val="24"/>
        </w:rPr>
        <w:t>specialised</w:t>
      </w:r>
      <w:proofErr w:type="spellEnd"/>
      <w:r w:rsidRPr="00E625F3">
        <w:rPr>
          <w:rFonts w:ascii="Times New Roman" w:hAnsi="Times New Roman" w:cs="Times New Roman"/>
          <w:sz w:val="24"/>
          <w:szCs w:val="24"/>
        </w:rPr>
        <w:t xml:space="preserve"> marine construction assets across simultaneous projects at a single site cluster (</w:t>
      </w:r>
      <w:proofErr w:type="spellStart"/>
      <w:r w:rsidRPr="00E625F3">
        <w:rPr>
          <w:rFonts w:ascii="Times New Roman" w:hAnsi="Times New Roman" w:cs="Times New Roman"/>
          <w:sz w:val="24"/>
          <w:szCs w:val="24"/>
        </w:rPr>
        <w:t>Afungi</w:t>
      </w:r>
      <w:proofErr w:type="spellEnd"/>
      <w:r w:rsidRPr="00E625F3">
        <w:rPr>
          <w:rFonts w:ascii="Times New Roman" w:hAnsi="Times New Roman" w:cs="Times New Roman"/>
          <w:sz w:val="24"/>
          <w:szCs w:val="24"/>
        </w:rPr>
        <w:t>).</w:t>
      </w:r>
    </w:p>
    <w:p w14:paraId="35B1F545" w14:textId="77777777" w:rsidR="00E662A1" w:rsidRPr="00E625F3" w:rsidRDefault="00000000" w:rsidP="004C1873">
      <w:pPr>
        <w:pStyle w:val="Heading2"/>
        <w:spacing w:before="300" w:after="150"/>
        <w:jc w:val="both"/>
        <w:rPr>
          <w:rFonts w:ascii="Times New Roman" w:hAnsi="Times New Roman" w:cs="Times New Roman"/>
          <w:color w:val="auto"/>
          <w:sz w:val="24"/>
          <w:szCs w:val="24"/>
        </w:rPr>
      </w:pPr>
      <w:r w:rsidRPr="00E625F3">
        <w:rPr>
          <w:rFonts w:ascii="Times New Roman" w:hAnsi="Times New Roman" w:cs="Times New Roman"/>
          <w:b/>
          <w:bCs/>
          <w:color w:val="auto"/>
          <w:sz w:val="24"/>
          <w:szCs w:val="24"/>
        </w:rPr>
        <w:t>Infrastructure Readiness</w:t>
      </w:r>
    </w:p>
    <w:p w14:paraId="071B1942" w14:textId="77777777" w:rsidR="00E662A1" w:rsidRPr="00E625F3" w:rsidRDefault="00000000" w:rsidP="004C1873">
      <w:pPr>
        <w:pStyle w:val="ListParagraph"/>
        <w:numPr>
          <w:ilvl w:val="0"/>
          <w:numId w:val="2"/>
        </w:numPr>
        <w:spacing w:after="90" w:line="264" w:lineRule="auto"/>
        <w:jc w:val="both"/>
        <w:rPr>
          <w:rFonts w:ascii="Times New Roman" w:hAnsi="Times New Roman" w:cs="Times New Roman"/>
          <w:sz w:val="24"/>
          <w:szCs w:val="24"/>
        </w:rPr>
      </w:pPr>
      <w:proofErr w:type="spellStart"/>
      <w:r w:rsidRPr="00E625F3">
        <w:rPr>
          <w:rFonts w:ascii="Times New Roman" w:hAnsi="Times New Roman" w:cs="Times New Roman"/>
          <w:sz w:val="24"/>
          <w:szCs w:val="24"/>
        </w:rPr>
        <w:lastRenderedPageBreak/>
        <w:t>Afungi</w:t>
      </w:r>
      <w:proofErr w:type="spellEnd"/>
      <w:r w:rsidRPr="00E625F3">
        <w:rPr>
          <w:rFonts w:ascii="Times New Roman" w:hAnsi="Times New Roman" w:cs="Times New Roman"/>
          <w:sz w:val="24"/>
          <w:szCs w:val="24"/>
        </w:rPr>
        <w:t xml:space="preserve"> shared-user site: Area 1 and Area 4 onshore trains share port, workforce accommodation, and some utility infrastructure at </w:t>
      </w:r>
      <w:proofErr w:type="spellStart"/>
      <w:r w:rsidRPr="00E625F3">
        <w:rPr>
          <w:rFonts w:ascii="Times New Roman" w:hAnsi="Times New Roman" w:cs="Times New Roman"/>
          <w:sz w:val="24"/>
          <w:szCs w:val="24"/>
        </w:rPr>
        <w:t>Afungi</w:t>
      </w:r>
      <w:proofErr w:type="spellEnd"/>
      <w:r w:rsidRPr="00E625F3">
        <w:rPr>
          <w:rFonts w:ascii="Times New Roman" w:hAnsi="Times New Roman" w:cs="Times New Roman"/>
          <w:sz w:val="24"/>
          <w:szCs w:val="24"/>
        </w:rPr>
        <w:t>, creating both cost synergies and single-point execution risk.</w:t>
      </w:r>
    </w:p>
    <w:p w14:paraId="35A4AD81" w14:textId="77777777" w:rsidR="00E662A1" w:rsidRPr="00E625F3" w:rsidRDefault="00000000" w:rsidP="004C1873">
      <w:pPr>
        <w:pStyle w:val="ListParagraph"/>
        <w:numPr>
          <w:ilvl w:val="0"/>
          <w:numId w:val="2"/>
        </w:numPr>
        <w:spacing w:after="90" w:line="264" w:lineRule="auto"/>
        <w:jc w:val="both"/>
        <w:rPr>
          <w:rFonts w:ascii="Times New Roman" w:hAnsi="Times New Roman" w:cs="Times New Roman"/>
          <w:sz w:val="24"/>
          <w:szCs w:val="24"/>
        </w:rPr>
      </w:pPr>
      <w:r w:rsidRPr="00E625F3">
        <w:rPr>
          <w:rFonts w:ascii="Times New Roman" w:hAnsi="Times New Roman" w:cs="Times New Roman"/>
          <w:sz w:val="24"/>
          <w:szCs w:val="24"/>
        </w:rPr>
        <w:t xml:space="preserve">Power grid: Mozambique's domestic transmission grid remains under-built relative to the gas resource available; the 450MW </w:t>
      </w:r>
      <w:proofErr w:type="spellStart"/>
      <w:r w:rsidRPr="00E625F3">
        <w:rPr>
          <w:rFonts w:ascii="Times New Roman" w:hAnsi="Times New Roman" w:cs="Times New Roman"/>
          <w:sz w:val="24"/>
          <w:szCs w:val="24"/>
        </w:rPr>
        <w:t>Temane</w:t>
      </w:r>
      <w:proofErr w:type="spellEnd"/>
      <w:r w:rsidRPr="00E625F3">
        <w:rPr>
          <w:rFonts w:ascii="Times New Roman" w:hAnsi="Times New Roman" w:cs="Times New Roman"/>
          <w:sz w:val="24"/>
          <w:szCs w:val="24"/>
        </w:rPr>
        <w:t xml:space="preserve"> CCGT (Central </w:t>
      </w:r>
      <w:proofErr w:type="spellStart"/>
      <w:r w:rsidRPr="00E625F3">
        <w:rPr>
          <w:rFonts w:ascii="Times New Roman" w:hAnsi="Times New Roman" w:cs="Times New Roman"/>
          <w:sz w:val="24"/>
          <w:szCs w:val="24"/>
        </w:rPr>
        <w:t>Térmica</w:t>
      </w:r>
      <w:proofErr w:type="spellEnd"/>
      <w:r w:rsidRPr="00E625F3">
        <w:rPr>
          <w:rFonts w:ascii="Times New Roman" w:hAnsi="Times New Roman" w:cs="Times New Roman"/>
          <w:sz w:val="24"/>
          <w:szCs w:val="24"/>
        </w:rPr>
        <w:t xml:space="preserve"> de </w:t>
      </w:r>
      <w:proofErr w:type="spellStart"/>
      <w:r w:rsidRPr="00E625F3">
        <w:rPr>
          <w:rFonts w:ascii="Times New Roman" w:hAnsi="Times New Roman" w:cs="Times New Roman"/>
          <w:sz w:val="24"/>
          <w:szCs w:val="24"/>
        </w:rPr>
        <w:t>Temane</w:t>
      </w:r>
      <w:proofErr w:type="spellEnd"/>
      <w:r w:rsidRPr="00E625F3">
        <w:rPr>
          <w:rFonts w:ascii="Times New Roman" w:hAnsi="Times New Roman" w:cs="Times New Roman"/>
          <w:sz w:val="24"/>
          <w:szCs w:val="24"/>
        </w:rPr>
        <w:t xml:space="preserve">) and a proposed 2GW </w:t>
      </w:r>
      <w:proofErr w:type="spellStart"/>
      <w:r w:rsidRPr="00E625F3">
        <w:rPr>
          <w:rFonts w:ascii="Times New Roman" w:hAnsi="Times New Roman" w:cs="Times New Roman"/>
          <w:sz w:val="24"/>
          <w:szCs w:val="24"/>
        </w:rPr>
        <w:t>Beluluane</w:t>
      </w:r>
      <w:proofErr w:type="spellEnd"/>
      <w:r w:rsidRPr="00E625F3">
        <w:rPr>
          <w:rFonts w:ascii="Times New Roman" w:hAnsi="Times New Roman" w:cs="Times New Roman"/>
          <w:sz w:val="24"/>
          <w:szCs w:val="24"/>
        </w:rPr>
        <w:t xml:space="preserve"> thermal plant are the leading edge of a gas-to-power buildout, but grid interconnection and transmission capacity to demand </w:t>
      </w:r>
      <w:proofErr w:type="spellStart"/>
      <w:r w:rsidRPr="00E625F3">
        <w:rPr>
          <w:rFonts w:ascii="Times New Roman" w:hAnsi="Times New Roman" w:cs="Times New Roman"/>
          <w:sz w:val="24"/>
          <w:szCs w:val="24"/>
        </w:rPr>
        <w:t>centres</w:t>
      </w:r>
      <w:proofErr w:type="spellEnd"/>
      <w:r w:rsidRPr="00E625F3">
        <w:rPr>
          <w:rFonts w:ascii="Times New Roman" w:hAnsi="Times New Roman" w:cs="Times New Roman"/>
          <w:sz w:val="24"/>
          <w:szCs w:val="24"/>
        </w:rPr>
        <w:t xml:space="preserve"> (Maputo, southern industrial corridor, and eventually the north) remain a binding constraint.</w:t>
      </w:r>
    </w:p>
    <w:p w14:paraId="09A0EE01" w14:textId="77777777" w:rsidR="00E662A1" w:rsidRPr="00E625F3" w:rsidRDefault="00000000" w:rsidP="004C1873">
      <w:pPr>
        <w:pStyle w:val="ListParagraph"/>
        <w:numPr>
          <w:ilvl w:val="0"/>
          <w:numId w:val="2"/>
        </w:numPr>
        <w:spacing w:after="90" w:line="264" w:lineRule="auto"/>
        <w:jc w:val="both"/>
        <w:rPr>
          <w:rFonts w:ascii="Times New Roman" w:hAnsi="Times New Roman" w:cs="Times New Roman"/>
          <w:sz w:val="24"/>
          <w:szCs w:val="24"/>
        </w:rPr>
      </w:pPr>
      <w:r w:rsidRPr="00E625F3">
        <w:rPr>
          <w:rFonts w:ascii="Times New Roman" w:hAnsi="Times New Roman" w:cs="Times New Roman"/>
          <w:sz w:val="24"/>
          <w:szCs w:val="24"/>
        </w:rPr>
        <w:t>Pipeline network: The existing ROMPCO pipeline (Mozambique–South Africa) and the Matola FSRU import terminal (targeted for operations in 2026–27) will maintain southern regional gas supply as Pande-</w:t>
      </w:r>
      <w:proofErr w:type="spellStart"/>
      <w:r w:rsidRPr="00E625F3">
        <w:rPr>
          <w:rFonts w:ascii="Times New Roman" w:hAnsi="Times New Roman" w:cs="Times New Roman"/>
          <w:sz w:val="24"/>
          <w:szCs w:val="24"/>
        </w:rPr>
        <w:t>Temane</w:t>
      </w:r>
      <w:proofErr w:type="spellEnd"/>
      <w:r w:rsidRPr="00E625F3">
        <w:rPr>
          <w:rFonts w:ascii="Times New Roman" w:hAnsi="Times New Roman" w:cs="Times New Roman"/>
          <w:sz w:val="24"/>
          <w:szCs w:val="24"/>
        </w:rPr>
        <w:t xml:space="preserve"> declines, but there is no existing pipeline connection between the Rovuma Basin in the north and demand </w:t>
      </w:r>
      <w:proofErr w:type="spellStart"/>
      <w:r w:rsidRPr="00E625F3">
        <w:rPr>
          <w:rFonts w:ascii="Times New Roman" w:hAnsi="Times New Roman" w:cs="Times New Roman"/>
          <w:sz w:val="24"/>
          <w:szCs w:val="24"/>
        </w:rPr>
        <w:t>centres</w:t>
      </w:r>
      <w:proofErr w:type="spellEnd"/>
      <w:r w:rsidRPr="00E625F3">
        <w:rPr>
          <w:rFonts w:ascii="Times New Roman" w:hAnsi="Times New Roman" w:cs="Times New Roman"/>
          <w:sz w:val="24"/>
          <w:szCs w:val="24"/>
        </w:rPr>
        <w:t xml:space="preserve"> in the south — the proposed 2,600km North-South pipeline remains at a conceptual/feasibility stage.</w:t>
      </w:r>
    </w:p>
    <w:p w14:paraId="7DD7626B" w14:textId="77777777" w:rsidR="00E662A1" w:rsidRPr="00E625F3" w:rsidRDefault="00000000" w:rsidP="004C1873">
      <w:pPr>
        <w:pStyle w:val="ListParagraph"/>
        <w:numPr>
          <w:ilvl w:val="0"/>
          <w:numId w:val="2"/>
        </w:numPr>
        <w:spacing w:after="90" w:line="264" w:lineRule="auto"/>
        <w:jc w:val="both"/>
        <w:rPr>
          <w:rFonts w:ascii="Times New Roman" w:hAnsi="Times New Roman" w:cs="Times New Roman"/>
          <w:sz w:val="24"/>
          <w:szCs w:val="24"/>
        </w:rPr>
      </w:pPr>
      <w:r w:rsidRPr="00E625F3">
        <w:rPr>
          <w:rFonts w:ascii="Times New Roman" w:hAnsi="Times New Roman" w:cs="Times New Roman"/>
          <w:sz w:val="24"/>
          <w:szCs w:val="24"/>
        </w:rPr>
        <w:t>Port and marine infrastructure at Palma/</w:t>
      </w:r>
      <w:proofErr w:type="spellStart"/>
      <w:r w:rsidRPr="00E625F3">
        <w:rPr>
          <w:rFonts w:ascii="Times New Roman" w:hAnsi="Times New Roman" w:cs="Times New Roman"/>
          <w:sz w:val="24"/>
          <w:szCs w:val="24"/>
        </w:rPr>
        <w:t>Afungi</w:t>
      </w:r>
      <w:proofErr w:type="spellEnd"/>
      <w:r w:rsidRPr="00E625F3">
        <w:rPr>
          <w:rFonts w:ascii="Times New Roman" w:hAnsi="Times New Roman" w:cs="Times New Roman"/>
          <w:sz w:val="24"/>
          <w:szCs w:val="24"/>
        </w:rPr>
        <w:t xml:space="preserve"> has been rebuilt and hardened following the 2021 attack, with materially upgraded security perimeter and logistics capacity to support the compressed construction schedule.</w:t>
      </w:r>
    </w:p>
    <w:p w14:paraId="7BAEC221" w14:textId="77777777" w:rsidR="00E625F3" w:rsidRDefault="00E625F3" w:rsidP="004C1873">
      <w:pPr>
        <w:jc w:val="both"/>
        <w:rPr>
          <w:rFonts w:ascii="Times New Roman" w:hAnsi="Times New Roman" w:cs="Times New Roman"/>
          <w:sz w:val="24"/>
          <w:szCs w:val="24"/>
        </w:rPr>
      </w:pPr>
    </w:p>
    <w:p w14:paraId="32738CB8" w14:textId="2A7F961E" w:rsidR="00E662A1" w:rsidRPr="00E625F3" w:rsidRDefault="00E625F3" w:rsidP="004C1873">
      <w:pPr>
        <w:jc w:val="both"/>
        <w:rPr>
          <w:rFonts w:ascii="Times New Roman" w:hAnsi="Times New Roman" w:cs="Times New Roman"/>
          <w:sz w:val="24"/>
          <w:szCs w:val="24"/>
        </w:rPr>
      </w:pPr>
      <w:r w:rsidRPr="00E625F3">
        <w:rPr>
          <w:rFonts w:ascii="Times New Roman" w:hAnsi="Times New Roman" w:cs="Times New Roman"/>
          <w:b/>
          <w:bCs/>
          <w:sz w:val="24"/>
          <w:szCs w:val="24"/>
        </w:rPr>
        <w:t>COMPARATIVE ASSESSMENT OF MONETISATION PATHWAYS</w:t>
      </w:r>
    </w:p>
    <w:p w14:paraId="15EA34D4" w14:textId="77777777" w:rsidR="00E662A1" w:rsidRPr="00E625F3" w:rsidRDefault="00000000" w:rsidP="004C1873">
      <w:pPr>
        <w:spacing w:after="180" w:line="276" w:lineRule="auto"/>
        <w:jc w:val="both"/>
        <w:rPr>
          <w:rFonts w:ascii="Times New Roman" w:hAnsi="Times New Roman" w:cs="Times New Roman"/>
          <w:sz w:val="24"/>
          <w:szCs w:val="24"/>
        </w:rPr>
      </w:pPr>
      <w:r w:rsidRPr="00E625F3">
        <w:rPr>
          <w:rFonts w:ascii="Times New Roman" w:hAnsi="Times New Roman" w:cs="Times New Roman"/>
          <w:sz w:val="24"/>
          <w:szCs w:val="24"/>
        </w:rPr>
        <w:t>Rovuma gas can be routed through several structurally distinct value chains, each with different capital intensity, market exposure, and strategic payoff for Mozambique: upstream production feeds either onshore or floating liquefaction for export, or is diverted to domestic power generation, petrochemical feedstock, or regional pipeline sales. The comparative logic across these routes is set out below.</w:t>
      </w:r>
    </w:p>
    <w:p w14:paraId="54F97584" w14:textId="77777777" w:rsidR="00E662A1" w:rsidRPr="00E625F3" w:rsidRDefault="00000000" w:rsidP="004C1873">
      <w:pPr>
        <w:pStyle w:val="Heading2"/>
        <w:spacing w:before="300" w:after="150"/>
        <w:jc w:val="both"/>
        <w:rPr>
          <w:rFonts w:ascii="Times New Roman" w:hAnsi="Times New Roman" w:cs="Times New Roman"/>
          <w:color w:val="auto"/>
          <w:sz w:val="24"/>
          <w:szCs w:val="24"/>
        </w:rPr>
      </w:pPr>
      <w:r w:rsidRPr="00E625F3">
        <w:rPr>
          <w:rFonts w:ascii="Times New Roman" w:hAnsi="Times New Roman" w:cs="Times New Roman"/>
          <w:b/>
          <w:bCs/>
          <w:color w:val="auto"/>
          <w:sz w:val="24"/>
          <w:szCs w:val="24"/>
        </w:rPr>
        <w:t>LNG Exports (Onshore Trains)</w:t>
      </w:r>
    </w:p>
    <w:p w14:paraId="011E3441" w14:textId="77777777" w:rsidR="00E662A1" w:rsidRPr="00E625F3" w:rsidRDefault="00000000" w:rsidP="004C1873">
      <w:pPr>
        <w:spacing w:after="180" w:line="276" w:lineRule="auto"/>
        <w:jc w:val="both"/>
        <w:rPr>
          <w:rFonts w:ascii="Times New Roman" w:hAnsi="Times New Roman" w:cs="Times New Roman"/>
          <w:sz w:val="24"/>
          <w:szCs w:val="24"/>
        </w:rPr>
      </w:pPr>
      <w:r w:rsidRPr="00E625F3">
        <w:rPr>
          <w:rFonts w:ascii="Times New Roman" w:hAnsi="Times New Roman" w:cs="Times New Roman"/>
          <w:sz w:val="24"/>
          <w:szCs w:val="24"/>
        </w:rPr>
        <w:t xml:space="preserve">The dominant pathway by committed capital: Area 1 (13.1 Mtpa) and Area 4 (18 Mtpa) onshore trains target premium long-term contracts with Asian and European buyers. This route </w:t>
      </w:r>
      <w:proofErr w:type="spellStart"/>
      <w:r w:rsidRPr="00E625F3">
        <w:rPr>
          <w:rFonts w:ascii="Times New Roman" w:hAnsi="Times New Roman" w:cs="Times New Roman"/>
          <w:sz w:val="24"/>
          <w:szCs w:val="24"/>
        </w:rPr>
        <w:t>maximises</w:t>
      </w:r>
      <w:proofErr w:type="spellEnd"/>
      <w:r w:rsidRPr="00E625F3">
        <w:rPr>
          <w:rFonts w:ascii="Times New Roman" w:hAnsi="Times New Roman" w:cs="Times New Roman"/>
          <w:sz w:val="24"/>
          <w:szCs w:val="24"/>
        </w:rPr>
        <w:t xml:space="preserve"> absolute NPV given the scale of throughput, but carries the highest CAPEX intensity, the longest construction timeline, and the greatest exposure to Cabo Delgado security risk given the onshore, fixed-location nature of the assets.</w:t>
      </w:r>
    </w:p>
    <w:p w14:paraId="7EC75948" w14:textId="77777777" w:rsidR="00E662A1" w:rsidRPr="00E625F3" w:rsidRDefault="00000000" w:rsidP="004C1873">
      <w:pPr>
        <w:pStyle w:val="Heading2"/>
        <w:spacing w:before="300" w:after="150"/>
        <w:jc w:val="both"/>
        <w:rPr>
          <w:rFonts w:ascii="Times New Roman" w:hAnsi="Times New Roman" w:cs="Times New Roman"/>
          <w:color w:val="auto"/>
          <w:sz w:val="24"/>
          <w:szCs w:val="24"/>
        </w:rPr>
      </w:pPr>
      <w:r w:rsidRPr="00E625F3">
        <w:rPr>
          <w:rFonts w:ascii="Times New Roman" w:hAnsi="Times New Roman" w:cs="Times New Roman"/>
          <w:b/>
          <w:bCs/>
          <w:color w:val="auto"/>
          <w:sz w:val="24"/>
          <w:szCs w:val="24"/>
        </w:rPr>
        <w:t>Floating LNG (FLNG)</w:t>
      </w:r>
    </w:p>
    <w:p w14:paraId="40B91DC9" w14:textId="77777777" w:rsidR="00E662A1" w:rsidRPr="00E625F3" w:rsidRDefault="00000000" w:rsidP="004C1873">
      <w:pPr>
        <w:spacing w:after="180" w:line="276" w:lineRule="auto"/>
        <w:jc w:val="both"/>
        <w:rPr>
          <w:rFonts w:ascii="Times New Roman" w:hAnsi="Times New Roman" w:cs="Times New Roman"/>
          <w:sz w:val="24"/>
          <w:szCs w:val="24"/>
        </w:rPr>
      </w:pPr>
      <w:r w:rsidRPr="00E625F3">
        <w:rPr>
          <w:rFonts w:ascii="Times New Roman" w:hAnsi="Times New Roman" w:cs="Times New Roman"/>
          <w:sz w:val="24"/>
          <w:szCs w:val="24"/>
        </w:rPr>
        <w:t>Coral Sul (operating) and Coral Norte (under construction) process offshore gas without onshore infrastructure, materially reducing security exposure and shortening the construction and commissioning cycle. FLNG carries a moderate capacity ceiling per unit (3.4–3.5 Mtpa) but achieves the best capital efficiency and fastest payback of any Rovuma pathway.</w:t>
      </w:r>
    </w:p>
    <w:p w14:paraId="18B88C5A" w14:textId="77777777" w:rsidR="00E662A1" w:rsidRPr="00E625F3" w:rsidRDefault="00000000" w:rsidP="004C1873">
      <w:pPr>
        <w:pStyle w:val="Heading2"/>
        <w:spacing w:before="300" w:after="150"/>
        <w:jc w:val="both"/>
        <w:rPr>
          <w:rFonts w:ascii="Times New Roman" w:hAnsi="Times New Roman" w:cs="Times New Roman"/>
          <w:color w:val="auto"/>
          <w:sz w:val="24"/>
          <w:szCs w:val="24"/>
        </w:rPr>
      </w:pPr>
      <w:r w:rsidRPr="00E625F3">
        <w:rPr>
          <w:rFonts w:ascii="Times New Roman" w:hAnsi="Times New Roman" w:cs="Times New Roman"/>
          <w:b/>
          <w:bCs/>
          <w:color w:val="auto"/>
          <w:sz w:val="24"/>
          <w:szCs w:val="24"/>
        </w:rPr>
        <w:t xml:space="preserve">Domestic Gas </w:t>
      </w:r>
      <w:proofErr w:type="spellStart"/>
      <w:r w:rsidRPr="00E625F3">
        <w:rPr>
          <w:rFonts w:ascii="Times New Roman" w:hAnsi="Times New Roman" w:cs="Times New Roman"/>
          <w:b/>
          <w:bCs/>
          <w:color w:val="auto"/>
          <w:sz w:val="24"/>
          <w:szCs w:val="24"/>
        </w:rPr>
        <w:t>Utilisation</w:t>
      </w:r>
      <w:proofErr w:type="spellEnd"/>
      <w:r w:rsidRPr="00E625F3">
        <w:rPr>
          <w:rFonts w:ascii="Times New Roman" w:hAnsi="Times New Roman" w:cs="Times New Roman"/>
          <w:b/>
          <w:bCs/>
          <w:color w:val="auto"/>
          <w:sz w:val="24"/>
          <w:szCs w:val="24"/>
        </w:rPr>
        <w:t xml:space="preserve"> and Gas-to-Power</w:t>
      </w:r>
    </w:p>
    <w:p w14:paraId="7AED147C" w14:textId="4788C689" w:rsidR="00E662A1" w:rsidRPr="00E625F3" w:rsidRDefault="00000000" w:rsidP="004C1873">
      <w:pPr>
        <w:spacing w:after="180" w:line="276" w:lineRule="auto"/>
        <w:jc w:val="both"/>
        <w:rPr>
          <w:rFonts w:ascii="Times New Roman" w:hAnsi="Times New Roman" w:cs="Times New Roman"/>
          <w:sz w:val="24"/>
          <w:szCs w:val="24"/>
        </w:rPr>
      </w:pPr>
      <w:r w:rsidRPr="00E625F3">
        <w:rPr>
          <w:rFonts w:ascii="Times New Roman" w:hAnsi="Times New Roman" w:cs="Times New Roman"/>
          <w:sz w:val="24"/>
          <w:szCs w:val="24"/>
        </w:rPr>
        <w:t>Domestic offtake</w:t>
      </w:r>
      <w:r w:rsidR="00E625F3">
        <w:rPr>
          <w:rFonts w:ascii="Times New Roman" w:hAnsi="Times New Roman" w:cs="Times New Roman"/>
          <w:sz w:val="24"/>
          <w:szCs w:val="24"/>
        </w:rPr>
        <w:t xml:space="preserve"> </w:t>
      </w:r>
      <w:r w:rsidRPr="00E625F3">
        <w:rPr>
          <w:rFonts w:ascii="Times New Roman" w:hAnsi="Times New Roman" w:cs="Times New Roman"/>
          <w:sz w:val="24"/>
          <w:szCs w:val="24"/>
        </w:rPr>
        <w:t>principally gas-to-power via EDM and independent power producers (</w:t>
      </w:r>
      <w:proofErr w:type="spellStart"/>
      <w:r w:rsidRPr="00E625F3">
        <w:rPr>
          <w:rFonts w:ascii="Times New Roman" w:hAnsi="Times New Roman" w:cs="Times New Roman"/>
          <w:sz w:val="24"/>
          <w:szCs w:val="24"/>
        </w:rPr>
        <w:t>Temane</w:t>
      </w:r>
      <w:proofErr w:type="spellEnd"/>
      <w:r w:rsidRPr="00E625F3">
        <w:rPr>
          <w:rFonts w:ascii="Times New Roman" w:hAnsi="Times New Roman" w:cs="Times New Roman"/>
          <w:sz w:val="24"/>
          <w:szCs w:val="24"/>
        </w:rPr>
        <w:t xml:space="preserve"> CCGT, the proposed </w:t>
      </w:r>
      <w:proofErr w:type="spellStart"/>
      <w:r w:rsidRPr="00E625F3">
        <w:rPr>
          <w:rFonts w:ascii="Times New Roman" w:hAnsi="Times New Roman" w:cs="Times New Roman"/>
          <w:sz w:val="24"/>
          <w:szCs w:val="24"/>
        </w:rPr>
        <w:t>Beluluane</w:t>
      </w:r>
      <w:proofErr w:type="spellEnd"/>
      <w:r w:rsidRPr="00E625F3">
        <w:rPr>
          <w:rFonts w:ascii="Times New Roman" w:hAnsi="Times New Roman" w:cs="Times New Roman"/>
          <w:sz w:val="24"/>
          <w:szCs w:val="24"/>
        </w:rPr>
        <w:t xml:space="preserve"> 2GW plant, Gigawatt, Kuvaninga, </w:t>
      </w:r>
      <w:proofErr w:type="spellStart"/>
      <w:r w:rsidRPr="00E625F3">
        <w:rPr>
          <w:rFonts w:ascii="Times New Roman" w:hAnsi="Times New Roman" w:cs="Times New Roman"/>
          <w:sz w:val="24"/>
          <w:szCs w:val="24"/>
        </w:rPr>
        <w:t>Ressano</w:t>
      </w:r>
      <w:proofErr w:type="spellEnd"/>
      <w:r w:rsidRPr="00E625F3">
        <w:rPr>
          <w:rFonts w:ascii="Times New Roman" w:hAnsi="Times New Roman" w:cs="Times New Roman"/>
          <w:sz w:val="24"/>
          <w:szCs w:val="24"/>
        </w:rPr>
        <w:t xml:space="preserve"> Garcia)</w:t>
      </w:r>
      <w:r w:rsidR="00E625F3">
        <w:rPr>
          <w:rFonts w:ascii="Times New Roman" w:hAnsi="Times New Roman" w:cs="Times New Roman"/>
          <w:sz w:val="24"/>
          <w:szCs w:val="24"/>
        </w:rPr>
        <w:t xml:space="preserve"> </w:t>
      </w:r>
      <w:r w:rsidRPr="00E625F3">
        <w:rPr>
          <w:rFonts w:ascii="Times New Roman" w:hAnsi="Times New Roman" w:cs="Times New Roman"/>
          <w:sz w:val="24"/>
          <w:szCs w:val="24"/>
        </w:rPr>
        <w:t xml:space="preserve"> offers lower absolute project returns than export but is central to Mozambique's own energy security and </w:t>
      </w:r>
      <w:proofErr w:type="spellStart"/>
      <w:r w:rsidRPr="00E625F3">
        <w:rPr>
          <w:rFonts w:ascii="Times New Roman" w:hAnsi="Times New Roman" w:cs="Times New Roman"/>
          <w:sz w:val="24"/>
          <w:szCs w:val="24"/>
        </w:rPr>
        <w:t>industrialisation</w:t>
      </w:r>
      <w:proofErr w:type="spellEnd"/>
      <w:r w:rsidRPr="00E625F3">
        <w:rPr>
          <w:rFonts w:ascii="Times New Roman" w:hAnsi="Times New Roman" w:cs="Times New Roman"/>
          <w:sz w:val="24"/>
          <w:szCs w:val="24"/>
        </w:rPr>
        <w:t xml:space="preserve"> strategy, given that national electrification rates remain well </w:t>
      </w:r>
      <w:r w:rsidRPr="00E625F3">
        <w:rPr>
          <w:rFonts w:ascii="Times New Roman" w:hAnsi="Times New Roman" w:cs="Times New Roman"/>
          <w:sz w:val="24"/>
          <w:szCs w:val="24"/>
        </w:rPr>
        <w:lastRenderedPageBreak/>
        <w:t>below regional peers and gas-fired capacity additions are the fastest route to reliable baseload power.</w:t>
      </w:r>
    </w:p>
    <w:p w14:paraId="7437D74C" w14:textId="77777777" w:rsidR="00E662A1" w:rsidRPr="00E625F3" w:rsidRDefault="00000000" w:rsidP="004C1873">
      <w:pPr>
        <w:pStyle w:val="Heading2"/>
        <w:spacing w:before="300" w:after="150"/>
        <w:jc w:val="both"/>
        <w:rPr>
          <w:rFonts w:ascii="Times New Roman" w:hAnsi="Times New Roman" w:cs="Times New Roman"/>
          <w:color w:val="auto"/>
          <w:sz w:val="24"/>
          <w:szCs w:val="24"/>
        </w:rPr>
      </w:pPr>
      <w:proofErr w:type="spellStart"/>
      <w:r w:rsidRPr="00E625F3">
        <w:rPr>
          <w:rFonts w:ascii="Times New Roman" w:hAnsi="Times New Roman" w:cs="Times New Roman"/>
          <w:b/>
          <w:bCs/>
          <w:color w:val="auto"/>
          <w:sz w:val="24"/>
          <w:szCs w:val="24"/>
        </w:rPr>
        <w:t>Fertiliser</w:t>
      </w:r>
      <w:proofErr w:type="spellEnd"/>
      <w:r w:rsidRPr="00E625F3">
        <w:rPr>
          <w:rFonts w:ascii="Times New Roman" w:hAnsi="Times New Roman" w:cs="Times New Roman"/>
          <w:b/>
          <w:bCs/>
          <w:color w:val="auto"/>
          <w:sz w:val="24"/>
          <w:szCs w:val="24"/>
        </w:rPr>
        <w:t xml:space="preserve"> and Ammonia Production</w:t>
      </w:r>
    </w:p>
    <w:p w14:paraId="1D4B815D" w14:textId="77777777" w:rsidR="00E662A1" w:rsidRPr="00E625F3" w:rsidRDefault="00000000" w:rsidP="004C1873">
      <w:pPr>
        <w:spacing w:after="180" w:line="276" w:lineRule="auto"/>
        <w:jc w:val="both"/>
        <w:rPr>
          <w:rFonts w:ascii="Times New Roman" w:hAnsi="Times New Roman" w:cs="Times New Roman"/>
          <w:sz w:val="24"/>
          <w:szCs w:val="24"/>
        </w:rPr>
      </w:pPr>
      <w:r w:rsidRPr="00E625F3">
        <w:rPr>
          <w:rFonts w:ascii="Times New Roman" w:hAnsi="Times New Roman" w:cs="Times New Roman"/>
          <w:sz w:val="24"/>
          <w:szCs w:val="24"/>
        </w:rPr>
        <w:t xml:space="preserve">Ammonia and urea production </w:t>
      </w:r>
      <w:proofErr w:type="spellStart"/>
      <w:r w:rsidRPr="00E625F3">
        <w:rPr>
          <w:rFonts w:ascii="Times New Roman" w:hAnsi="Times New Roman" w:cs="Times New Roman"/>
          <w:sz w:val="24"/>
          <w:szCs w:val="24"/>
        </w:rPr>
        <w:t>monetise</w:t>
      </w:r>
      <w:proofErr w:type="spellEnd"/>
      <w:r w:rsidRPr="00E625F3">
        <w:rPr>
          <w:rFonts w:ascii="Times New Roman" w:hAnsi="Times New Roman" w:cs="Times New Roman"/>
          <w:sz w:val="24"/>
          <w:szCs w:val="24"/>
        </w:rPr>
        <w:t xml:space="preserve"> gas as a chemical feedstock rather than an energy carrier, exploiting Mozambique's low-cost gas to compete in regional and international </w:t>
      </w:r>
      <w:proofErr w:type="spellStart"/>
      <w:r w:rsidRPr="00E625F3">
        <w:rPr>
          <w:rFonts w:ascii="Times New Roman" w:hAnsi="Times New Roman" w:cs="Times New Roman"/>
          <w:sz w:val="24"/>
          <w:szCs w:val="24"/>
        </w:rPr>
        <w:t>fertiliser</w:t>
      </w:r>
      <w:proofErr w:type="spellEnd"/>
      <w:r w:rsidRPr="00E625F3">
        <w:rPr>
          <w:rFonts w:ascii="Times New Roman" w:hAnsi="Times New Roman" w:cs="Times New Roman"/>
          <w:sz w:val="24"/>
          <w:szCs w:val="24"/>
        </w:rPr>
        <w:t xml:space="preserve"> markets. Prior government-awarded gas development contracts to Yara International envisioned combined </w:t>
      </w:r>
      <w:proofErr w:type="spellStart"/>
      <w:r w:rsidRPr="00E625F3">
        <w:rPr>
          <w:rFonts w:ascii="Times New Roman" w:hAnsi="Times New Roman" w:cs="Times New Roman"/>
          <w:sz w:val="24"/>
          <w:szCs w:val="24"/>
        </w:rPr>
        <w:t>fertiliser</w:t>
      </w:r>
      <w:proofErr w:type="spellEnd"/>
      <w:r w:rsidRPr="00E625F3">
        <w:rPr>
          <w:rFonts w:ascii="Times New Roman" w:hAnsi="Times New Roman" w:cs="Times New Roman"/>
          <w:sz w:val="24"/>
          <w:szCs w:val="24"/>
        </w:rPr>
        <w:t xml:space="preserve"> and small-scale power output; renewed feasibility work is a logical extension of the current restart momentum. Ammonia additionally offers optionality as a future "blue ammonia" export product for transition-linked hydrogen-carrier markets, subject to carbon capture investment.</w:t>
      </w:r>
    </w:p>
    <w:p w14:paraId="74AE7EE9" w14:textId="77777777" w:rsidR="00E662A1" w:rsidRPr="00E625F3" w:rsidRDefault="00000000" w:rsidP="004C1873">
      <w:pPr>
        <w:pStyle w:val="Heading2"/>
        <w:spacing w:before="300" w:after="150"/>
        <w:jc w:val="both"/>
        <w:rPr>
          <w:rFonts w:ascii="Times New Roman" w:hAnsi="Times New Roman" w:cs="Times New Roman"/>
          <w:color w:val="auto"/>
          <w:sz w:val="24"/>
          <w:szCs w:val="24"/>
        </w:rPr>
      </w:pPr>
      <w:r w:rsidRPr="00E625F3">
        <w:rPr>
          <w:rFonts w:ascii="Times New Roman" w:hAnsi="Times New Roman" w:cs="Times New Roman"/>
          <w:b/>
          <w:bCs/>
          <w:color w:val="auto"/>
          <w:sz w:val="24"/>
          <w:szCs w:val="24"/>
        </w:rPr>
        <w:t>Methanol</w:t>
      </w:r>
    </w:p>
    <w:p w14:paraId="65479E56" w14:textId="77777777" w:rsidR="00E662A1" w:rsidRPr="00E625F3" w:rsidRDefault="00000000" w:rsidP="004C1873">
      <w:pPr>
        <w:spacing w:after="180" w:line="276" w:lineRule="auto"/>
        <w:jc w:val="both"/>
        <w:rPr>
          <w:rFonts w:ascii="Times New Roman" w:hAnsi="Times New Roman" w:cs="Times New Roman"/>
          <w:sz w:val="24"/>
          <w:szCs w:val="24"/>
        </w:rPr>
      </w:pPr>
      <w:r w:rsidRPr="00E625F3">
        <w:rPr>
          <w:rFonts w:ascii="Times New Roman" w:hAnsi="Times New Roman" w:cs="Times New Roman"/>
          <w:sz w:val="24"/>
          <w:szCs w:val="24"/>
        </w:rPr>
        <w:t xml:space="preserve">Methanol production offers a smaller-scale, lower-capital entry point into gas </w:t>
      </w:r>
      <w:proofErr w:type="spellStart"/>
      <w:r w:rsidRPr="00E625F3">
        <w:rPr>
          <w:rFonts w:ascii="Times New Roman" w:hAnsi="Times New Roman" w:cs="Times New Roman"/>
          <w:sz w:val="24"/>
          <w:szCs w:val="24"/>
        </w:rPr>
        <w:t>monetisation</w:t>
      </w:r>
      <w:proofErr w:type="spellEnd"/>
      <w:r w:rsidRPr="00E625F3">
        <w:rPr>
          <w:rFonts w:ascii="Times New Roman" w:hAnsi="Times New Roman" w:cs="Times New Roman"/>
          <w:sz w:val="24"/>
          <w:szCs w:val="24"/>
        </w:rPr>
        <w:t xml:space="preserve">, targeting regional industrial and marine-fuel markets. Returns are structurally lower than ammonia and urea given weaker underlying commodity economics, but methanol projects carry shorter construction timelines and lower technical complexity, useful for an early-stage domestic </w:t>
      </w:r>
      <w:proofErr w:type="spellStart"/>
      <w:r w:rsidRPr="00E625F3">
        <w:rPr>
          <w:rFonts w:ascii="Times New Roman" w:hAnsi="Times New Roman" w:cs="Times New Roman"/>
          <w:sz w:val="24"/>
          <w:szCs w:val="24"/>
        </w:rPr>
        <w:t>industrialisation</w:t>
      </w:r>
      <w:proofErr w:type="spellEnd"/>
      <w:r w:rsidRPr="00E625F3">
        <w:rPr>
          <w:rFonts w:ascii="Times New Roman" w:hAnsi="Times New Roman" w:cs="Times New Roman"/>
          <w:sz w:val="24"/>
          <w:szCs w:val="24"/>
        </w:rPr>
        <w:t xml:space="preserve"> </w:t>
      </w:r>
      <w:proofErr w:type="spellStart"/>
      <w:r w:rsidRPr="00E625F3">
        <w:rPr>
          <w:rFonts w:ascii="Times New Roman" w:hAnsi="Times New Roman" w:cs="Times New Roman"/>
          <w:sz w:val="24"/>
          <w:szCs w:val="24"/>
        </w:rPr>
        <w:t>programme</w:t>
      </w:r>
      <w:proofErr w:type="spellEnd"/>
      <w:r w:rsidRPr="00E625F3">
        <w:rPr>
          <w:rFonts w:ascii="Times New Roman" w:hAnsi="Times New Roman" w:cs="Times New Roman"/>
          <w:sz w:val="24"/>
          <w:szCs w:val="24"/>
        </w:rPr>
        <w:t>.</w:t>
      </w:r>
    </w:p>
    <w:p w14:paraId="07924673" w14:textId="77777777" w:rsidR="00E662A1" w:rsidRPr="00E625F3" w:rsidRDefault="00000000" w:rsidP="004C1873">
      <w:pPr>
        <w:pStyle w:val="Heading2"/>
        <w:spacing w:before="300" w:after="150"/>
        <w:jc w:val="both"/>
        <w:rPr>
          <w:rFonts w:ascii="Times New Roman" w:hAnsi="Times New Roman" w:cs="Times New Roman"/>
          <w:color w:val="auto"/>
          <w:sz w:val="24"/>
          <w:szCs w:val="24"/>
        </w:rPr>
      </w:pPr>
      <w:r w:rsidRPr="00E625F3">
        <w:rPr>
          <w:rFonts w:ascii="Times New Roman" w:hAnsi="Times New Roman" w:cs="Times New Roman"/>
          <w:b/>
          <w:bCs/>
          <w:color w:val="auto"/>
          <w:sz w:val="24"/>
          <w:szCs w:val="24"/>
        </w:rPr>
        <w:t>Gas-to-Liquids (GTL)</w:t>
      </w:r>
    </w:p>
    <w:p w14:paraId="11A57143" w14:textId="6ABF7B8A" w:rsidR="00E662A1" w:rsidRPr="00E625F3" w:rsidRDefault="00000000" w:rsidP="004C1873">
      <w:pPr>
        <w:spacing w:after="180" w:line="276" w:lineRule="auto"/>
        <w:jc w:val="both"/>
        <w:rPr>
          <w:rFonts w:ascii="Times New Roman" w:hAnsi="Times New Roman" w:cs="Times New Roman"/>
          <w:sz w:val="24"/>
          <w:szCs w:val="24"/>
        </w:rPr>
      </w:pPr>
      <w:r w:rsidRPr="00E625F3">
        <w:rPr>
          <w:rFonts w:ascii="Times New Roman" w:hAnsi="Times New Roman" w:cs="Times New Roman"/>
          <w:sz w:val="24"/>
          <w:szCs w:val="24"/>
        </w:rPr>
        <w:t>GTL converts gas into synthetic diesel and naphtha via Fischer-</w:t>
      </w:r>
      <w:proofErr w:type="spellStart"/>
      <w:r w:rsidRPr="00E625F3">
        <w:rPr>
          <w:rFonts w:ascii="Times New Roman" w:hAnsi="Times New Roman" w:cs="Times New Roman"/>
          <w:sz w:val="24"/>
          <w:szCs w:val="24"/>
        </w:rPr>
        <w:t>Tropsch</w:t>
      </w:r>
      <w:proofErr w:type="spellEnd"/>
      <w:r w:rsidRPr="00E625F3">
        <w:rPr>
          <w:rFonts w:ascii="Times New Roman" w:hAnsi="Times New Roman" w:cs="Times New Roman"/>
          <w:sz w:val="24"/>
          <w:szCs w:val="24"/>
        </w:rPr>
        <w:t xml:space="preserve"> synthesis. It is the most capital- and technology-intensive of the non-LNG pathways, with a track record of cost overruns globally (for example, Qatar's Pearl GTL and Nigeria's </w:t>
      </w:r>
      <w:proofErr w:type="spellStart"/>
      <w:r w:rsidRPr="00E625F3">
        <w:rPr>
          <w:rFonts w:ascii="Times New Roman" w:hAnsi="Times New Roman" w:cs="Times New Roman"/>
          <w:sz w:val="24"/>
          <w:szCs w:val="24"/>
        </w:rPr>
        <w:t>Escravos</w:t>
      </w:r>
      <w:proofErr w:type="spellEnd"/>
      <w:r w:rsidRPr="00E625F3">
        <w:rPr>
          <w:rFonts w:ascii="Times New Roman" w:hAnsi="Times New Roman" w:cs="Times New Roman"/>
          <w:sz w:val="24"/>
          <w:szCs w:val="24"/>
        </w:rPr>
        <w:t xml:space="preserve"> GTL). For Mozambique, GTL's principal attraction is </w:t>
      </w:r>
      <w:r w:rsidR="00E625F3" w:rsidRPr="00E625F3">
        <w:rPr>
          <w:rFonts w:ascii="Times New Roman" w:hAnsi="Times New Roman" w:cs="Times New Roman"/>
          <w:sz w:val="24"/>
          <w:szCs w:val="24"/>
        </w:rPr>
        <w:t>importing</w:t>
      </w:r>
      <w:r w:rsidRPr="00E625F3">
        <w:rPr>
          <w:rFonts w:ascii="Times New Roman" w:hAnsi="Times New Roman" w:cs="Times New Roman"/>
          <w:sz w:val="24"/>
          <w:szCs w:val="24"/>
        </w:rPr>
        <w:t xml:space="preserve"> substitution for refined products, but its return profile is the weakest of all pathways assessed in this note and should be treated as a longer-dated, lower-priority option.</w:t>
      </w:r>
    </w:p>
    <w:p w14:paraId="12F6D5C2" w14:textId="77777777" w:rsidR="00E662A1" w:rsidRPr="00E625F3" w:rsidRDefault="00000000" w:rsidP="004C1873">
      <w:pPr>
        <w:pStyle w:val="Heading2"/>
        <w:spacing w:before="300" w:after="150"/>
        <w:jc w:val="both"/>
        <w:rPr>
          <w:rFonts w:ascii="Times New Roman" w:hAnsi="Times New Roman" w:cs="Times New Roman"/>
          <w:color w:val="auto"/>
          <w:sz w:val="24"/>
          <w:szCs w:val="24"/>
        </w:rPr>
      </w:pPr>
      <w:r w:rsidRPr="00E625F3">
        <w:rPr>
          <w:rFonts w:ascii="Times New Roman" w:hAnsi="Times New Roman" w:cs="Times New Roman"/>
          <w:b/>
          <w:bCs/>
          <w:color w:val="auto"/>
          <w:sz w:val="24"/>
          <w:szCs w:val="24"/>
        </w:rPr>
        <w:t>Regional Pipeline Exports</w:t>
      </w:r>
    </w:p>
    <w:p w14:paraId="227332B8" w14:textId="77777777" w:rsidR="00E662A1" w:rsidRPr="00E625F3" w:rsidRDefault="00000000" w:rsidP="004C1873">
      <w:pPr>
        <w:spacing w:after="180" w:line="276" w:lineRule="auto"/>
        <w:jc w:val="both"/>
        <w:rPr>
          <w:rFonts w:ascii="Times New Roman" w:hAnsi="Times New Roman" w:cs="Times New Roman"/>
          <w:sz w:val="24"/>
          <w:szCs w:val="24"/>
        </w:rPr>
      </w:pPr>
      <w:r w:rsidRPr="00E625F3">
        <w:rPr>
          <w:rFonts w:ascii="Times New Roman" w:hAnsi="Times New Roman" w:cs="Times New Roman"/>
          <w:sz w:val="24"/>
          <w:szCs w:val="24"/>
        </w:rPr>
        <w:t>Pipeline exports to South Africa and Eswatini via ROMPCO, supplemented by the Matola FSRU import terminal from 2026–27, sustain Mozambique's role as a regional gas supplier even as the Pande-</w:t>
      </w:r>
      <w:proofErr w:type="spellStart"/>
      <w:r w:rsidRPr="00E625F3">
        <w:rPr>
          <w:rFonts w:ascii="Times New Roman" w:hAnsi="Times New Roman" w:cs="Times New Roman"/>
          <w:sz w:val="24"/>
          <w:szCs w:val="24"/>
        </w:rPr>
        <w:t>Temane</w:t>
      </w:r>
      <w:proofErr w:type="spellEnd"/>
      <w:r w:rsidRPr="00E625F3">
        <w:rPr>
          <w:rFonts w:ascii="Times New Roman" w:hAnsi="Times New Roman" w:cs="Times New Roman"/>
          <w:sz w:val="24"/>
          <w:szCs w:val="24"/>
        </w:rPr>
        <w:t xml:space="preserve"> fields that historically fed this trade deplete. This pathway is more about market continuity and regional energy security than incremental Rovuma Basin </w:t>
      </w:r>
      <w:proofErr w:type="spellStart"/>
      <w:r w:rsidRPr="00E625F3">
        <w:rPr>
          <w:rFonts w:ascii="Times New Roman" w:hAnsi="Times New Roman" w:cs="Times New Roman"/>
          <w:sz w:val="24"/>
          <w:szCs w:val="24"/>
        </w:rPr>
        <w:t>monetisation</w:t>
      </w:r>
      <w:proofErr w:type="spellEnd"/>
      <w:r w:rsidRPr="00E625F3">
        <w:rPr>
          <w:rFonts w:ascii="Times New Roman" w:hAnsi="Times New Roman" w:cs="Times New Roman"/>
          <w:sz w:val="24"/>
          <w:szCs w:val="24"/>
        </w:rPr>
        <w:t>, since Rovuma gas is not currently pipeline-connected to the south.</w:t>
      </w:r>
    </w:p>
    <w:p w14:paraId="78D53F4E" w14:textId="77777777" w:rsidR="004C1873" w:rsidRDefault="004C1873" w:rsidP="004C1873">
      <w:pPr>
        <w:jc w:val="both"/>
        <w:rPr>
          <w:rFonts w:ascii="Times New Roman" w:hAnsi="Times New Roman" w:cs="Times New Roman"/>
          <w:sz w:val="24"/>
          <w:szCs w:val="24"/>
        </w:rPr>
      </w:pPr>
    </w:p>
    <w:p w14:paraId="5B3B3749" w14:textId="7B474955" w:rsidR="00E662A1" w:rsidRPr="00E625F3" w:rsidRDefault="004C1873" w:rsidP="004C1873">
      <w:pPr>
        <w:jc w:val="both"/>
        <w:rPr>
          <w:rFonts w:ascii="Times New Roman" w:hAnsi="Times New Roman" w:cs="Times New Roman"/>
          <w:sz w:val="24"/>
          <w:szCs w:val="24"/>
        </w:rPr>
      </w:pPr>
      <w:r w:rsidRPr="00E625F3">
        <w:rPr>
          <w:rFonts w:ascii="Times New Roman" w:hAnsi="Times New Roman" w:cs="Times New Roman"/>
          <w:b/>
          <w:bCs/>
          <w:sz w:val="24"/>
          <w:szCs w:val="24"/>
        </w:rPr>
        <w:t>COMMERCIAL VIABILITY: CAPEX, OPEX, NPV, IRR AND PAYBACK</w:t>
      </w:r>
    </w:p>
    <w:p w14:paraId="09C4CE34" w14:textId="27EA963D" w:rsidR="00E662A1" w:rsidRPr="00E625F3" w:rsidRDefault="00000000" w:rsidP="004C1873">
      <w:pPr>
        <w:spacing w:after="180" w:line="276" w:lineRule="auto"/>
        <w:jc w:val="both"/>
        <w:rPr>
          <w:rFonts w:ascii="Times New Roman" w:hAnsi="Times New Roman" w:cs="Times New Roman"/>
          <w:sz w:val="24"/>
          <w:szCs w:val="24"/>
        </w:rPr>
      </w:pPr>
      <w:r w:rsidRPr="00E625F3">
        <w:rPr>
          <w:rFonts w:ascii="Times New Roman" w:hAnsi="Times New Roman" w:cs="Times New Roman"/>
          <w:sz w:val="24"/>
          <w:szCs w:val="24"/>
        </w:rPr>
        <w:t xml:space="preserve">The comparative economics below are analyst-derived, calibrated to public project disclosures, Mozambican fiscal terms, and comparable frontier-market gas </w:t>
      </w:r>
      <w:proofErr w:type="spellStart"/>
      <w:r w:rsidRPr="00E625F3">
        <w:rPr>
          <w:rFonts w:ascii="Times New Roman" w:hAnsi="Times New Roman" w:cs="Times New Roman"/>
          <w:sz w:val="24"/>
          <w:szCs w:val="24"/>
        </w:rPr>
        <w:t>monetisation</w:t>
      </w:r>
      <w:proofErr w:type="spellEnd"/>
      <w:r w:rsidRPr="00E625F3">
        <w:rPr>
          <w:rFonts w:ascii="Times New Roman" w:hAnsi="Times New Roman" w:cs="Times New Roman"/>
          <w:sz w:val="24"/>
          <w:szCs w:val="24"/>
        </w:rPr>
        <w:t xml:space="preserve"> projects. They are illustrative and intended to support relative investment comparison across pathways; individual project economics will vary with final contracting, feed-gas allocation and buyer terms.</w:t>
      </w:r>
    </w:p>
    <w:tbl>
      <w:tblPr>
        <w:tblStyle w:val="TableGrid"/>
        <w:tblW w:w="9265" w:type="dxa"/>
        <w:tblLook w:val="04A0" w:firstRow="1" w:lastRow="0" w:firstColumn="1" w:lastColumn="0" w:noHBand="0" w:noVBand="1"/>
      </w:tblPr>
      <w:tblGrid>
        <w:gridCol w:w="1449"/>
        <w:gridCol w:w="1214"/>
        <w:gridCol w:w="1239"/>
        <w:gridCol w:w="1137"/>
        <w:gridCol w:w="898"/>
        <w:gridCol w:w="1286"/>
        <w:gridCol w:w="2042"/>
      </w:tblGrid>
      <w:tr w:rsidR="00E625F3" w:rsidRPr="00E625F3" w14:paraId="151E6F6E" w14:textId="77777777" w:rsidTr="004C1873">
        <w:tc>
          <w:tcPr>
            <w:tcW w:w="1783" w:type="dxa"/>
          </w:tcPr>
          <w:p w14:paraId="5E275CD5"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b/>
                <w:bCs/>
                <w:sz w:val="24"/>
                <w:szCs w:val="24"/>
              </w:rPr>
              <w:t>Pathway</w:t>
            </w:r>
          </w:p>
        </w:tc>
        <w:tc>
          <w:tcPr>
            <w:tcW w:w="1425" w:type="dxa"/>
          </w:tcPr>
          <w:p w14:paraId="27213D35"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b/>
                <w:bCs/>
                <w:sz w:val="24"/>
                <w:szCs w:val="24"/>
              </w:rPr>
              <w:t>CAPEX</w:t>
            </w:r>
          </w:p>
        </w:tc>
        <w:tc>
          <w:tcPr>
            <w:tcW w:w="1432" w:type="dxa"/>
          </w:tcPr>
          <w:p w14:paraId="4135EE53"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b/>
                <w:bCs/>
                <w:sz w:val="24"/>
                <w:szCs w:val="24"/>
              </w:rPr>
              <w:t>OPEX (annual)</w:t>
            </w:r>
          </w:p>
        </w:tc>
        <w:tc>
          <w:tcPr>
            <w:tcW w:w="1405" w:type="dxa"/>
          </w:tcPr>
          <w:p w14:paraId="4D04B859"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b/>
                <w:bCs/>
                <w:sz w:val="24"/>
                <w:szCs w:val="24"/>
              </w:rPr>
              <w:t>NPV @10%</w:t>
            </w:r>
          </w:p>
        </w:tc>
        <w:tc>
          <w:tcPr>
            <w:tcW w:w="1195" w:type="dxa"/>
          </w:tcPr>
          <w:p w14:paraId="49211223"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b/>
                <w:bCs/>
                <w:sz w:val="24"/>
                <w:szCs w:val="24"/>
              </w:rPr>
              <w:t>IRR</w:t>
            </w:r>
          </w:p>
        </w:tc>
        <w:tc>
          <w:tcPr>
            <w:tcW w:w="1518" w:type="dxa"/>
          </w:tcPr>
          <w:p w14:paraId="14C1A075"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b/>
                <w:bCs/>
                <w:sz w:val="24"/>
                <w:szCs w:val="24"/>
              </w:rPr>
              <w:t>Payback</w:t>
            </w:r>
          </w:p>
        </w:tc>
        <w:tc>
          <w:tcPr>
            <w:tcW w:w="507" w:type="dxa"/>
          </w:tcPr>
          <w:p w14:paraId="633576E1"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b/>
                <w:bCs/>
                <w:sz w:val="24"/>
                <w:szCs w:val="24"/>
              </w:rPr>
              <w:t>Relative risk</w:t>
            </w:r>
          </w:p>
        </w:tc>
      </w:tr>
      <w:tr w:rsidR="00E625F3" w:rsidRPr="00E625F3" w14:paraId="6A0E04E8" w14:textId="77777777" w:rsidTr="004C1873">
        <w:tc>
          <w:tcPr>
            <w:tcW w:w="1783" w:type="dxa"/>
          </w:tcPr>
          <w:p w14:paraId="4BA592B2"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lastRenderedPageBreak/>
              <w:t>LNG (onshore, 2-train)</w:t>
            </w:r>
          </w:p>
        </w:tc>
        <w:tc>
          <w:tcPr>
            <w:tcW w:w="1425" w:type="dxa"/>
          </w:tcPr>
          <w:p w14:paraId="29F9984C"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$24.5–30bn</w:t>
            </w:r>
          </w:p>
        </w:tc>
        <w:tc>
          <w:tcPr>
            <w:tcW w:w="1432" w:type="dxa"/>
          </w:tcPr>
          <w:p w14:paraId="67546915"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$0.9–1.2bn</w:t>
            </w:r>
          </w:p>
        </w:tc>
        <w:tc>
          <w:tcPr>
            <w:tcW w:w="1405" w:type="dxa"/>
          </w:tcPr>
          <w:p w14:paraId="2C5043CA"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$4.2–9.5bn</w:t>
            </w:r>
          </w:p>
        </w:tc>
        <w:tc>
          <w:tcPr>
            <w:tcW w:w="1195" w:type="dxa"/>
          </w:tcPr>
          <w:p w14:paraId="1E456B36"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13–15%</w:t>
            </w:r>
          </w:p>
        </w:tc>
        <w:tc>
          <w:tcPr>
            <w:tcW w:w="1518" w:type="dxa"/>
          </w:tcPr>
          <w:p w14:paraId="682EAD63"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9–11 yrs</w:t>
            </w:r>
          </w:p>
        </w:tc>
        <w:tc>
          <w:tcPr>
            <w:tcW w:w="507" w:type="dxa"/>
          </w:tcPr>
          <w:p w14:paraId="61BEA6B3"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High (security, schedule)</w:t>
            </w:r>
          </w:p>
        </w:tc>
      </w:tr>
      <w:tr w:rsidR="00E625F3" w:rsidRPr="00E625F3" w14:paraId="464F22F3" w14:textId="77777777" w:rsidTr="004C1873">
        <w:tc>
          <w:tcPr>
            <w:tcW w:w="1783" w:type="dxa"/>
          </w:tcPr>
          <w:p w14:paraId="36DF16FE"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Floating LNG</w:t>
            </w:r>
          </w:p>
        </w:tc>
        <w:tc>
          <w:tcPr>
            <w:tcW w:w="1425" w:type="dxa"/>
          </w:tcPr>
          <w:p w14:paraId="2781D887"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$7–15.5bn</w:t>
            </w:r>
          </w:p>
        </w:tc>
        <w:tc>
          <w:tcPr>
            <w:tcW w:w="1432" w:type="dxa"/>
          </w:tcPr>
          <w:p w14:paraId="3B5C8D1B"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$0.3–0.5bn</w:t>
            </w:r>
          </w:p>
        </w:tc>
        <w:tc>
          <w:tcPr>
            <w:tcW w:w="1405" w:type="dxa"/>
          </w:tcPr>
          <w:p w14:paraId="689E2B62"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$1.8–4.1bn</w:t>
            </w:r>
          </w:p>
        </w:tc>
        <w:tc>
          <w:tcPr>
            <w:tcW w:w="1195" w:type="dxa"/>
          </w:tcPr>
          <w:p w14:paraId="16F341FE"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16–19%</w:t>
            </w:r>
          </w:p>
        </w:tc>
        <w:tc>
          <w:tcPr>
            <w:tcW w:w="1518" w:type="dxa"/>
          </w:tcPr>
          <w:p w14:paraId="0D377CA0"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6–8 yrs</w:t>
            </w:r>
          </w:p>
        </w:tc>
        <w:tc>
          <w:tcPr>
            <w:tcW w:w="507" w:type="dxa"/>
          </w:tcPr>
          <w:p w14:paraId="24B4C751"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Moderate</w:t>
            </w:r>
          </w:p>
        </w:tc>
      </w:tr>
      <w:tr w:rsidR="00E625F3" w:rsidRPr="00E625F3" w14:paraId="0519E014" w14:textId="77777777" w:rsidTr="004C1873">
        <w:tc>
          <w:tcPr>
            <w:tcW w:w="1783" w:type="dxa"/>
          </w:tcPr>
          <w:p w14:paraId="64FCAAC7"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Gas-to-power</w:t>
            </w:r>
          </w:p>
        </w:tc>
        <w:tc>
          <w:tcPr>
            <w:tcW w:w="1425" w:type="dxa"/>
          </w:tcPr>
          <w:p w14:paraId="4C3080B7"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$0.75–2.4bn</w:t>
            </w:r>
          </w:p>
        </w:tc>
        <w:tc>
          <w:tcPr>
            <w:tcW w:w="1432" w:type="dxa"/>
          </w:tcPr>
          <w:p w14:paraId="7BC6BFF2"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$0.15–0.3bn</w:t>
            </w:r>
          </w:p>
        </w:tc>
        <w:tc>
          <w:tcPr>
            <w:tcW w:w="1405" w:type="dxa"/>
          </w:tcPr>
          <w:p w14:paraId="12BEB475"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$0.6–1.5bn</w:t>
            </w:r>
          </w:p>
        </w:tc>
        <w:tc>
          <w:tcPr>
            <w:tcW w:w="1195" w:type="dxa"/>
          </w:tcPr>
          <w:p w14:paraId="391DA4A0"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10–12%</w:t>
            </w:r>
          </w:p>
        </w:tc>
        <w:tc>
          <w:tcPr>
            <w:tcW w:w="1518" w:type="dxa"/>
          </w:tcPr>
          <w:p w14:paraId="414169D6"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8–10 yrs</w:t>
            </w:r>
          </w:p>
        </w:tc>
        <w:tc>
          <w:tcPr>
            <w:tcW w:w="507" w:type="dxa"/>
          </w:tcPr>
          <w:p w14:paraId="05861D2C"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Low–moderate</w:t>
            </w:r>
          </w:p>
        </w:tc>
      </w:tr>
      <w:tr w:rsidR="00E625F3" w:rsidRPr="00E625F3" w14:paraId="5C72ECAB" w14:textId="77777777" w:rsidTr="004C1873">
        <w:tc>
          <w:tcPr>
            <w:tcW w:w="1783" w:type="dxa"/>
          </w:tcPr>
          <w:p w14:paraId="4CB6107E"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Ammonia</w:t>
            </w:r>
          </w:p>
        </w:tc>
        <w:tc>
          <w:tcPr>
            <w:tcW w:w="1425" w:type="dxa"/>
          </w:tcPr>
          <w:p w14:paraId="7FA39892"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$1.8–2.4bn</w:t>
            </w:r>
          </w:p>
        </w:tc>
        <w:tc>
          <w:tcPr>
            <w:tcW w:w="1432" w:type="dxa"/>
          </w:tcPr>
          <w:p w14:paraId="42212155"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$0.2–0.3bn</w:t>
            </w:r>
          </w:p>
        </w:tc>
        <w:tc>
          <w:tcPr>
            <w:tcW w:w="1405" w:type="dxa"/>
          </w:tcPr>
          <w:p w14:paraId="0C08A34E"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$0.9–2.1bn</w:t>
            </w:r>
          </w:p>
        </w:tc>
        <w:tc>
          <w:tcPr>
            <w:tcW w:w="1195" w:type="dxa"/>
          </w:tcPr>
          <w:p w14:paraId="426DB09E"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12–15%</w:t>
            </w:r>
          </w:p>
        </w:tc>
        <w:tc>
          <w:tcPr>
            <w:tcW w:w="1518" w:type="dxa"/>
          </w:tcPr>
          <w:p w14:paraId="051D699B"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7–9 yrs</w:t>
            </w:r>
          </w:p>
        </w:tc>
        <w:tc>
          <w:tcPr>
            <w:tcW w:w="507" w:type="dxa"/>
          </w:tcPr>
          <w:p w14:paraId="5469085E"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Moderate (feedstock/offtake)</w:t>
            </w:r>
          </w:p>
        </w:tc>
      </w:tr>
      <w:tr w:rsidR="00E625F3" w:rsidRPr="00E625F3" w14:paraId="769ED2BC" w14:textId="77777777" w:rsidTr="004C1873">
        <w:tc>
          <w:tcPr>
            <w:tcW w:w="1783" w:type="dxa"/>
          </w:tcPr>
          <w:p w14:paraId="3FEE32E3"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 xml:space="preserve">Urea / </w:t>
            </w:r>
            <w:proofErr w:type="spellStart"/>
            <w:r w:rsidRPr="00E625F3">
              <w:rPr>
                <w:rFonts w:ascii="Times New Roman" w:hAnsi="Times New Roman" w:cs="Times New Roman"/>
                <w:sz w:val="24"/>
                <w:szCs w:val="24"/>
              </w:rPr>
              <w:t>fertiliser</w:t>
            </w:r>
            <w:proofErr w:type="spellEnd"/>
          </w:p>
        </w:tc>
        <w:tc>
          <w:tcPr>
            <w:tcW w:w="1425" w:type="dxa"/>
          </w:tcPr>
          <w:p w14:paraId="30231558"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$1.6–2.2bn</w:t>
            </w:r>
          </w:p>
        </w:tc>
        <w:tc>
          <w:tcPr>
            <w:tcW w:w="1432" w:type="dxa"/>
          </w:tcPr>
          <w:p w14:paraId="4CF69381"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$0.2–0.3bn</w:t>
            </w:r>
          </w:p>
        </w:tc>
        <w:tc>
          <w:tcPr>
            <w:tcW w:w="1405" w:type="dxa"/>
          </w:tcPr>
          <w:p w14:paraId="2A85A118"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$0.7–1.6bn</w:t>
            </w:r>
          </w:p>
        </w:tc>
        <w:tc>
          <w:tcPr>
            <w:tcW w:w="1195" w:type="dxa"/>
          </w:tcPr>
          <w:p w14:paraId="6381D867"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11–13%</w:t>
            </w:r>
          </w:p>
        </w:tc>
        <w:tc>
          <w:tcPr>
            <w:tcW w:w="1518" w:type="dxa"/>
          </w:tcPr>
          <w:p w14:paraId="0757DA96"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8–10 yrs</w:t>
            </w:r>
          </w:p>
        </w:tc>
        <w:tc>
          <w:tcPr>
            <w:tcW w:w="507" w:type="dxa"/>
          </w:tcPr>
          <w:p w14:paraId="506966F0"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Moderate (</w:t>
            </w:r>
            <w:proofErr w:type="spellStart"/>
            <w:r w:rsidRPr="00E625F3">
              <w:rPr>
                <w:rFonts w:ascii="Times New Roman" w:hAnsi="Times New Roman" w:cs="Times New Roman"/>
                <w:sz w:val="24"/>
                <w:szCs w:val="24"/>
              </w:rPr>
              <w:t>fertiliser</w:t>
            </w:r>
            <w:proofErr w:type="spellEnd"/>
            <w:r w:rsidRPr="00E625F3">
              <w:rPr>
                <w:rFonts w:ascii="Times New Roman" w:hAnsi="Times New Roman" w:cs="Times New Roman"/>
                <w:sz w:val="24"/>
                <w:szCs w:val="24"/>
              </w:rPr>
              <w:t xml:space="preserve"> cycle)</w:t>
            </w:r>
          </w:p>
        </w:tc>
      </w:tr>
      <w:tr w:rsidR="00E625F3" w:rsidRPr="00E625F3" w14:paraId="51383971" w14:textId="77777777" w:rsidTr="004C1873">
        <w:tc>
          <w:tcPr>
            <w:tcW w:w="1783" w:type="dxa"/>
          </w:tcPr>
          <w:p w14:paraId="4607766D"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Methanol</w:t>
            </w:r>
          </w:p>
        </w:tc>
        <w:tc>
          <w:tcPr>
            <w:tcW w:w="1425" w:type="dxa"/>
          </w:tcPr>
          <w:p w14:paraId="2756FE74"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$1.2–1.6bn</w:t>
            </w:r>
          </w:p>
        </w:tc>
        <w:tc>
          <w:tcPr>
            <w:tcW w:w="1432" w:type="dxa"/>
          </w:tcPr>
          <w:p w14:paraId="4F6C6D39"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$0.15–0.2bn</w:t>
            </w:r>
          </w:p>
        </w:tc>
        <w:tc>
          <w:tcPr>
            <w:tcW w:w="1405" w:type="dxa"/>
          </w:tcPr>
          <w:p w14:paraId="0DA70FAF"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$0.5–1.3bn</w:t>
            </w:r>
          </w:p>
        </w:tc>
        <w:tc>
          <w:tcPr>
            <w:tcW w:w="1195" w:type="dxa"/>
          </w:tcPr>
          <w:p w14:paraId="5D11563C"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9–11%</w:t>
            </w:r>
          </w:p>
        </w:tc>
        <w:tc>
          <w:tcPr>
            <w:tcW w:w="1518" w:type="dxa"/>
          </w:tcPr>
          <w:p w14:paraId="7D261555"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9–11 yrs</w:t>
            </w:r>
          </w:p>
        </w:tc>
        <w:tc>
          <w:tcPr>
            <w:tcW w:w="507" w:type="dxa"/>
          </w:tcPr>
          <w:p w14:paraId="390D6068"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Moderate</w:t>
            </w:r>
          </w:p>
        </w:tc>
      </w:tr>
      <w:tr w:rsidR="00E625F3" w:rsidRPr="00E625F3" w14:paraId="11E68E2C" w14:textId="77777777" w:rsidTr="004C1873">
        <w:tc>
          <w:tcPr>
            <w:tcW w:w="1783" w:type="dxa"/>
          </w:tcPr>
          <w:p w14:paraId="75007EB6"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GTL</w:t>
            </w:r>
          </w:p>
        </w:tc>
        <w:tc>
          <w:tcPr>
            <w:tcW w:w="1425" w:type="dxa"/>
          </w:tcPr>
          <w:p w14:paraId="2F0A0414"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$2.8–3.5bn</w:t>
            </w:r>
          </w:p>
        </w:tc>
        <w:tc>
          <w:tcPr>
            <w:tcW w:w="1432" w:type="dxa"/>
          </w:tcPr>
          <w:p w14:paraId="2E4B45C3"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$0.3–0.4bn</w:t>
            </w:r>
          </w:p>
        </w:tc>
        <w:tc>
          <w:tcPr>
            <w:tcW w:w="1405" w:type="dxa"/>
          </w:tcPr>
          <w:p w14:paraId="18C02328"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$0.3–0.9bn</w:t>
            </w:r>
          </w:p>
        </w:tc>
        <w:tc>
          <w:tcPr>
            <w:tcW w:w="1195" w:type="dxa"/>
          </w:tcPr>
          <w:p w14:paraId="1E117CCA"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7–9%</w:t>
            </w:r>
          </w:p>
        </w:tc>
        <w:tc>
          <w:tcPr>
            <w:tcW w:w="1518" w:type="dxa"/>
          </w:tcPr>
          <w:p w14:paraId="1FED2142"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11–13 yrs</w:t>
            </w:r>
          </w:p>
        </w:tc>
        <w:tc>
          <w:tcPr>
            <w:tcW w:w="507" w:type="dxa"/>
          </w:tcPr>
          <w:p w14:paraId="6721AC94"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High (technology, cost overrun)</w:t>
            </w:r>
          </w:p>
        </w:tc>
      </w:tr>
      <w:tr w:rsidR="00E625F3" w:rsidRPr="00E625F3" w14:paraId="0E624C4B" w14:textId="77777777" w:rsidTr="004C1873">
        <w:tc>
          <w:tcPr>
            <w:tcW w:w="1783" w:type="dxa"/>
          </w:tcPr>
          <w:p w14:paraId="54E8F0BF"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Regional pipeline export</w:t>
            </w:r>
          </w:p>
        </w:tc>
        <w:tc>
          <w:tcPr>
            <w:tcW w:w="1425" w:type="dxa"/>
          </w:tcPr>
          <w:p w14:paraId="0768A329"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$3.2–3.8bn</w:t>
            </w:r>
          </w:p>
        </w:tc>
        <w:tc>
          <w:tcPr>
            <w:tcW w:w="1432" w:type="dxa"/>
          </w:tcPr>
          <w:p w14:paraId="54481237"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$0.15–0.2bn</w:t>
            </w:r>
          </w:p>
        </w:tc>
        <w:tc>
          <w:tcPr>
            <w:tcW w:w="1405" w:type="dxa"/>
          </w:tcPr>
          <w:p w14:paraId="6BEFBC44"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$0.4–1.0bn</w:t>
            </w:r>
          </w:p>
        </w:tc>
        <w:tc>
          <w:tcPr>
            <w:tcW w:w="1195" w:type="dxa"/>
          </w:tcPr>
          <w:p w14:paraId="6716794F"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9–11%</w:t>
            </w:r>
          </w:p>
        </w:tc>
        <w:tc>
          <w:tcPr>
            <w:tcW w:w="1518" w:type="dxa"/>
          </w:tcPr>
          <w:p w14:paraId="6438A83C"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10–12 yrs</w:t>
            </w:r>
          </w:p>
        </w:tc>
        <w:tc>
          <w:tcPr>
            <w:tcW w:w="507" w:type="dxa"/>
          </w:tcPr>
          <w:p w14:paraId="6C9AEC26"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Low (existing corridor)</w:t>
            </w:r>
          </w:p>
        </w:tc>
      </w:tr>
    </w:tbl>
    <w:p w14:paraId="6C158EAB" w14:textId="4937E9BC" w:rsidR="00E662A1" w:rsidRPr="004C1873" w:rsidRDefault="00000000" w:rsidP="004C1873">
      <w:pPr>
        <w:spacing w:before="80" w:after="260"/>
        <w:jc w:val="both"/>
        <w:rPr>
          <w:rFonts w:ascii="Times New Roman" w:hAnsi="Times New Roman" w:cs="Times New Roman"/>
          <w:sz w:val="24"/>
          <w:szCs w:val="24"/>
        </w:rPr>
      </w:pPr>
      <w:r w:rsidRPr="004C1873">
        <w:rPr>
          <w:rFonts w:ascii="Times New Roman" w:hAnsi="Times New Roman" w:cs="Times New Roman"/>
          <w:sz w:val="24"/>
          <w:szCs w:val="24"/>
        </w:rPr>
        <w:t xml:space="preserve">Comparative commercial metrics by </w:t>
      </w:r>
      <w:r w:rsidR="004C1873" w:rsidRPr="004C1873">
        <w:rPr>
          <w:rFonts w:ascii="Times New Roman" w:hAnsi="Times New Roman" w:cs="Times New Roman"/>
          <w:sz w:val="24"/>
          <w:szCs w:val="24"/>
        </w:rPr>
        <w:t>monetization</w:t>
      </w:r>
      <w:r w:rsidRPr="004C1873">
        <w:rPr>
          <w:rFonts w:ascii="Times New Roman" w:hAnsi="Times New Roman" w:cs="Times New Roman"/>
          <w:sz w:val="24"/>
          <w:szCs w:val="24"/>
        </w:rPr>
        <w:t xml:space="preserve"> pathway</w:t>
      </w:r>
      <w:r w:rsidR="004C1873" w:rsidRPr="004C1873">
        <w:rPr>
          <w:rFonts w:ascii="Times New Roman" w:hAnsi="Times New Roman" w:cs="Times New Roman"/>
          <w:sz w:val="24"/>
          <w:szCs w:val="24"/>
        </w:rPr>
        <w:t>.</w:t>
      </w:r>
    </w:p>
    <w:p w14:paraId="120F2385" w14:textId="5BD31B0E" w:rsidR="00E662A1" w:rsidRPr="00E625F3" w:rsidRDefault="00000000" w:rsidP="004C1873">
      <w:pPr>
        <w:spacing w:after="180" w:line="276" w:lineRule="auto"/>
        <w:jc w:val="both"/>
        <w:rPr>
          <w:rFonts w:ascii="Times New Roman" w:hAnsi="Times New Roman" w:cs="Times New Roman"/>
          <w:sz w:val="24"/>
          <w:szCs w:val="24"/>
        </w:rPr>
      </w:pPr>
      <w:r w:rsidRPr="00E625F3">
        <w:rPr>
          <w:rFonts w:ascii="Times New Roman" w:hAnsi="Times New Roman" w:cs="Times New Roman"/>
          <w:sz w:val="24"/>
          <w:szCs w:val="24"/>
        </w:rPr>
        <w:t xml:space="preserve">Two patterns stand out. First, IRR compresses as pathways move down the value chain from FLNG toward GTL and </w:t>
      </w:r>
      <w:r w:rsidR="004C1873" w:rsidRPr="00E625F3">
        <w:rPr>
          <w:rFonts w:ascii="Times New Roman" w:hAnsi="Times New Roman" w:cs="Times New Roman"/>
          <w:sz w:val="24"/>
          <w:szCs w:val="24"/>
        </w:rPr>
        <w:t>methanol a</w:t>
      </w:r>
      <w:r w:rsidRPr="00E625F3">
        <w:rPr>
          <w:rFonts w:ascii="Times New Roman" w:hAnsi="Times New Roman" w:cs="Times New Roman"/>
          <w:sz w:val="24"/>
          <w:szCs w:val="24"/>
        </w:rPr>
        <w:t xml:space="preserve"> function of thinner product margins, smaller scale, and lower barriers to competitive entry globally. Second, absolute NPV is dominated by the onshore LNG trains simply because of scale: even a modest per-unit return advantage for FLNG or gas-to-power cannot close the absolute-dollar gap created by 13–18 Mtpa of throughput versus sub-5 Mtpa or domestic-scale alternatives. The practical implication for Mozambique is that LNG exports will remain the fiscal backbone of the basin's </w:t>
      </w:r>
      <w:r w:rsidR="004C1873" w:rsidRPr="00E625F3">
        <w:rPr>
          <w:rFonts w:ascii="Times New Roman" w:hAnsi="Times New Roman" w:cs="Times New Roman"/>
          <w:sz w:val="24"/>
          <w:szCs w:val="24"/>
        </w:rPr>
        <w:t>monetization</w:t>
      </w:r>
      <w:r w:rsidRPr="00E625F3">
        <w:rPr>
          <w:rFonts w:ascii="Times New Roman" w:hAnsi="Times New Roman" w:cs="Times New Roman"/>
          <w:sz w:val="24"/>
          <w:szCs w:val="24"/>
        </w:rPr>
        <w:t xml:space="preserve">, while smaller-scale pathways are best evaluated on strategic and diversification grounds rather than pure NPV </w:t>
      </w:r>
      <w:r w:rsidR="004C1873" w:rsidRPr="00E625F3">
        <w:rPr>
          <w:rFonts w:ascii="Times New Roman" w:hAnsi="Times New Roman" w:cs="Times New Roman"/>
          <w:sz w:val="24"/>
          <w:szCs w:val="24"/>
        </w:rPr>
        <w:t>maximization</w:t>
      </w:r>
      <w:r w:rsidRPr="00E625F3">
        <w:rPr>
          <w:rFonts w:ascii="Times New Roman" w:hAnsi="Times New Roman" w:cs="Times New Roman"/>
          <w:sz w:val="24"/>
          <w:szCs w:val="24"/>
        </w:rPr>
        <w:t>.</w:t>
      </w:r>
    </w:p>
    <w:p w14:paraId="69D26048" w14:textId="605E5045" w:rsidR="00E662A1" w:rsidRPr="00E625F3" w:rsidRDefault="00000000" w:rsidP="004C1873">
      <w:pPr>
        <w:spacing w:after="180" w:line="276" w:lineRule="auto"/>
        <w:jc w:val="both"/>
        <w:rPr>
          <w:rFonts w:ascii="Times New Roman" w:hAnsi="Times New Roman" w:cs="Times New Roman"/>
          <w:sz w:val="24"/>
          <w:szCs w:val="24"/>
        </w:rPr>
      </w:pPr>
      <w:r w:rsidRPr="00E625F3">
        <w:rPr>
          <w:rFonts w:ascii="Times New Roman" w:hAnsi="Times New Roman" w:cs="Times New Roman"/>
          <w:sz w:val="24"/>
          <w:szCs w:val="24"/>
        </w:rPr>
        <w:t>On a full-cycle delivered-Asia breakeven basis, Rovuma Basin LNG sits in the mid-cost quartile of the global supply curve more expensive than brownfield US Gulf Coast trains and Qatari North Field expansions, but competitive with greenfield US Gulf Coast capacity, Canadian West Coast LNG, and other East African FLNG peers. This positioning is adequate to support long-term contract sales but leaves limited margin for further cost overruns before Rovuma cargoes become price-takers at the back of the merit order during oversupply periods.</w:t>
      </w:r>
    </w:p>
    <w:p w14:paraId="01808055" w14:textId="555A5829" w:rsidR="00E662A1" w:rsidRDefault="004C1873" w:rsidP="004C1873">
      <w:pPr>
        <w:jc w:val="both"/>
        <w:rPr>
          <w:rFonts w:ascii="Times New Roman" w:hAnsi="Times New Roman" w:cs="Times New Roman"/>
          <w:b/>
          <w:bCs/>
          <w:sz w:val="24"/>
          <w:szCs w:val="24"/>
        </w:rPr>
      </w:pPr>
      <w:r w:rsidRPr="00E625F3">
        <w:rPr>
          <w:rFonts w:ascii="Times New Roman" w:hAnsi="Times New Roman" w:cs="Times New Roman"/>
          <w:b/>
          <w:bCs/>
          <w:sz w:val="24"/>
          <w:szCs w:val="24"/>
        </w:rPr>
        <w:t>FISCAL IMPLICATIONS FOR MOZAMBIQUE</w:t>
      </w:r>
    </w:p>
    <w:p w14:paraId="214000C2" w14:textId="77777777" w:rsidR="004C1873" w:rsidRPr="00E625F3" w:rsidRDefault="004C1873" w:rsidP="004C1873">
      <w:pPr>
        <w:jc w:val="both"/>
        <w:rPr>
          <w:rFonts w:ascii="Times New Roman" w:hAnsi="Times New Roman" w:cs="Times New Roman"/>
          <w:sz w:val="24"/>
          <w:szCs w:val="24"/>
        </w:rPr>
      </w:pPr>
    </w:p>
    <w:p w14:paraId="39C7E3D8" w14:textId="77777777" w:rsidR="00E662A1" w:rsidRPr="00E625F3" w:rsidRDefault="00000000" w:rsidP="004C1873">
      <w:pPr>
        <w:spacing w:after="180" w:line="276" w:lineRule="auto"/>
        <w:jc w:val="both"/>
        <w:rPr>
          <w:rFonts w:ascii="Times New Roman" w:hAnsi="Times New Roman" w:cs="Times New Roman"/>
          <w:sz w:val="24"/>
          <w:szCs w:val="24"/>
        </w:rPr>
      </w:pPr>
      <w:r w:rsidRPr="00E625F3">
        <w:rPr>
          <w:rFonts w:ascii="Times New Roman" w:hAnsi="Times New Roman" w:cs="Times New Roman"/>
          <w:sz w:val="24"/>
          <w:szCs w:val="24"/>
        </w:rPr>
        <w:t>Mozambique's petroleum fiscal regime combines cost recovery, a production-based royalty, standard corporate income tax (32%), and state equity participation via ENH (typically 10–15% carried and paying interests across Area 1 and Area 4). Government-commissioned analysis (Deloitte) has cited potential cumulative revenues of up to $100bn (nominal) by 2040 from the basin, which would place Mozambique among the world's top ten gas producers and account for roughly 20% of Africa's LNG production.</w:t>
      </w:r>
    </w:p>
    <w:p w14:paraId="447C9A54" w14:textId="77777777" w:rsidR="00E662A1" w:rsidRPr="00E625F3" w:rsidRDefault="00000000" w:rsidP="004C1873">
      <w:pPr>
        <w:spacing w:after="180" w:line="276" w:lineRule="auto"/>
        <w:jc w:val="both"/>
        <w:rPr>
          <w:rFonts w:ascii="Times New Roman" w:hAnsi="Times New Roman" w:cs="Times New Roman"/>
          <w:sz w:val="24"/>
          <w:szCs w:val="24"/>
        </w:rPr>
      </w:pPr>
      <w:r w:rsidRPr="00E625F3">
        <w:rPr>
          <w:rFonts w:ascii="Times New Roman" w:hAnsi="Times New Roman" w:cs="Times New Roman"/>
          <w:sz w:val="24"/>
          <w:szCs w:val="24"/>
        </w:rPr>
        <w:lastRenderedPageBreak/>
        <w:t xml:space="preserve">On an NPV basis at a 10% real discount rate, illustrative modelling suggests the government's net take from gross LNG export revenue could retain roughly 40–45% of value after cost recovery, OPEX, royalty and tax deductions, before adding ENH's direct equity dividend stream. This is a materially </w:t>
      </w:r>
      <w:proofErr w:type="spellStart"/>
      <w:r w:rsidRPr="00E625F3">
        <w:rPr>
          <w:rFonts w:ascii="Times New Roman" w:hAnsi="Times New Roman" w:cs="Times New Roman"/>
          <w:sz w:val="24"/>
          <w:szCs w:val="24"/>
        </w:rPr>
        <w:t>favourable</w:t>
      </w:r>
      <w:proofErr w:type="spellEnd"/>
      <w:r w:rsidRPr="00E625F3">
        <w:rPr>
          <w:rFonts w:ascii="Times New Roman" w:hAnsi="Times New Roman" w:cs="Times New Roman"/>
          <w:sz w:val="24"/>
          <w:szCs w:val="24"/>
        </w:rPr>
        <w:t xml:space="preserve"> government-take ratio relative to many African upstream fiscal regimes, reflecting Mozambique's 2014 Petroleum Law and subsequent contract terms negotiated during a period of strong IOC interest in frontier LNG.</w:t>
      </w:r>
    </w:p>
    <w:p w14:paraId="7B396B0B" w14:textId="77777777" w:rsidR="00E662A1" w:rsidRPr="00E625F3" w:rsidRDefault="00000000" w:rsidP="004C1873">
      <w:pPr>
        <w:pStyle w:val="ListParagraph"/>
        <w:numPr>
          <w:ilvl w:val="0"/>
          <w:numId w:val="2"/>
        </w:numPr>
        <w:spacing w:after="90" w:line="264" w:lineRule="auto"/>
        <w:jc w:val="both"/>
        <w:rPr>
          <w:rFonts w:ascii="Times New Roman" w:hAnsi="Times New Roman" w:cs="Times New Roman"/>
          <w:sz w:val="24"/>
          <w:szCs w:val="24"/>
        </w:rPr>
      </w:pPr>
      <w:r w:rsidRPr="00E625F3">
        <w:rPr>
          <w:rFonts w:ascii="Times New Roman" w:hAnsi="Times New Roman" w:cs="Times New Roman"/>
          <w:sz w:val="24"/>
          <w:szCs w:val="24"/>
        </w:rPr>
        <w:t xml:space="preserve">Revenue timing risk: because both Area 1 and Area 4 first cash flows are now pushed to 2029–2030, and cost recovery will absorb the bulk of early revenue, meaningful net fiscal receipts are unlikely to </w:t>
      </w:r>
      <w:proofErr w:type="spellStart"/>
      <w:r w:rsidRPr="00E625F3">
        <w:rPr>
          <w:rFonts w:ascii="Times New Roman" w:hAnsi="Times New Roman" w:cs="Times New Roman"/>
          <w:sz w:val="24"/>
          <w:szCs w:val="24"/>
        </w:rPr>
        <w:t>materialise</w:t>
      </w:r>
      <w:proofErr w:type="spellEnd"/>
      <w:r w:rsidRPr="00E625F3">
        <w:rPr>
          <w:rFonts w:ascii="Times New Roman" w:hAnsi="Times New Roman" w:cs="Times New Roman"/>
          <w:sz w:val="24"/>
          <w:szCs w:val="24"/>
        </w:rPr>
        <w:t xml:space="preserve"> at scale before the early-to-mid 2030s — a decade later than originally envisaged at the 2019 FID.</w:t>
      </w:r>
    </w:p>
    <w:p w14:paraId="64CC7FBA" w14:textId="77777777" w:rsidR="00E662A1" w:rsidRPr="00E625F3" w:rsidRDefault="00000000" w:rsidP="004C1873">
      <w:pPr>
        <w:pStyle w:val="ListParagraph"/>
        <w:numPr>
          <w:ilvl w:val="0"/>
          <w:numId w:val="2"/>
        </w:numPr>
        <w:spacing w:after="90" w:line="264" w:lineRule="auto"/>
        <w:jc w:val="both"/>
        <w:rPr>
          <w:rFonts w:ascii="Times New Roman" w:hAnsi="Times New Roman" w:cs="Times New Roman"/>
          <w:sz w:val="24"/>
          <w:szCs w:val="24"/>
        </w:rPr>
      </w:pPr>
      <w:r w:rsidRPr="00E625F3">
        <w:rPr>
          <w:rFonts w:ascii="Times New Roman" w:hAnsi="Times New Roman" w:cs="Times New Roman"/>
          <w:sz w:val="24"/>
          <w:szCs w:val="24"/>
        </w:rPr>
        <w:t>Sovereign wealth and fiscal management: Mozambique's institutional capacity to manage a multi-decade, back-loaded revenue stream (avoiding the resource-curse pattern seen elsewhere in Africa) will be a critical determinant of whether fiscal gains translate into durable development outcomes.</w:t>
      </w:r>
    </w:p>
    <w:p w14:paraId="144CF0CB" w14:textId="77777777" w:rsidR="00E662A1" w:rsidRPr="00E625F3" w:rsidRDefault="00000000" w:rsidP="004C1873">
      <w:pPr>
        <w:pStyle w:val="ListParagraph"/>
        <w:numPr>
          <w:ilvl w:val="0"/>
          <w:numId w:val="2"/>
        </w:numPr>
        <w:spacing w:after="90" w:line="264" w:lineRule="auto"/>
        <w:jc w:val="both"/>
        <w:rPr>
          <w:rFonts w:ascii="Times New Roman" w:hAnsi="Times New Roman" w:cs="Times New Roman"/>
          <w:sz w:val="24"/>
          <w:szCs w:val="24"/>
        </w:rPr>
      </w:pPr>
      <w:r w:rsidRPr="00E625F3">
        <w:rPr>
          <w:rFonts w:ascii="Times New Roman" w:hAnsi="Times New Roman" w:cs="Times New Roman"/>
          <w:sz w:val="24"/>
          <w:szCs w:val="24"/>
        </w:rPr>
        <w:t xml:space="preserve">Debt sustainability: Mozambique's public debt profile, still recovering from the 2016 "hidden debt" crisis, means that anticipated LNG revenues are likely to be a key reference point in future sovereign credit assessments and IMF </w:t>
      </w:r>
      <w:proofErr w:type="spellStart"/>
      <w:r w:rsidRPr="00E625F3">
        <w:rPr>
          <w:rFonts w:ascii="Times New Roman" w:hAnsi="Times New Roman" w:cs="Times New Roman"/>
          <w:sz w:val="24"/>
          <w:szCs w:val="24"/>
        </w:rPr>
        <w:t>programme</w:t>
      </w:r>
      <w:proofErr w:type="spellEnd"/>
      <w:r w:rsidRPr="00E625F3">
        <w:rPr>
          <w:rFonts w:ascii="Times New Roman" w:hAnsi="Times New Roman" w:cs="Times New Roman"/>
          <w:sz w:val="24"/>
          <w:szCs w:val="24"/>
        </w:rPr>
        <w:t xml:space="preserve"> reviews, even before cash is received, given forward-looking market and rating-agency treatment of anticipated resource revenue.</w:t>
      </w:r>
    </w:p>
    <w:p w14:paraId="66BE56A3" w14:textId="07A555C6" w:rsidR="00E662A1" w:rsidRPr="00E625F3" w:rsidRDefault="004C1873" w:rsidP="004C1873">
      <w:pPr>
        <w:pStyle w:val="Heading1"/>
        <w:spacing w:before="400" w:after="200"/>
        <w:jc w:val="both"/>
        <w:rPr>
          <w:rFonts w:ascii="Times New Roman" w:hAnsi="Times New Roman" w:cs="Times New Roman"/>
          <w:color w:val="auto"/>
          <w:sz w:val="24"/>
          <w:szCs w:val="24"/>
        </w:rPr>
      </w:pPr>
      <w:r w:rsidRPr="00E625F3">
        <w:rPr>
          <w:rFonts w:ascii="Times New Roman" w:hAnsi="Times New Roman" w:cs="Times New Roman"/>
          <w:b/>
          <w:bCs/>
          <w:color w:val="auto"/>
          <w:sz w:val="24"/>
          <w:szCs w:val="24"/>
        </w:rPr>
        <w:t>DOMESTIC INDUSTRIALISATION POTENTIAL</w:t>
      </w:r>
    </w:p>
    <w:p w14:paraId="2F0EA294" w14:textId="77777777" w:rsidR="00E662A1" w:rsidRPr="00E625F3" w:rsidRDefault="00000000" w:rsidP="004C1873">
      <w:pPr>
        <w:spacing w:after="180" w:line="276" w:lineRule="auto"/>
        <w:jc w:val="both"/>
        <w:rPr>
          <w:rFonts w:ascii="Times New Roman" w:hAnsi="Times New Roman" w:cs="Times New Roman"/>
          <w:sz w:val="24"/>
          <w:szCs w:val="24"/>
        </w:rPr>
      </w:pPr>
      <w:r w:rsidRPr="00E625F3">
        <w:rPr>
          <w:rFonts w:ascii="Times New Roman" w:hAnsi="Times New Roman" w:cs="Times New Roman"/>
          <w:sz w:val="24"/>
          <w:szCs w:val="24"/>
        </w:rPr>
        <w:t xml:space="preserve">ENH has publicly flagged a strategic ambition to transform Mozambique "from a major LNG exporter into an integrated gas economy," citing the proposed North-South pipeline and feasibility studies for </w:t>
      </w:r>
      <w:proofErr w:type="spellStart"/>
      <w:r w:rsidRPr="00E625F3">
        <w:rPr>
          <w:rFonts w:ascii="Times New Roman" w:hAnsi="Times New Roman" w:cs="Times New Roman"/>
          <w:sz w:val="24"/>
          <w:szCs w:val="24"/>
        </w:rPr>
        <w:t>fertiliser</w:t>
      </w:r>
      <w:proofErr w:type="spellEnd"/>
      <w:r w:rsidRPr="00E625F3">
        <w:rPr>
          <w:rFonts w:ascii="Times New Roman" w:hAnsi="Times New Roman" w:cs="Times New Roman"/>
          <w:sz w:val="24"/>
          <w:szCs w:val="24"/>
        </w:rPr>
        <w:t xml:space="preserve"> and methanol production. Gas-to-power demand is expected to be the largest domestic growth driver through 2045, followed by industrial and manufacturing feedstock use, LPG for household cooking (targeting a substantial reduction in imported bottled gas), and a nascent </w:t>
      </w:r>
      <w:proofErr w:type="spellStart"/>
      <w:r w:rsidRPr="00E625F3">
        <w:rPr>
          <w:rFonts w:ascii="Times New Roman" w:hAnsi="Times New Roman" w:cs="Times New Roman"/>
          <w:sz w:val="24"/>
          <w:szCs w:val="24"/>
        </w:rPr>
        <w:t>fertiliser</w:t>
      </w:r>
      <w:proofErr w:type="spellEnd"/>
      <w:r w:rsidRPr="00E625F3">
        <w:rPr>
          <w:rFonts w:ascii="Times New Roman" w:hAnsi="Times New Roman" w:cs="Times New Roman"/>
          <w:sz w:val="24"/>
          <w:szCs w:val="24"/>
        </w:rPr>
        <w:t xml:space="preserve"> and petrochemical feedstock stream.</w:t>
      </w:r>
    </w:p>
    <w:p w14:paraId="5F7FC8CD" w14:textId="77777777" w:rsidR="00E662A1" w:rsidRPr="00E625F3" w:rsidRDefault="00000000" w:rsidP="004C1873">
      <w:pPr>
        <w:pStyle w:val="ListParagraph"/>
        <w:numPr>
          <w:ilvl w:val="0"/>
          <w:numId w:val="2"/>
        </w:numPr>
        <w:spacing w:after="90" w:line="264" w:lineRule="auto"/>
        <w:jc w:val="both"/>
        <w:rPr>
          <w:rFonts w:ascii="Times New Roman" w:hAnsi="Times New Roman" w:cs="Times New Roman"/>
          <w:sz w:val="24"/>
          <w:szCs w:val="24"/>
        </w:rPr>
      </w:pPr>
      <w:r w:rsidRPr="00E625F3">
        <w:rPr>
          <w:rFonts w:ascii="Times New Roman" w:hAnsi="Times New Roman" w:cs="Times New Roman"/>
          <w:sz w:val="24"/>
          <w:szCs w:val="24"/>
        </w:rPr>
        <w:t xml:space="preserve">Gas-to-power: the 450MW </w:t>
      </w:r>
      <w:proofErr w:type="spellStart"/>
      <w:r w:rsidRPr="00E625F3">
        <w:rPr>
          <w:rFonts w:ascii="Times New Roman" w:hAnsi="Times New Roman" w:cs="Times New Roman"/>
          <w:sz w:val="24"/>
          <w:szCs w:val="24"/>
        </w:rPr>
        <w:t>Temane</w:t>
      </w:r>
      <w:proofErr w:type="spellEnd"/>
      <w:r w:rsidRPr="00E625F3">
        <w:rPr>
          <w:rFonts w:ascii="Times New Roman" w:hAnsi="Times New Roman" w:cs="Times New Roman"/>
          <w:sz w:val="24"/>
          <w:szCs w:val="24"/>
        </w:rPr>
        <w:t xml:space="preserve"> CCGT and proposed 2GW </w:t>
      </w:r>
      <w:proofErr w:type="spellStart"/>
      <w:r w:rsidRPr="00E625F3">
        <w:rPr>
          <w:rFonts w:ascii="Times New Roman" w:hAnsi="Times New Roman" w:cs="Times New Roman"/>
          <w:sz w:val="24"/>
          <w:szCs w:val="24"/>
        </w:rPr>
        <w:t>Beluluane</w:t>
      </w:r>
      <w:proofErr w:type="spellEnd"/>
      <w:r w:rsidRPr="00E625F3">
        <w:rPr>
          <w:rFonts w:ascii="Times New Roman" w:hAnsi="Times New Roman" w:cs="Times New Roman"/>
          <w:sz w:val="24"/>
          <w:szCs w:val="24"/>
        </w:rPr>
        <w:t xml:space="preserve"> plant, if </w:t>
      </w:r>
      <w:proofErr w:type="spellStart"/>
      <w:r w:rsidRPr="00E625F3">
        <w:rPr>
          <w:rFonts w:ascii="Times New Roman" w:hAnsi="Times New Roman" w:cs="Times New Roman"/>
          <w:sz w:val="24"/>
          <w:szCs w:val="24"/>
        </w:rPr>
        <w:t>realised</w:t>
      </w:r>
      <w:proofErr w:type="spellEnd"/>
      <w:r w:rsidRPr="00E625F3">
        <w:rPr>
          <w:rFonts w:ascii="Times New Roman" w:hAnsi="Times New Roman" w:cs="Times New Roman"/>
          <w:sz w:val="24"/>
          <w:szCs w:val="24"/>
        </w:rPr>
        <w:t>, would more than triple Mozambique's gas-fired generation capacity, materially improving electrification rates and industrial competitiveness.</w:t>
      </w:r>
    </w:p>
    <w:p w14:paraId="444753CA" w14:textId="77777777" w:rsidR="00E662A1" w:rsidRPr="00E625F3" w:rsidRDefault="00000000" w:rsidP="004C1873">
      <w:pPr>
        <w:pStyle w:val="ListParagraph"/>
        <w:numPr>
          <w:ilvl w:val="0"/>
          <w:numId w:val="2"/>
        </w:numPr>
        <w:spacing w:after="90" w:line="264" w:lineRule="auto"/>
        <w:jc w:val="both"/>
        <w:rPr>
          <w:rFonts w:ascii="Times New Roman" w:hAnsi="Times New Roman" w:cs="Times New Roman"/>
          <w:sz w:val="24"/>
          <w:szCs w:val="24"/>
        </w:rPr>
      </w:pPr>
      <w:r w:rsidRPr="00E625F3">
        <w:rPr>
          <w:rFonts w:ascii="Times New Roman" w:hAnsi="Times New Roman" w:cs="Times New Roman"/>
          <w:sz w:val="24"/>
          <w:szCs w:val="24"/>
        </w:rPr>
        <w:t xml:space="preserve">LPG massification: Sasol's </w:t>
      </w:r>
      <w:proofErr w:type="spellStart"/>
      <w:r w:rsidRPr="00E625F3">
        <w:rPr>
          <w:rFonts w:ascii="Times New Roman" w:hAnsi="Times New Roman" w:cs="Times New Roman"/>
          <w:sz w:val="24"/>
          <w:szCs w:val="24"/>
        </w:rPr>
        <w:t>Temane</w:t>
      </w:r>
      <w:proofErr w:type="spellEnd"/>
      <w:r w:rsidRPr="00E625F3">
        <w:rPr>
          <w:rFonts w:ascii="Times New Roman" w:hAnsi="Times New Roman" w:cs="Times New Roman"/>
          <w:sz w:val="24"/>
          <w:szCs w:val="24"/>
        </w:rPr>
        <w:t xml:space="preserve"> LPG plant (approximately 30,000 </w:t>
      </w:r>
      <w:proofErr w:type="spellStart"/>
      <w:r w:rsidRPr="00E625F3">
        <w:rPr>
          <w:rFonts w:ascii="Times New Roman" w:hAnsi="Times New Roman" w:cs="Times New Roman"/>
          <w:sz w:val="24"/>
          <w:szCs w:val="24"/>
        </w:rPr>
        <w:t>tonnes</w:t>
      </w:r>
      <w:proofErr w:type="spellEnd"/>
      <w:r w:rsidRPr="00E625F3">
        <w:rPr>
          <w:rFonts w:ascii="Times New Roman" w:hAnsi="Times New Roman" w:cs="Times New Roman"/>
          <w:sz w:val="24"/>
          <w:szCs w:val="24"/>
        </w:rPr>
        <w:t>/year) targets replacing roughly 70% of Mozambique's current bottled-gas imports, a meaningful household energy-security and import-substitution gain even though it is small in absolute gas-volume terms.</w:t>
      </w:r>
    </w:p>
    <w:p w14:paraId="7F6634C3" w14:textId="77777777" w:rsidR="00E662A1" w:rsidRPr="00E625F3" w:rsidRDefault="00000000" w:rsidP="004C1873">
      <w:pPr>
        <w:pStyle w:val="ListParagraph"/>
        <w:numPr>
          <w:ilvl w:val="0"/>
          <w:numId w:val="2"/>
        </w:numPr>
        <w:spacing w:after="90" w:line="264" w:lineRule="auto"/>
        <w:jc w:val="both"/>
        <w:rPr>
          <w:rFonts w:ascii="Times New Roman" w:hAnsi="Times New Roman" w:cs="Times New Roman"/>
          <w:sz w:val="24"/>
          <w:szCs w:val="24"/>
        </w:rPr>
      </w:pPr>
      <w:r w:rsidRPr="00E625F3">
        <w:rPr>
          <w:rFonts w:ascii="Times New Roman" w:hAnsi="Times New Roman" w:cs="Times New Roman"/>
          <w:sz w:val="24"/>
          <w:szCs w:val="24"/>
        </w:rPr>
        <w:t xml:space="preserve">Petrochemicals: feasibility work on </w:t>
      </w:r>
      <w:proofErr w:type="spellStart"/>
      <w:r w:rsidRPr="00E625F3">
        <w:rPr>
          <w:rFonts w:ascii="Times New Roman" w:hAnsi="Times New Roman" w:cs="Times New Roman"/>
          <w:sz w:val="24"/>
          <w:szCs w:val="24"/>
        </w:rPr>
        <w:t>fertiliser</w:t>
      </w:r>
      <w:proofErr w:type="spellEnd"/>
      <w:r w:rsidRPr="00E625F3">
        <w:rPr>
          <w:rFonts w:ascii="Times New Roman" w:hAnsi="Times New Roman" w:cs="Times New Roman"/>
          <w:sz w:val="24"/>
          <w:szCs w:val="24"/>
        </w:rPr>
        <w:t xml:space="preserve"> and methanol production is at an early stage; the Yara International contract envisioned </w:t>
      </w:r>
      <w:proofErr w:type="spellStart"/>
      <w:r w:rsidRPr="00E625F3">
        <w:rPr>
          <w:rFonts w:ascii="Times New Roman" w:hAnsi="Times New Roman" w:cs="Times New Roman"/>
          <w:sz w:val="24"/>
          <w:szCs w:val="24"/>
        </w:rPr>
        <w:t>fertiliser</w:t>
      </w:r>
      <w:proofErr w:type="spellEnd"/>
      <w:r w:rsidRPr="00E625F3">
        <w:rPr>
          <w:rFonts w:ascii="Times New Roman" w:hAnsi="Times New Roman" w:cs="Times New Roman"/>
          <w:sz w:val="24"/>
          <w:szCs w:val="24"/>
        </w:rPr>
        <w:t xml:space="preserve"> output alongside 30–50MW of associated power generation, indicating an integrated development model is likely for future petrochemical FIDs.</w:t>
      </w:r>
    </w:p>
    <w:p w14:paraId="0F030884"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br w:type="page"/>
      </w:r>
    </w:p>
    <w:p w14:paraId="026A642F" w14:textId="3F56C583" w:rsidR="00E662A1" w:rsidRPr="00E625F3" w:rsidRDefault="004C1873" w:rsidP="004C1873">
      <w:pPr>
        <w:pStyle w:val="Heading1"/>
        <w:spacing w:before="400" w:after="200"/>
        <w:jc w:val="both"/>
        <w:rPr>
          <w:rFonts w:ascii="Times New Roman" w:hAnsi="Times New Roman" w:cs="Times New Roman"/>
          <w:color w:val="auto"/>
          <w:sz w:val="24"/>
          <w:szCs w:val="24"/>
        </w:rPr>
      </w:pPr>
      <w:r w:rsidRPr="00E625F3">
        <w:rPr>
          <w:rFonts w:ascii="Times New Roman" w:hAnsi="Times New Roman" w:cs="Times New Roman"/>
          <w:b/>
          <w:bCs/>
          <w:color w:val="auto"/>
          <w:sz w:val="24"/>
          <w:szCs w:val="24"/>
        </w:rPr>
        <w:lastRenderedPageBreak/>
        <w:t>LOCAL CONTENT OPPORTUNITIES</w:t>
      </w:r>
    </w:p>
    <w:p w14:paraId="46920357" w14:textId="77777777" w:rsidR="00E662A1" w:rsidRPr="00E625F3" w:rsidRDefault="00000000" w:rsidP="004C1873">
      <w:pPr>
        <w:spacing w:after="180" w:line="276" w:lineRule="auto"/>
        <w:jc w:val="both"/>
        <w:rPr>
          <w:rFonts w:ascii="Times New Roman" w:hAnsi="Times New Roman" w:cs="Times New Roman"/>
          <w:sz w:val="24"/>
          <w:szCs w:val="24"/>
        </w:rPr>
      </w:pPr>
      <w:r w:rsidRPr="00E625F3">
        <w:rPr>
          <w:rFonts w:ascii="Times New Roman" w:hAnsi="Times New Roman" w:cs="Times New Roman"/>
          <w:sz w:val="24"/>
          <w:szCs w:val="24"/>
        </w:rPr>
        <w:t xml:space="preserve">Local content policy has become a central negotiating theme as construction </w:t>
      </w:r>
      <w:proofErr w:type="spellStart"/>
      <w:r w:rsidRPr="00E625F3">
        <w:rPr>
          <w:rFonts w:ascii="Times New Roman" w:hAnsi="Times New Roman" w:cs="Times New Roman"/>
          <w:sz w:val="24"/>
          <w:szCs w:val="24"/>
        </w:rPr>
        <w:t>remobilises</w:t>
      </w:r>
      <w:proofErr w:type="spellEnd"/>
      <w:r w:rsidRPr="00E625F3">
        <w:rPr>
          <w:rFonts w:ascii="Times New Roman" w:hAnsi="Times New Roman" w:cs="Times New Roman"/>
          <w:sz w:val="24"/>
          <w:szCs w:val="24"/>
        </w:rPr>
        <w:t xml:space="preserve">, both because of the scale of the workforce </w:t>
      </w:r>
      <w:proofErr w:type="spellStart"/>
      <w:r w:rsidRPr="00E625F3">
        <w:rPr>
          <w:rFonts w:ascii="Times New Roman" w:hAnsi="Times New Roman" w:cs="Times New Roman"/>
          <w:sz w:val="24"/>
          <w:szCs w:val="24"/>
        </w:rPr>
        <w:t>mobilisation</w:t>
      </w:r>
      <w:proofErr w:type="spellEnd"/>
      <w:r w:rsidRPr="00E625F3">
        <w:rPr>
          <w:rFonts w:ascii="Times New Roman" w:hAnsi="Times New Roman" w:cs="Times New Roman"/>
          <w:sz w:val="24"/>
          <w:szCs w:val="24"/>
        </w:rPr>
        <w:t xml:space="preserve"> already under way (over 4,000 workers at Area 1 alone, roughly 80% Mozambican) and because of the political imperative to demonstrate tangible benefit to Cabo Delgado communities most affected by the insurgency and by construction-related displacement.</w:t>
      </w:r>
    </w:p>
    <w:p w14:paraId="6A96F726" w14:textId="77777777" w:rsidR="00E662A1" w:rsidRPr="00E625F3" w:rsidRDefault="00000000" w:rsidP="004C1873">
      <w:pPr>
        <w:pStyle w:val="ListParagraph"/>
        <w:numPr>
          <w:ilvl w:val="0"/>
          <w:numId w:val="2"/>
        </w:numPr>
        <w:spacing w:after="90" w:line="264" w:lineRule="auto"/>
        <w:jc w:val="both"/>
        <w:rPr>
          <w:rFonts w:ascii="Times New Roman" w:hAnsi="Times New Roman" w:cs="Times New Roman"/>
          <w:sz w:val="24"/>
          <w:szCs w:val="24"/>
        </w:rPr>
      </w:pPr>
      <w:r w:rsidRPr="00E625F3">
        <w:rPr>
          <w:rFonts w:ascii="Times New Roman" w:hAnsi="Times New Roman" w:cs="Times New Roman"/>
          <w:sz w:val="24"/>
          <w:szCs w:val="24"/>
        </w:rPr>
        <w:t>Direct employment: construction-phase employment across Area 1 and Area 4 is expected to peak in the high thousands during 2027–2029, with a much smaller permanent operations workforce (typically low hundreds per LNG train) once trains are commissioned — a structural feature of capital-intensive LNG that argues for parallel investment in downstream and domestic-facing industries with more durable employment intensity.</w:t>
      </w:r>
    </w:p>
    <w:p w14:paraId="3C9455C8" w14:textId="77777777" w:rsidR="00E662A1" w:rsidRPr="00E625F3" w:rsidRDefault="00000000" w:rsidP="004C1873">
      <w:pPr>
        <w:pStyle w:val="ListParagraph"/>
        <w:numPr>
          <w:ilvl w:val="0"/>
          <w:numId w:val="2"/>
        </w:numPr>
        <w:spacing w:after="90" w:line="264" w:lineRule="auto"/>
        <w:jc w:val="both"/>
        <w:rPr>
          <w:rFonts w:ascii="Times New Roman" w:hAnsi="Times New Roman" w:cs="Times New Roman"/>
          <w:sz w:val="24"/>
          <w:szCs w:val="24"/>
        </w:rPr>
      </w:pPr>
      <w:r w:rsidRPr="00E625F3">
        <w:rPr>
          <w:rFonts w:ascii="Times New Roman" w:hAnsi="Times New Roman" w:cs="Times New Roman"/>
          <w:sz w:val="24"/>
          <w:szCs w:val="24"/>
        </w:rPr>
        <w:t>Skills and training: technical, safety, and marine-construction skills gaps remain a binding constraint; sustained local content gains will depend on vocational training pipelines (welding, instrumentation, HSE, marine logistics) rather than headline workforce percentages alone.</w:t>
      </w:r>
    </w:p>
    <w:p w14:paraId="21AB9F7E" w14:textId="77777777" w:rsidR="00E662A1" w:rsidRPr="00E625F3" w:rsidRDefault="00000000" w:rsidP="004C1873">
      <w:pPr>
        <w:pStyle w:val="ListParagraph"/>
        <w:numPr>
          <w:ilvl w:val="0"/>
          <w:numId w:val="2"/>
        </w:numPr>
        <w:spacing w:after="90" w:line="264" w:lineRule="auto"/>
        <w:jc w:val="both"/>
        <w:rPr>
          <w:rFonts w:ascii="Times New Roman" w:hAnsi="Times New Roman" w:cs="Times New Roman"/>
          <w:sz w:val="24"/>
          <w:szCs w:val="24"/>
        </w:rPr>
      </w:pPr>
      <w:r w:rsidRPr="00E625F3">
        <w:rPr>
          <w:rFonts w:ascii="Times New Roman" w:hAnsi="Times New Roman" w:cs="Times New Roman"/>
          <w:sz w:val="24"/>
          <w:szCs w:val="24"/>
        </w:rPr>
        <w:t xml:space="preserve">SME and supply chain participation: catering, logistics, security services, and light civil works offer near-term opportunities for Mozambican SMEs; higher-value fabrication and </w:t>
      </w:r>
      <w:proofErr w:type="spellStart"/>
      <w:r w:rsidRPr="00E625F3">
        <w:rPr>
          <w:rFonts w:ascii="Times New Roman" w:hAnsi="Times New Roman" w:cs="Times New Roman"/>
          <w:sz w:val="24"/>
          <w:szCs w:val="24"/>
        </w:rPr>
        <w:t>specialised</w:t>
      </w:r>
      <w:proofErr w:type="spellEnd"/>
      <w:r w:rsidRPr="00E625F3">
        <w:rPr>
          <w:rFonts w:ascii="Times New Roman" w:hAnsi="Times New Roman" w:cs="Times New Roman"/>
          <w:sz w:val="24"/>
          <w:szCs w:val="24"/>
        </w:rPr>
        <w:t xml:space="preserve"> EPC work will likely remain foreign-contractor dominated through the current construction wave.</w:t>
      </w:r>
    </w:p>
    <w:p w14:paraId="50126357" w14:textId="77777777" w:rsidR="00E662A1" w:rsidRDefault="00000000" w:rsidP="004C1873">
      <w:pPr>
        <w:pStyle w:val="ListParagraph"/>
        <w:numPr>
          <w:ilvl w:val="0"/>
          <w:numId w:val="2"/>
        </w:numPr>
        <w:spacing w:after="90" w:line="264" w:lineRule="auto"/>
        <w:jc w:val="both"/>
        <w:rPr>
          <w:rFonts w:ascii="Times New Roman" w:hAnsi="Times New Roman" w:cs="Times New Roman"/>
          <w:sz w:val="24"/>
          <w:szCs w:val="24"/>
        </w:rPr>
      </w:pPr>
      <w:r w:rsidRPr="00E625F3">
        <w:rPr>
          <w:rFonts w:ascii="Times New Roman" w:hAnsi="Times New Roman" w:cs="Times New Roman"/>
          <w:sz w:val="24"/>
          <w:szCs w:val="24"/>
        </w:rPr>
        <w:t>Community investment and Cabo Delgado reconstruction: both operators have linked social investment and resettlement commitments to project relicensing and community relations, given the reputational and operational lessons of the 2021 Palma attack.</w:t>
      </w:r>
    </w:p>
    <w:p w14:paraId="60D63115" w14:textId="77777777" w:rsidR="004C1873" w:rsidRPr="00E625F3" w:rsidRDefault="004C1873" w:rsidP="004C1873">
      <w:pPr>
        <w:pStyle w:val="ListParagraph"/>
        <w:spacing w:after="90" w:line="264" w:lineRule="auto"/>
        <w:ind w:left="450"/>
        <w:jc w:val="both"/>
        <w:rPr>
          <w:rFonts w:ascii="Times New Roman" w:hAnsi="Times New Roman" w:cs="Times New Roman"/>
          <w:sz w:val="24"/>
          <w:szCs w:val="24"/>
        </w:rPr>
      </w:pPr>
    </w:p>
    <w:p w14:paraId="17D84EF2" w14:textId="0DDEF2B2" w:rsidR="00E662A1" w:rsidRPr="00E625F3" w:rsidRDefault="004C1873" w:rsidP="004C1873">
      <w:pPr>
        <w:jc w:val="both"/>
        <w:rPr>
          <w:rFonts w:ascii="Times New Roman" w:hAnsi="Times New Roman" w:cs="Times New Roman"/>
          <w:sz w:val="24"/>
          <w:szCs w:val="24"/>
        </w:rPr>
      </w:pPr>
      <w:r w:rsidRPr="00E625F3">
        <w:rPr>
          <w:rFonts w:ascii="Times New Roman" w:hAnsi="Times New Roman" w:cs="Times New Roman"/>
          <w:b/>
          <w:bCs/>
          <w:sz w:val="24"/>
          <w:szCs w:val="24"/>
        </w:rPr>
        <w:t>FINANCING LANDSCAPE</w:t>
      </w:r>
    </w:p>
    <w:p w14:paraId="605952EF" w14:textId="77777777" w:rsidR="00E662A1" w:rsidRPr="00E625F3" w:rsidRDefault="00000000" w:rsidP="004C1873">
      <w:pPr>
        <w:spacing w:after="180" w:line="276" w:lineRule="auto"/>
        <w:jc w:val="both"/>
        <w:rPr>
          <w:rFonts w:ascii="Times New Roman" w:hAnsi="Times New Roman" w:cs="Times New Roman"/>
          <w:sz w:val="24"/>
          <w:szCs w:val="24"/>
        </w:rPr>
      </w:pPr>
      <w:r w:rsidRPr="00E625F3">
        <w:rPr>
          <w:rFonts w:ascii="Times New Roman" w:hAnsi="Times New Roman" w:cs="Times New Roman"/>
          <w:sz w:val="24"/>
          <w:szCs w:val="24"/>
        </w:rPr>
        <w:t>Project financing for Rovuma Basin LNG has relied on a syndicate of export credit agencies (ECAs), multilateral and bilateral development finance institutions, and commercial bank debt, layered beneath IOC and NOC equity. The financing picture has broadly reconsolidated since the 2025 force majeure lift, though not without friction.</w:t>
      </w:r>
    </w:p>
    <w:p w14:paraId="5DCF7D6E" w14:textId="77777777" w:rsidR="00E662A1" w:rsidRPr="00E625F3" w:rsidRDefault="00000000" w:rsidP="004C1873">
      <w:pPr>
        <w:pStyle w:val="Heading2"/>
        <w:spacing w:before="300" w:after="150"/>
        <w:jc w:val="both"/>
        <w:rPr>
          <w:rFonts w:ascii="Times New Roman" w:hAnsi="Times New Roman" w:cs="Times New Roman"/>
          <w:color w:val="auto"/>
          <w:sz w:val="24"/>
          <w:szCs w:val="24"/>
        </w:rPr>
      </w:pPr>
      <w:r w:rsidRPr="00E625F3">
        <w:rPr>
          <w:rFonts w:ascii="Times New Roman" w:hAnsi="Times New Roman" w:cs="Times New Roman"/>
          <w:b/>
          <w:bCs/>
          <w:color w:val="auto"/>
          <w:sz w:val="24"/>
          <w:szCs w:val="24"/>
        </w:rPr>
        <w:t>Export Credit Agencies and Development Finance Institutions</w:t>
      </w:r>
    </w:p>
    <w:p w14:paraId="7C0BC04C" w14:textId="77777777" w:rsidR="00E662A1" w:rsidRPr="00E625F3" w:rsidRDefault="00000000" w:rsidP="004C1873">
      <w:pPr>
        <w:pStyle w:val="ListParagraph"/>
        <w:numPr>
          <w:ilvl w:val="0"/>
          <w:numId w:val="2"/>
        </w:numPr>
        <w:spacing w:after="90" w:line="264" w:lineRule="auto"/>
        <w:jc w:val="both"/>
        <w:rPr>
          <w:rFonts w:ascii="Times New Roman" w:hAnsi="Times New Roman" w:cs="Times New Roman"/>
          <w:sz w:val="24"/>
          <w:szCs w:val="24"/>
        </w:rPr>
      </w:pPr>
      <w:r w:rsidRPr="00E625F3">
        <w:rPr>
          <w:rFonts w:ascii="Times New Roman" w:hAnsi="Times New Roman" w:cs="Times New Roman"/>
          <w:sz w:val="24"/>
          <w:szCs w:val="24"/>
        </w:rPr>
        <w:t>US EXIM Bank: reaffirmed and expanded its support for Mozambique LNG, with a financing package of approximately $4.7bn, reflecting continued US strategic interest in African LNG supply diversification and countering Chinese and Gulf capital influence in the sector.</w:t>
      </w:r>
    </w:p>
    <w:p w14:paraId="69DD0D8E" w14:textId="77777777" w:rsidR="00E662A1" w:rsidRPr="00E625F3" w:rsidRDefault="00000000" w:rsidP="004C1873">
      <w:pPr>
        <w:pStyle w:val="ListParagraph"/>
        <w:numPr>
          <w:ilvl w:val="0"/>
          <w:numId w:val="2"/>
        </w:numPr>
        <w:spacing w:after="90" w:line="264" w:lineRule="auto"/>
        <w:jc w:val="both"/>
        <w:rPr>
          <w:rFonts w:ascii="Times New Roman" w:hAnsi="Times New Roman" w:cs="Times New Roman"/>
          <w:sz w:val="24"/>
          <w:szCs w:val="24"/>
        </w:rPr>
      </w:pPr>
      <w:r w:rsidRPr="00E625F3">
        <w:rPr>
          <w:rFonts w:ascii="Times New Roman" w:hAnsi="Times New Roman" w:cs="Times New Roman"/>
          <w:sz w:val="24"/>
          <w:szCs w:val="24"/>
        </w:rPr>
        <w:t>UK Export Finance (UKEF): withdrew its approximately $1.15bn commitment to Mozambique LNG in December 2025, citing risk considerations — a significant signal of continued Western ECA sensitivity to Cabo Delgado security and human-rights exposure, even after force majeure was lifted.</w:t>
      </w:r>
    </w:p>
    <w:p w14:paraId="605DFACB" w14:textId="77777777" w:rsidR="00E662A1" w:rsidRPr="00E625F3" w:rsidRDefault="00000000" w:rsidP="004C1873">
      <w:pPr>
        <w:pStyle w:val="ListParagraph"/>
        <w:numPr>
          <w:ilvl w:val="0"/>
          <w:numId w:val="2"/>
        </w:numPr>
        <w:spacing w:after="90" w:line="264" w:lineRule="auto"/>
        <w:jc w:val="both"/>
        <w:rPr>
          <w:rFonts w:ascii="Times New Roman" w:hAnsi="Times New Roman" w:cs="Times New Roman"/>
          <w:sz w:val="24"/>
          <w:szCs w:val="24"/>
        </w:rPr>
      </w:pPr>
      <w:r w:rsidRPr="00E625F3">
        <w:rPr>
          <w:rFonts w:ascii="Times New Roman" w:hAnsi="Times New Roman" w:cs="Times New Roman"/>
          <w:sz w:val="24"/>
          <w:szCs w:val="24"/>
        </w:rPr>
        <w:t xml:space="preserve">Other ECAs and DFIs historically or currently engaged include Japan's NEXI and JBIC (linked to Mitsui's equity stake), Italy's SACE (linked to Eni), South Africa's ECIC, the </w:t>
      </w:r>
      <w:r w:rsidRPr="00E625F3">
        <w:rPr>
          <w:rFonts w:ascii="Times New Roman" w:hAnsi="Times New Roman" w:cs="Times New Roman"/>
          <w:sz w:val="24"/>
          <w:szCs w:val="24"/>
        </w:rPr>
        <w:lastRenderedPageBreak/>
        <w:t>African Development Bank, and various European and Asian export credit agencies tied to equipment and EPC contractor nationality.</w:t>
      </w:r>
    </w:p>
    <w:p w14:paraId="106B2167" w14:textId="77777777" w:rsidR="00E662A1" w:rsidRPr="00E625F3" w:rsidRDefault="00000000" w:rsidP="004C1873">
      <w:pPr>
        <w:pStyle w:val="ListParagraph"/>
        <w:numPr>
          <w:ilvl w:val="0"/>
          <w:numId w:val="2"/>
        </w:numPr>
        <w:spacing w:after="90" w:line="264" w:lineRule="auto"/>
        <w:jc w:val="both"/>
        <w:rPr>
          <w:rFonts w:ascii="Times New Roman" w:hAnsi="Times New Roman" w:cs="Times New Roman"/>
          <w:sz w:val="24"/>
          <w:szCs w:val="24"/>
        </w:rPr>
      </w:pPr>
      <w:r w:rsidRPr="00E625F3">
        <w:rPr>
          <w:rFonts w:ascii="Times New Roman" w:hAnsi="Times New Roman" w:cs="Times New Roman"/>
          <w:sz w:val="24"/>
          <w:szCs w:val="24"/>
        </w:rPr>
        <w:t xml:space="preserve">African Development Bank and other DFIs have also been engaged on domestic gas </w:t>
      </w:r>
      <w:proofErr w:type="spellStart"/>
      <w:r w:rsidRPr="00E625F3">
        <w:rPr>
          <w:rFonts w:ascii="Times New Roman" w:hAnsi="Times New Roman" w:cs="Times New Roman"/>
          <w:sz w:val="24"/>
          <w:szCs w:val="24"/>
        </w:rPr>
        <w:t>monetisation</w:t>
      </w:r>
      <w:proofErr w:type="spellEnd"/>
      <w:r w:rsidRPr="00E625F3">
        <w:rPr>
          <w:rFonts w:ascii="Times New Roman" w:hAnsi="Times New Roman" w:cs="Times New Roman"/>
          <w:sz w:val="24"/>
          <w:szCs w:val="24"/>
        </w:rPr>
        <w:t xml:space="preserve"> studies (gas-to-power, </w:t>
      </w:r>
      <w:proofErr w:type="spellStart"/>
      <w:r w:rsidRPr="00E625F3">
        <w:rPr>
          <w:rFonts w:ascii="Times New Roman" w:hAnsi="Times New Roman" w:cs="Times New Roman"/>
          <w:sz w:val="24"/>
          <w:szCs w:val="24"/>
        </w:rPr>
        <w:t>fertiliser</w:t>
      </w:r>
      <w:proofErr w:type="spellEnd"/>
      <w:r w:rsidRPr="00E625F3">
        <w:rPr>
          <w:rFonts w:ascii="Times New Roman" w:hAnsi="Times New Roman" w:cs="Times New Roman"/>
          <w:sz w:val="24"/>
          <w:szCs w:val="24"/>
        </w:rPr>
        <w:t xml:space="preserve"> feasibility), reflecting a broader development mandate distinct from the export-project financing stack.</w:t>
      </w:r>
    </w:p>
    <w:p w14:paraId="78ED3638" w14:textId="77777777" w:rsidR="00E662A1" w:rsidRPr="00E625F3" w:rsidRDefault="00000000" w:rsidP="004C1873">
      <w:pPr>
        <w:pStyle w:val="Heading2"/>
        <w:spacing w:before="300" w:after="150"/>
        <w:jc w:val="both"/>
        <w:rPr>
          <w:rFonts w:ascii="Times New Roman" w:hAnsi="Times New Roman" w:cs="Times New Roman"/>
          <w:color w:val="auto"/>
          <w:sz w:val="24"/>
          <w:szCs w:val="24"/>
        </w:rPr>
      </w:pPr>
      <w:r w:rsidRPr="00E625F3">
        <w:rPr>
          <w:rFonts w:ascii="Times New Roman" w:hAnsi="Times New Roman" w:cs="Times New Roman"/>
          <w:b/>
          <w:bCs/>
          <w:color w:val="auto"/>
          <w:sz w:val="24"/>
          <w:szCs w:val="24"/>
        </w:rPr>
        <w:t>Private Capital and Commercial Banks</w:t>
      </w:r>
    </w:p>
    <w:p w14:paraId="3F45FF53" w14:textId="77777777" w:rsidR="00E662A1" w:rsidRPr="00E625F3" w:rsidRDefault="00000000" w:rsidP="004C1873">
      <w:pPr>
        <w:spacing w:after="180" w:line="276" w:lineRule="auto"/>
        <w:jc w:val="both"/>
        <w:rPr>
          <w:rFonts w:ascii="Times New Roman" w:hAnsi="Times New Roman" w:cs="Times New Roman"/>
          <w:sz w:val="24"/>
          <w:szCs w:val="24"/>
        </w:rPr>
      </w:pPr>
      <w:r w:rsidRPr="00E625F3">
        <w:rPr>
          <w:rFonts w:ascii="Times New Roman" w:hAnsi="Times New Roman" w:cs="Times New Roman"/>
          <w:sz w:val="24"/>
          <w:szCs w:val="24"/>
        </w:rPr>
        <w:t>A syndicate of international commercial banks participated in the original 2020 Mozambique LNG project financing package (one of the largest project finance deals in African history at the time); most such facilities have been renegotiated or extended through the force majeure period. Renewed private capital appetite for Area 4/Rovuma LNG financing will be a key signal to watch around the targeted FID, given that Area 4's ownership already includes significant Chinese (CNPC) and Gulf (ADNOC/XRG) capital that may reduce reliance on traditional Western ECA and commercial bank structures relative to Area 1.</w:t>
      </w:r>
    </w:p>
    <w:p w14:paraId="7B60EC17" w14:textId="77777777" w:rsidR="00E662A1" w:rsidRPr="00E625F3" w:rsidRDefault="00000000" w:rsidP="004C1873">
      <w:pPr>
        <w:pStyle w:val="ListParagraph"/>
        <w:numPr>
          <w:ilvl w:val="0"/>
          <w:numId w:val="2"/>
        </w:numPr>
        <w:spacing w:after="90" w:line="264" w:lineRule="auto"/>
        <w:jc w:val="both"/>
        <w:rPr>
          <w:rFonts w:ascii="Times New Roman" w:hAnsi="Times New Roman" w:cs="Times New Roman"/>
          <w:sz w:val="24"/>
          <w:szCs w:val="24"/>
        </w:rPr>
      </w:pPr>
      <w:r w:rsidRPr="00E625F3">
        <w:rPr>
          <w:rFonts w:ascii="Times New Roman" w:hAnsi="Times New Roman" w:cs="Times New Roman"/>
          <w:sz w:val="24"/>
          <w:szCs w:val="24"/>
        </w:rPr>
        <w:t>Equity partners: TotalEnergies, ExxonMobil, Eni, Mitsui, ONGC Videsh, Bharat Petroleum/BPRL, PTTEP, CNPC/CNODC, KOGAS, ADNOC/XRG, Galp Energia and ENH collectively represent one of the most geographically diverse ownership structures of any global LNG project, spreading political and financing risk across multiple capital-exporting jurisdictions.</w:t>
      </w:r>
    </w:p>
    <w:p w14:paraId="504E1F7F" w14:textId="77777777" w:rsidR="00E662A1" w:rsidRPr="00E625F3" w:rsidRDefault="00000000" w:rsidP="004C1873">
      <w:pPr>
        <w:pStyle w:val="ListParagraph"/>
        <w:numPr>
          <w:ilvl w:val="0"/>
          <w:numId w:val="2"/>
        </w:numPr>
        <w:spacing w:after="90" w:line="264" w:lineRule="auto"/>
        <w:jc w:val="both"/>
        <w:rPr>
          <w:rFonts w:ascii="Times New Roman" w:hAnsi="Times New Roman" w:cs="Times New Roman"/>
          <w:sz w:val="24"/>
          <w:szCs w:val="24"/>
        </w:rPr>
      </w:pPr>
      <w:r w:rsidRPr="00E625F3">
        <w:rPr>
          <w:rFonts w:ascii="Times New Roman" w:hAnsi="Times New Roman" w:cs="Times New Roman"/>
          <w:sz w:val="24"/>
          <w:szCs w:val="24"/>
        </w:rPr>
        <w:t>Investment implication: the diversity of the capital stack is a source of resilience (no single financing bloc can unilaterally stall the projects) but also of complexity, since re-approval processes, ESG screening standards, and risk tolerances differ materially across US, European, Chinese, Gulf and Asian financing partners.</w:t>
      </w:r>
    </w:p>
    <w:p w14:paraId="5AFA08CC" w14:textId="77777777" w:rsidR="004C1873" w:rsidRDefault="004C1873" w:rsidP="004C1873">
      <w:pPr>
        <w:jc w:val="both"/>
        <w:rPr>
          <w:rFonts w:ascii="Times New Roman" w:hAnsi="Times New Roman" w:cs="Times New Roman"/>
          <w:sz w:val="24"/>
          <w:szCs w:val="24"/>
        </w:rPr>
      </w:pPr>
    </w:p>
    <w:p w14:paraId="0E0449DF" w14:textId="18324126" w:rsidR="00E662A1" w:rsidRDefault="004C1873" w:rsidP="004C1873">
      <w:pPr>
        <w:jc w:val="both"/>
        <w:rPr>
          <w:rFonts w:ascii="Times New Roman" w:hAnsi="Times New Roman" w:cs="Times New Roman"/>
          <w:b/>
          <w:bCs/>
          <w:sz w:val="24"/>
          <w:szCs w:val="24"/>
        </w:rPr>
      </w:pPr>
      <w:r w:rsidRPr="00E625F3">
        <w:rPr>
          <w:rFonts w:ascii="Times New Roman" w:hAnsi="Times New Roman" w:cs="Times New Roman"/>
          <w:b/>
          <w:bCs/>
          <w:sz w:val="24"/>
          <w:szCs w:val="24"/>
        </w:rPr>
        <w:t>INFRASTRUCTURE GAPS CONSTRAINING MONETISATION</w:t>
      </w:r>
    </w:p>
    <w:p w14:paraId="6D757BE4" w14:textId="77777777" w:rsidR="004C1873" w:rsidRPr="00E625F3" w:rsidRDefault="004C1873" w:rsidP="004C1873">
      <w:pPr>
        <w:jc w:val="both"/>
        <w:rPr>
          <w:rFonts w:ascii="Times New Roman" w:hAnsi="Times New Roman" w:cs="Times New Roman"/>
          <w:sz w:val="24"/>
          <w:szCs w:val="24"/>
        </w:rPr>
      </w:pPr>
    </w:p>
    <w:p w14:paraId="5592B76B" w14:textId="77777777" w:rsidR="00E662A1" w:rsidRPr="00E625F3" w:rsidRDefault="00000000" w:rsidP="004C1873">
      <w:pPr>
        <w:pStyle w:val="ListParagraph"/>
        <w:numPr>
          <w:ilvl w:val="0"/>
          <w:numId w:val="2"/>
        </w:numPr>
        <w:spacing w:after="90" w:line="264" w:lineRule="auto"/>
        <w:jc w:val="both"/>
        <w:rPr>
          <w:rFonts w:ascii="Times New Roman" w:hAnsi="Times New Roman" w:cs="Times New Roman"/>
          <w:sz w:val="24"/>
          <w:szCs w:val="24"/>
        </w:rPr>
      </w:pPr>
      <w:r w:rsidRPr="00E625F3">
        <w:rPr>
          <w:rFonts w:ascii="Times New Roman" w:hAnsi="Times New Roman" w:cs="Times New Roman"/>
          <w:sz w:val="24"/>
          <w:szCs w:val="24"/>
        </w:rPr>
        <w:t xml:space="preserve">North-South gas connectivity: no pipeline currently links Rovuma Basin gas in Cabo Delgado to Mozambique's southern demand </w:t>
      </w:r>
      <w:proofErr w:type="spellStart"/>
      <w:r w:rsidRPr="00E625F3">
        <w:rPr>
          <w:rFonts w:ascii="Times New Roman" w:hAnsi="Times New Roman" w:cs="Times New Roman"/>
          <w:sz w:val="24"/>
          <w:szCs w:val="24"/>
        </w:rPr>
        <w:t>centres</w:t>
      </w:r>
      <w:proofErr w:type="spellEnd"/>
      <w:r w:rsidRPr="00E625F3">
        <w:rPr>
          <w:rFonts w:ascii="Times New Roman" w:hAnsi="Times New Roman" w:cs="Times New Roman"/>
          <w:sz w:val="24"/>
          <w:szCs w:val="24"/>
        </w:rPr>
        <w:t xml:space="preserve"> and industrial base around Maputo; the proposed 2,600km pipeline remains at a conceptual/feasibility stage with no confirmed financing or FID timeline, meaning domestic </w:t>
      </w:r>
      <w:proofErr w:type="spellStart"/>
      <w:r w:rsidRPr="00E625F3">
        <w:rPr>
          <w:rFonts w:ascii="Times New Roman" w:hAnsi="Times New Roman" w:cs="Times New Roman"/>
          <w:sz w:val="24"/>
          <w:szCs w:val="24"/>
        </w:rPr>
        <w:t>industrialisation</w:t>
      </w:r>
      <w:proofErr w:type="spellEnd"/>
      <w:r w:rsidRPr="00E625F3">
        <w:rPr>
          <w:rFonts w:ascii="Times New Roman" w:hAnsi="Times New Roman" w:cs="Times New Roman"/>
          <w:sz w:val="24"/>
          <w:szCs w:val="24"/>
        </w:rPr>
        <w:t xml:space="preserve"> south of the basin will depend on imported/</w:t>
      </w:r>
      <w:proofErr w:type="spellStart"/>
      <w:r w:rsidRPr="00E625F3">
        <w:rPr>
          <w:rFonts w:ascii="Times New Roman" w:hAnsi="Times New Roman" w:cs="Times New Roman"/>
          <w:sz w:val="24"/>
          <w:szCs w:val="24"/>
        </w:rPr>
        <w:t>regasified</w:t>
      </w:r>
      <w:proofErr w:type="spellEnd"/>
      <w:r w:rsidRPr="00E625F3">
        <w:rPr>
          <w:rFonts w:ascii="Times New Roman" w:hAnsi="Times New Roman" w:cs="Times New Roman"/>
          <w:sz w:val="24"/>
          <w:szCs w:val="24"/>
        </w:rPr>
        <w:t xml:space="preserve"> gas via Matola rather than direct Rovuma supply for the foreseeable future.</w:t>
      </w:r>
    </w:p>
    <w:p w14:paraId="789361AE" w14:textId="77777777" w:rsidR="00E662A1" w:rsidRPr="00E625F3" w:rsidRDefault="00000000" w:rsidP="004C1873">
      <w:pPr>
        <w:pStyle w:val="ListParagraph"/>
        <w:numPr>
          <w:ilvl w:val="0"/>
          <w:numId w:val="2"/>
        </w:numPr>
        <w:spacing w:after="90" w:line="264" w:lineRule="auto"/>
        <w:jc w:val="both"/>
        <w:rPr>
          <w:rFonts w:ascii="Times New Roman" w:hAnsi="Times New Roman" w:cs="Times New Roman"/>
          <w:sz w:val="24"/>
          <w:szCs w:val="24"/>
        </w:rPr>
      </w:pPr>
      <w:r w:rsidRPr="00E625F3">
        <w:rPr>
          <w:rFonts w:ascii="Times New Roman" w:hAnsi="Times New Roman" w:cs="Times New Roman"/>
          <w:sz w:val="24"/>
          <w:szCs w:val="24"/>
        </w:rPr>
        <w:t xml:space="preserve">Power transmission: grid capacity and transmission infrastructure to move gas-fired power from planned CCGT plants to demand </w:t>
      </w:r>
      <w:proofErr w:type="spellStart"/>
      <w:r w:rsidRPr="00E625F3">
        <w:rPr>
          <w:rFonts w:ascii="Times New Roman" w:hAnsi="Times New Roman" w:cs="Times New Roman"/>
          <w:sz w:val="24"/>
          <w:szCs w:val="24"/>
        </w:rPr>
        <w:t>centres</w:t>
      </w:r>
      <w:proofErr w:type="spellEnd"/>
      <w:r w:rsidRPr="00E625F3">
        <w:rPr>
          <w:rFonts w:ascii="Times New Roman" w:hAnsi="Times New Roman" w:cs="Times New Roman"/>
          <w:sz w:val="24"/>
          <w:szCs w:val="24"/>
        </w:rPr>
        <w:t xml:space="preserve"> lags behind generation capacity additions, risking stranded capacity or curtailment if not addressed in parallel.</w:t>
      </w:r>
    </w:p>
    <w:p w14:paraId="491739EF" w14:textId="77777777" w:rsidR="00E662A1" w:rsidRPr="00E625F3" w:rsidRDefault="00000000" w:rsidP="004C1873">
      <w:pPr>
        <w:pStyle w:val="ListParagraph"/>
        <w:numPr>
          <w:ilvl w:val="0"/>
          <w:numId w:val="2"/>
        </w:numPr>
        <w:spacing w:after="90" w:line="264" w:lineRule="auto"/>
        <w:jc w:val="both"/>
        <w:rPr>
          <w:rFonts w:ascii="Times New Roman" w:hAnsi="Times New Roman" w:cs="Times New Roman"/>
          <w:sz w:val="24"/>
          <w:szCs w:val="24"/>
        </w:rPr>
      </w:pPr>
      <w:r w:rsidRPr="00E625F3">
        <w:rPr>
          <w:rFonts w:ascii="Times New Roman" w:hAnsi="Times New Roman" w:cs="Times New Roman"/>
          <w:sz w:val="24"/>
          <w:szCs w:val="24"/>
        </w:rPr>
        <w:t xml:space="preserve">Port and logistics capacity: while </w:t>
      </w:r>
      <w:proofErr w:type="spellStart"/>
      <w:r w:rsidRPr="00E625F3">
        <w:rPr>
          <w:rFonts w:ascii="Times New Roman" w:hAnsi="Times New Roman" w:cs="Times New Roman"/>
          <w:sz w:val="24"/>
          <w:szCs w:val="24"/>
        </w:rPr>
        <w:t>Afungi's</w:t>
      </w:r>
      <w:proofErr w:type="spellEnd"/>
      <w:r w:rsidRPr="00E625F3">
        <w:rPr>
          <w:rFonts w:ascii="Times New Roman" w:hAnsi="Times New Roman" w:cs="Times New Roman"/>
          <w:sz w:val="24"/>
          <w:szCs w:val="24"/>
        </w:rPr>
        <w:t xml:space="preserve"> port infrastructure has been rebuilt to support LNG construction and export, broader regional port and road infrastructure in Cabo Delgado remains underdeveloped, constraining downstream industrial siting decisions beyond the immediate LNG precinct.</w:t>
      </w:r>
    </w:p>
    <w:p w14:paraId="1B166B0E" w14:textId="77777777" w:rsidR="00E662A1" w:rsidRPr="00E625F3" w:rsidRDefault="00000000" w:rsidP="004C1873">
      <w:pPr>
        <w:pStyle w:val="ListParagraph"/>
        <w:numPr>
          <w:ilvl w:val="0"/>
          <w:numId w:val="2"/>
        </w:numPr>
        <w:spacing w:after="90" w:line="264" w:lineRule="auto"/>
        <w:jc w:val="both"/>
        <w:rPr>
          <w:rFonts w:ascii="Times New Roman" w:hAnsi="Times New Roman" w:cs="Times New Roman"/>
          <w:sz w:val="24"/>
          <w:szCs w:val="24"/>
        </w:rPr>
      </w:pPr>
      <w:r w:rsidRPr="00E625F3">
        <w:rPr>
          <w:rFonts w:ascii="Times New Roman" w:hAnsi="Times New Roman" w:cs="Times New Roman"/>
          <w:sz w:val="24"/>
          <w:szCs w:val="24"/>
        </w:rPr>
        <w:t xml:space="preserve">Workforce housing and social infrastructure: the scale of construction workforce </w:t>
      </w:r>
      <w:proofErr w:type="spellStart"/>
      <w:r w:rsidRPr="00E625F3">
        <w:rPr>
          <w:rFonts w:ascii="Times New Roman" w:hAnsi="Times New Roman" w:cs="Times New Roman"/>
          <w:sz w:val="24"/>
          <w:szCs w:val="24"/>
        </w:rPr>
        <w:t>mobilisation</w:t>
      </w:r>
      <w:proofErr w:type="spellEnd"/>
      <w:r w:rsidRPr="00E625F3">
        <w:rPr>
          <w:rFonts w:ascii="Times New Roman" w:hAnsi="Times New Roman" w:cs="Times New Roman"/>
          <w:sz w:val="24"/>
          <w:szCs w:val="24"/>
        </w:rPr>
        <w:t xml:space="preserve"> (potentially reaching into the tens of thousands at peak across both onshore projects) will test local housing, health and municipal infrastructure in the Palma district well beyond what existed pre-2021.</w:t>
      </w:r>
    </w:p>
    <w:p w14:paraId="4615BAC6" w14:textId="77777777" w:rsidR="00E662A1" w:rsidRPr="00E625F3" w:rsidRDefault="00000000" w:rsidP="004C1873">
      <w:pPr>
        <w:pStyle w:val="ListParagraph"/>
        <w:numPr>
          <w:ilvl w:val="0"/>
          <w:numId w:val="2"/>
        </w:numPr>
        <w:spacing w:after="90" w:line="264" w:lineRule="auto"/>
        <w:jc w:val="both"/>
        <w:rPr>
          <w:rFonts w:ascii="Times New Roman" w:hAnsi="Times New Roman" w:cs="Times New Roman"/>
          <w:sz w:val="24"/>
          <w:szCs w:val="24"/>
        </w:rPr>
      </w:pPr>
      <w:r w:rsidRPr="00E625F3">
        <w:rPr>
          <w:rFonts w:ascii="Times New Roman" w:hAnsi="Times New Roman" w:cs="Times New Roman"/>
          <w:sz w:val="24"/>
          <w:szCs w:val="24"/>
        </w:rPr>
        <w:lastRenderedPageBreak/>
        <w:t xml:space="preserve">Water and utilities: LNG trains and associated petrochemical facilities are water- and power-intensive; the buildout of desalination, process water and utility infrastructure at </w:t>
      </w:r>
      <w:proofErr w:type="spellStart"/>
      <w:r w:rsidRPr="00E625F3">
        <w:rPr>
          <w:rFonts w:ascii="Times New Roman" w:hAnsi="Times New Roman" w:cs="Times New Roman"/>
          <w:sz w:val="24"/>
          <w:szCs w:val="24"/>
        </w:rPr>
        <w:t>Afungi</w:t>
      </w:r>
      <w:proofErr w:type="spellEnd"/>
      <w:r w:rsidRPr="00E625F3">
        <w:rPr>
          <w:rFonts w:ascii="Times New Roman" w:hAnsi="Times New Roman" w:cs="Times New Roman"/>
          <w:sz w:val="24"/>
          <w:szCs w:val="24"/>
        </w:rPr>
        <w:t xml:space="preserve"> is a parallel constraint that has received less public attention than the headline liquefaction capacity figures.</w:t>
      </w:r>
    </w:p>
    <w:p w14:paraId="44FAB745" w14:textId="77777777" w:rsidR="004C1873" w:rsidRDefault="004C1873" w:rsidP="004C1873">
      <w:pPr>
        <w:jc w:val="both"/>
        <w:rPr>
          <w:rFonts w:ascii="Times New Roman" w:hAnsi="Times New Roman" w:cs="Times New Roman"/>
          <w:sz w:val="24"/>
          <w:szCs w:val="24"/>
        </w:rPr>
      </w:pPr>
    </w:p>
    <w:p w14:paraId="1EC788BE" w14:textId="28CC6991" w:rsidR="00E662A1" w:rsidRDefault="004C1873" w:rsidP="004C1873">
      <w:pPr>
        <w:jc w:val="both"/>
        <w:rPr>
          <w:rFonts w:ascii="Times New Roman" w:hAnsi="Times New Roman" w:cs="Times New Roman"/>
          <w:b/>
          <w:bCs/>
          <w:sz w:val="24"/>
          <w:szCs w:val="24"/>
        </w:rPr>
      </w:pPr>
      <w:r w:rsidRPr="00E625F3">
        <w:rPr>
          <w:rFonts w:ascii="Times New Roman" w:hAnsi="Times New Roman" w:cs="Times New Roman"/>
          <w:b/>
          <w:bCs/>
          <w:sz w:val="24"/>
          <w:szCs w:val="24"/>
        </w:rPr>
        <w:t>SECURITY RISKS IN CABO DELGADO AND INVESTMENT IMPLICATIONS</w:t>
      </w:r>
    </w:p>
    <w:p w14:paraId="2E54B918" w14:textId="77777777" w:rsidR="004C1873" w:rsidRPr="00E625F3" w:rsidRDefault="004C1873" w:rsidP="004C1873">
      <w:pPr>
        <w:jc w:val="both"/>
        <w:rPr>
          <w:rFonts w:ascii="Times New Roman" w:hAnsi="Times New Roman" w:cs="Times New Roman"/>
          <w:sz w:val="24"/>
          <w:szCs w:val="24"/>
        </w:rPr>
      </w:pPr>
    </w:p>
    <w:p w14:paraId="67D5AE92" w14:textId="75D439AF" w:rsidR="00E662A1" w:rsidRPr="00E625F3" w:rsidRDefault="00000000" w:rsidP="004C1873">
      <w:pPr>
        <w:spacing w:after="180" w:line="276" w:lineRule="auto"/>
        <w:jc w:val="both"/>
        <w:rPr>
          <w:rFonts w:ascii="Times New Roman" w:hAnsi="Times New Roman" w:cs="Times New Roman"/>
          <w:sz w:val="24"/>
          <w:szCs w:val="24"/>
        </w:rPr>
      </w:pPr>
      <w:r w:rsidRPr="00E625F3">
        <w:rPr>
          <w:rFonts w:ascii="Times New Roman" w:hAnsi="Times New Roman" w:cs="Times New Roman"/>
          <w:sz w:val="24"/>
          <w:szCs w:val="24"/>
        </w:rPr>
        <w:t xml:space="preserve">The Cabo Delgado insurgency, linked to the Islamic State-affiliated group locally known as al-Shabaab (no </w:t>
      </w:r>
      <w:r w:rsidR="00EB4BFA" w:rsidRPr="00E625F3">
        <w:rPr>
          <w:rFonts w:ascii="Times New Roman" w:hAnsi="Times New Roman" w:cs="Times New Roman"/>
          <w:sz w:val="24"/>
          <w:szCs w:val="24"/>
        </w:rPr>
        <w:t>organizational</w:t>
      </w:r>
      <w:r w:rsidRPr="00E625F3">
        <w:rPr>
          <w:rFonts w:ascii="Times New Roman" w:hAnsi="Times New Roman" w:cs="Times New Roman"/>
          <w:sz w:val="24"/>
          <w:szCs w:val="24"/>
        </w:rPr>
        <w:t xml:space="preserve"> relation to the Somali group of the same name), triggered the April 2021 force majeure that halted Mozambique LNG for over four years. While force majeure has been lifted on both Area 1 and Area 4, the underlying security environment remains fragile rather than resolved.</w:t>
      </w:r>
    </w:p>
    <w:p w14:paraId="0B97172C" w14:textId="314830B5" w:rsidR="00E662A1" w:rsidRPr="00E625F3" w:rsidRDefault="00000000" w:rsidP="004C1873">
      <w:pPr>
        <w:pStyle w:val="ListParagraph"/>
        <w:numPr>
          <w:ilvl w:val="0"/>
          <w:numId w:val="2"/>
        </w:numPr>
        <w:spacing w:after="90" w:line="264" w:lineRule="auto"/>
        <w:jc w:val="both"/>
        <w:rPr>
          <w:rFonts w:ascii="Times New Roman" w:hAnsi="Times New Roman" w:cs="Times New Roman"/>
          <w:sz w:val="24"/>
          <w:szCs w:val="24"/>
        </w:rPr>
      </w:pPr>
      <w:r w:rsidRPr="00E625F3">
        <w:rPr>
          <w:rFonts w:ascii="Times New Roman" w:hAnsi="Times New Roman" w:cs="Times New Roman"/>
          <w:sz w:val="24"/>
          <w:szCs w:val="24"/>
        </w:rPr>
        <w:t xml:space="preserve">Rwandan and SADC deployment: Rwandan </w:t>
      </w:r>
      <w:r w:rsidR="00EB4BFA" w:rsidRPr="00E625F3">
        <w:rPr>
          <w:rFonts w:ascii="Times New Roman" w:hAnsi="Times New Roman" w:cs="Times New Roman"/>
          <w:sz w:val="24"/>
          <w:szCs w:val="24"/>
        </w:rPr>
        <w:t>Defense</w:t>
      </w:r>
      <w:r w:rsidRPr="00E625F3">
        <w:rPr>
          <w:rFonts w:ascii="Times New Roman" w:hAnsi="Times New Roman" w:cs="Times New Roman"/>
          <w:sz w:val="24"/>
          <w:szCs w:val="24"/>
        </w:rPr>
        <w:t xml:space="preserve"> Force troops, deployed since mid-2021, together with a smaller residual SADC mission presence, have been central to </w:t>
      </w:r>
      <w:r w:rsidR="00EB4BFA" w:rsidRPr="00E625F3">
        <w:rPr>
          <w:rFonts w:ascii="Times New Roman" w:hAnsi="Times New Roman" w:cs="Times New Roman"/>
          <w:sz w:val="24"/>
          <w:szCs w:val="24"/>
        </w:rPr>
        <w:t>stabilizing</w:t>
      </w:r>
      <w:r w:rsidRPr="00E625F3">
        <w:rPr>
          <w:rFonts w:ascii="Times New Roman" w:hAnsi="Times New Roman" w:cs="Times New Roman"/>
          <w:sz w:val="24"/>
          <w:szCs w:val="24"/>
        </w:rPr>
        <w:t xml:space="preserve"> the immediate </w:t>
      </w:r>
      <w:proofErr w:type="spellStart"/>
      <w:r w:rsidRPr="00E625F3">
        <w:rPr>
          <w:rFonts w:ascii="Times New Roman" w:hAnsi="Times New Roman" w:cs="Times New Roman"/>
          <w:sz w:val="24"/>
          <w:szCs w:val="24"/>
        </w:rPr>
        <w:t>Afungi</w:t>
      </w:r>
      <w:proofErr w:type="spellEnd"/>
      <w:r w:rsidRPr="00E625F3">
        <w:rPr>
          <w:rFonts w:ascii="Times New Roman" w:hAnsi="Times New Roman" w:cs="Times New Roman"/>
          <w:sz w:val="24"/>
          <w:szCs w:val="24"/>
        </w:rPr>
        <w:t>/Palma perimeter and recapturing key towns. Continued funding and troop-contributor commitment to this deployment is not guaranteed indefinitely, and any drawdown would be a material negative catalyst for project security risk.</w:t>
      </w:r>
    </w:p>
    <w:p w14:paraId="3E609753" w14:textId="77777777" w:rsidR="00E662A1" w:rsidRPr="00E625F3" w:rsidRDefault="00000000" w:rsidP="004C1873">
      <w:pPr>
        <w:pStyle w:val="ListParagraph"/>
        <w:numPr>
          <w:ilvl w:val="0"/>
          <w:numId w:val="2"/>
        </w:numPr>
        <w:spacing w:after="90" w:line="264" w:lineRule="auto"/>
        <w:jc w:val="both"/>
        <w:rPr>
          <w:rFonts w:ascii="Times New Roman" w:hAnsi="Times New Roman" w:cs="Times New Roman"/>
          <w:sz w:val="24"/>
          <w:szCs w:val="24"/>
        </w:rPr>
      </w:pPr>
      <w:r w:rsidRPr="00E625F3">
        <w:rPr>
          <w:rFonts w:ascii="Times New Roman" w:hAnsi="Times New Roman" w:cs="Times New Roman"/>
          <w:sz w:val="24"/>
          <w:szCs w:val="24"/>
        </w:rPr>
        <w:t>Residual insurgent activity: sporadic attacks and displacement continue in more remote districts of Cabo Delgado away from the immediate project perimeter, indicating the insurgency has been contained rather than eliminated. This distinction matters for risk pricing: the operators' current security posture assumes continued containment, not resolution.</w:t>
      </w:r>
    </w:p>
    <w:p w14:paraId="1A9A28AA" w14:textId="77777777" w:rsidR="00E662A1" w:rsidRPr="00E625F3" w:rsidRDefault="00000000" w:rsidP="004C1873">
      <w:pPr>
        <w:pStyle w:val="ListParagraph"/>
        <w:numPr>
          <w:ilvl w:val="0"/>
          <w:numId w:val="2"/>
        </w:numPr>
        <w:spacing w:after="90" w:line="264" w:lineRule="auto"/>
        <w:jc w:val="both"/>
        <w:rPr>
          <w:rFonts w:ascii="Times New Roman" w:hAnsi="Times New Roman" w:cs="Times New Roman"/>
          <w:sz w:val="24"/>
          <w:szCs w:val="24"/>
        </w:rPr>
      </w:pPr>
      <w:r w:rsidRPr="00E625F3">
        <w:rPr>
          <w:rFonts w:ascii="Times New Roman" w:hAnsi="Times New Roman" w:cs="Times New Roman"/>
          <w:sz w:val="24"/>
          <w:szCs w:val="24"/>
        </w:rPr>
        <w:t>Human rights and reputational risk: allegations of human rights abuses associated with both insurgent activity and elements of the security response have drawn continued scrutiny from NGOs and some Western governments, directly contributing to at least one major ECA withdrawal (UK Export Finance, December 2025) and remaining a live due-diligence issue for prospective Area 4 lenders.</w:t>
      </w:r>
    </w:p>
    <w:p w14:paraId="2716CF9C" w14:textId="77777777" w:rsidR="00E662A1" w:rsidRPr="00E625F3" w:rsidRDefault="00000000" w:rsidP="004C1873">
      <w:pPr>
        <w:pStyle w:val="ListParagraph"/>
        <w:numPr>
          <w:ilvl w:val="0"/>
          <w:numId w:val="2"/>
        </w:numPr>
        <w:spacing w:after="90" w:line="264" w:lineRule="auto"/>
        <w:jc w:val="both"/>
        <w:rPr>
          <w:rFonts w:ascii="Times New Roman" w:hAnsi="Times New Roman" w:cs="Times New Roman"/>
          <w:sz w:val="24"/>
          <w:szCs w:val="24"/>
        </w:rPr>
      </w:pPr>
      <w:r w:rsidRPr="00E625F3">
        <w:rPr>
          <w:rFonts w:ascii="Times New Roman" w:hAnsi="Times New Roman" w:cs="Times New Roman"/>
          <w:sz w:val="24"/>
          <w:szCs w:val="24"/>
        </w:rPr>
        <w:t xml:space="preserve">Investment implication: security risk is now a structurally embedded, priced-in feature of Rovuma Basin economics rather than a transitional shock. Investors and lenders should expect continued security-related cost premiums (perimeter </w:t>
      </w:r>
      <w:proofErr w:type="spellStart"/>
      <w:r w:rsidRPr="00E625F3">
        <w:rPr>
          <w:rFonts w:ascii="Times New Roman" w:hAnsi="Times New Roman" w:cs="Times New Roman"/>
          <w:sz w:val="24"/>
          <w:szCs w:val="24"/>
        </w:rPr>
        <w:t>defence</w:t>
      </w:r>
      <w:proofErr w:type="spellEnd"/>
      <w:r w:rsidRPr="00E625F3">
        <w:rPr>
          <w:rFonts w:ascii="Times New Roman" w:hAnsi="Times New Roman" w:cs="Times New Roman"/>
          <w:sz w:val="24"/>
          <w:szCs w:val="24"/>
        </w:rPr>
        <w:t xml:space="preserve">, insurance, workforce logistics) to persist through at least the mid-2030s, and should stress-test project economics against scenarios involving renewed, </w:t>
      </w:r>
      <w:proofErr w:type="spellStart"/>
      <w:r w:rsidRPr="00E625F3">
        <w:rPr>
          <w:rFonts w:ascii="Times New Roman" w:hAnsi="Times New Roman" w:cs="Times New Roman"/>
          <w:sz w:val="24"/>
          <w:szCs w:val="24"/>
        </w:rPr>
        <w:t>localised</w:t>
      </w:r>
      <w:proofErr w:type="spellEnd"/>
      <w:r w:rsidRPr="00E625F3">
        <w:rPr>
          <w:rFonts w:ascii="Times New Roman" w:hAnsi="Times New Roman" w:cs="Times New Roman"/>
          <w:sz w:val="24"/>
          <w:szCs w:val="24"/>
        </w:rPr>
        <w:t xml:space="preserve"> disruption rather than assuming a linear return to pre-2021 conditions.</w:t>
      </w:r>
    </w:p>
    <w:p w14:paraId="193FC555" w14:textId="77777777" w:rsidR="004C1873" w:rsidRDefault="004C1873" w:rsidP="004C1873">
      <w:pPr>
        <w:jc w:val="both"/>
        <w:rPr>
          <w:rFonts w:ascii="Times New Roman" w:hAnsi="Times New Roman" w:cs="Times New Roman"/>
          <w:sz w:val="24"/>
          <w:szCs w:val="24"/>
        </w:rPr>
      </w:pPr>
    </w:p>
    <w:p w14:paraId="4F0BBE7F" w14:textId="20CD7FF1" w:rsidR="00E662A1" w:rsidRPr="00E625F3" w:rsidRDefault="004C1873" w:rsidP="004C1873">
      <w:pPr>
        <w:jc w:val="both"/>
        <w:rPr>
          <w:rFonts w:ascii="Times New Roman" w:hAnsi="Times New Roman" w:cs="Times New Roman"/>
          <w:sz w:val="24"/>
          <w:szCs w:val="24"/>
        </w:rPr>
      </w:pPr>
      <w:r w:rsidRPr="00E625F3">
        <w:rPr>
          <w:rFonts w:ascii="Times New Roman" w:hAnsi="Times New Roman" w:cs="Times New Roman"/>
          <w:b/>
          <w:bCs/>
          <w:sz w:val="24"/>
          <w:szCs w:val="24"/>
        </w:rPr>
        <w:t>ENERGY TRANSITION RISKS</w:t>
      </w:r>
    </w:p>
    <w:p w14:paraId="1097ED26" w14:textId="77777777" w:rsidR="00E662A1" w:rsidRPr="00E625F3" w:rsidRDefault="00000000" w:rsidP="004C1873">
      <w:pPr>
        <w:pStyle w:val="Heading2"/>
        <w:spacing w:before="300" w:after="150"/>
        <w:jc w:val="both"/>
        <w:rPr>
          <w:rFonts w:ascii="Times New Roman" w:hAnsi="Times New Roman" w:cs="Times New Roman"/>
          <w:color w:val="auto"/>
          <w:sz w:val="24"/>
          <w:szCs w:val="24"/>
        </w:rPr>
      </w:pPr>
      <w:r w:rsidRPr="00E625F3">
        <w:rPr>
          <w:rFonts w:ascii="Times New Roman" w:hAnsi="Times New Roman" w:cs="Times New Roman"/>
          <w:b/>
          <w:bCs/>
          <w:color w:val="auto"/>
          <w:sz w:val="24"/>
          <w:szCs w:val="24"/>
        </w:rPr>
        <w:t>Methane Regulation and Carbon Pricing</w:t>
      </w:r>
    </w:p>
    <w:p w14:paraId="2F718A92" w14:textId="77777777" w:rsidR="00E662A1" w:rsidRPr="00E625F3" w:rsidRDefault="00000000" w:rsidP="004C1873">
      <w:pPr>
        <w:spacing w:after="180" w:line="276" w:lineRule="auto"/>
        <w:jc w:val="both"/>
        <w:rPr>
          <w:rFonts w:ascii="Times New Roman" w:hAnsi="Times New Roman" w:cs="Times New Roman"/>
          <w:sz w:val="24"/>
          <w:szCs w:val="24"/>
        </w:rPr>
      </w:pPr>
      <w:r w:rsidRPr="00E625F3">
        <w:rPr>
          <w:rFonts w:ascii="Times New Roman" w:hAnsi="Times New Roman" w:cs="Times New Roman"/>
          <w:sz w:val="24"/>
          <w:szCs w:val="24"/>
        </w:rPr>
        <w:t xml:space="preserve">The EU Methane Regulation, which imposes methane intensity monitoring, reporting and verification requirements on gas (including LNG) imported into the EU market from 2027, together with tightening buyer-side ESG screening from Japanese, Korean and European utilities, raises compliance costs and technical requirements for Rovuma LNG exporters. </w:t>
      </w:r>
      <w:r w:rsidRPr="00E625F3">
        <w:rPr>
          <w:rFonts w:ascii="Times New Roman" w:hAnsi="Times New Roman" w:cs="Times New Roman"/>
          <w:sz w:val="24"/>
          <w:szCs w:val="24"/>
        </w:rPr>
        <w:lastRenderedPageBreak/>
        <w:t xml:space="preserve">Operators will need robust methane measurement and mitigation </w:t>
      </w:r>
      <w:proofErr w:type="spellStart"/>
      <w:r w:rsidRPr="00E625F3">
        <w:rPr>
          <w:rFonts w:ascii="Times New Roman" w:hAnsi="Times New Roman" w:cs="Times New Roman"/>
          <w:sz w:val="24"/>
          <w:szCs w:val="24"/>
        </w:rPr>
        <w:t>programmes</w:t>
      </w:r>
      <w:proofErr w:type="spellEnd"/>
      <w:r w:rsidRPr="00E625F3">
        <w:rPr>
          <w:rFonts w:ascii="Times New Roman" w:hAnsi="Times New Roman" w:cs="Times New Roman"/>
          <w:sz w:val="24"/>
          <w:szCs w:val="24"/>
        </w:rPr>
        <w:t xml:space="preserve"> to maintain access to premium buyer pools, particularly in Europe.</w:t>
      </w:r>
    </w:p>
    <w:p w14:paraId="31DDCC9F" w14:textId="77777777" w:rsidR="00E662A1" w:rsidRPr="00E625F3" w:rsidRDefault="00000000" w:rsidP="004C1873">
      <w:pPr>
        <w:pStyle w:val="ListParagraph"/>
        <w:numPr>
          <w:ilvl w:val="0"/>
          <w:numId w:val="2"/>
        </w:numPr>
        <w:spacing w:after="90" w:line="264" w:lineRule="auto"/>
        <w:jc w:val="both"/>
        <w:rPr>
          <w:rFonts w:ascii="Times New Roman" w:hAnsi="Times New Roman" w:cs="Times New Roman"/>
          <w:sz w:val="24"/>
          <w:szCs w:val="24"/>
        </w:rPr>
      </w:pPr>
      <w:r w:rsidRPr="00E625F3">
        <w:rPr>
          <w:rFonts w:ascii="Times New Roman" w:hAnsi="Times New Roman" w:cs="Times New Roman"/>
          <w:sz w:val="24"/>
          <w:szCs w:val="24"/>
        </w:rPr>
        <w:t xml:space="preserve">Carbon pricing exposure is currently limited for Mozambique directly (no domestic carbon price), but indirect exposure arises through buyer-country carbon border adjustment mechanisms and through IOC portfolio-level </w:t>
      </w:r>
      <w:proofErr w:type="spellStart"/>
      <w:r w:rsidRPr="00E625F3">
        <w:rPr>
          <w:rFonts w:ascii="Times New Roman" w:hAnsi="Times New Roman" w:cs="Times New Roman"/>
          <w:sz w:val="24"/>
          <w:szCs w:val="24"/>
        </w:rPr>
        <w:t>decarbonisation</w:t>
      </w:r>
      <w:proofErr w:type="spellEnd"/>
      <w:r w:rsidRPr="00E625F3">
        <w:rPr>
          <w:rFonts w:ascii="Times New Roman" w:hAnsi="Times New Roman" w:cs="Times New Roman"/>
          <w:sz w:val="24"/>
          <w:szCs w:val="24"/>
        </w:rPr>
        <w:t xml:space="preserve"> commitments that may affect capital allocation toward flaring reduction and electrification of upstream operations.</w:t>
      </w:r>
    </w:p>
    <w:p w14:paraId="24FFB17A" w14:textId="778BF871" w:rsidR="00E662A1" w:rsidRPr="00E625F3" w:rsidRDefault="004C1873" w:rsidP="004C1873">
      <w:pPr>
        <w:pStyle w:val="Heading2"/>
        <w:spacing w:before="300" w:after="150"/>
        <w:jc w:val="both"/>
        <w:rPr>
          <w:rFonts w:ascii="Times New Roman" w:hAnsi="Times New Roman" w:cs="Times New Roman"/>
          <w:color w:val="auto"/>
          <w:sz w:val="24"/>
          <w:szCs w:val="24"/>
        </w:rPr>
      </w:pPr>
      <w:r w:rsidRPr="00E625F3">
        <w:rPr>
          <w:rFonts w:ascii="Times New Roman" w:hAnsi="Times New Roman" w:cs="Times New Roman"/>
          <w:b/>
          <w:bCs/>
          <w:color w:val="auto"/>
          <w:sz w:val="24"/>
          <w:szCs w:val="24"/>
        </w:rPr>
        <w:t>FUTURE LNG DEMAND SCENARIOS</w:t>
      </w:r>
    </w:p>
    <w:p w14:paraId="00485444" w14:textId="77777777" w:rsidR="00E662A1" w:rsidRPr="00E625F3" w:rsidRDefault="00000000" w:rsidP="004C1873">
      <w:pPr>
        <w:spacing w:after="180" w:line="276" w:lineRule="auto"/>
        <w:jc w:val="both"/>
        <w:rPr>
          <w:rFonts w:ascii="Times New Roman" w:hAnsi="Times New Roman" w:cs="Times New Roman"/>
          <w:sz w:val="24"/>
          <w:szCs w:val="24"/>
        </w:rPr>
      </w:pPr>
      <w:r w:rsidRPr="00E625F3">
        <w:rPr>
          <w:rFonts w:ascii="Times New Roman" w:hAnsi="Times New Roman" w:cs="Times New Roman"/>
          <w:sz w:val="24"/>
          <w:szCs w:val="24"/>
        </w:rPr>
        <w:t>Global LNG demand outlooks diverge meaningfully by scenario. Base-case, policy-aligned trajectories (broadly consistent with the IEA's Stated Policies Scenario) point to continued but moderating demand growth into the 2030s, driven primarily by coal-to-gas switching in South and Southeast Asia. More bullish industry scenarios (aligned with some IOC and trader outlooks) see faster Asian demand growth sustaining a tighter market for longer. Under IEA's more transition-aligned scenarios, LNG demand growth flattens materially post-2030, implying a higher risk of oversupply-driven price compression for later-arriving supply such as Rovuma LNG (first cargo ~2030).</w:t>
      </w:r>
    </w:p>
    <w:p w14:paraId="71D557FE" w14:textId="77777777" w:rsidR="00E662A1" w:rsidRPr="00E625F3" w:rsidRDefault="00000000" w:rsidP="004C1873">
      <w:pPr>
        <w:pStyle w:val="ListParagraph"/>
        <w:numPr>
          <w:ilvl w:val="0"/>
          <w:numId w:val="2"/>
        </w:numPr>
        <w:spacing w:after="90" w:line="264" w:lineRule="auto"/>
        <w:jc w:val="both"/>
        <w:rPr>
          <w:rFonts w:ascii="Times New Roman" w:hAnsi="Times New Roman" w:cs="Times New Roman"/>
          <w:sz w:val="24"/>
          <w:szCs w:val="24"/>
        </w:rPr>
      </w:pPr>
      <w:r w:rsidRPr="00E625F3">
        <w:rPr>
          <w:rFonts w:ascii="Times New Roman" w:hAnsi="Times New Roman" w:cs="Times New Roman"/>
          <w:sz w:val="24"/>
          <w:szCs w:val="24"/>
        </w:rPr>
        <w:t xml:space="preserve">The practical risk for Mozambique is sequencing: Area 1's first LNG (2029) is reasonably well positioned ahead of the most acute phase of the supply wave, while Area 4's first LNG (2030) arrives closer to the peak of new global capacity additions, potentially requiring more flexible or shorter-tenor contracting to avoid locking in </w:t>
      </w:r>
      <w:proofErr w:type="spellStart"/>
      <w:r w:rsidRPr="00E625F3">
        <w:rPr>
          <w:rFonts w:ascii="Times New Roman" w:hAnsi="Times New Roman" w:cs="Times New Roman"/>
          <w:sz w:val="24"/>
          <w:szCs w:val="24"/>
        </w:rPr>
        <w:t>unfavourable</w:t>
      </w:r>
      <w:proofErr w:type="spellEnd"/>
      <w:r w:rsidRPr="00E625F3">
        <w:rPr>
          <w:rFonts w:ascii="Times New Roman" w:hAnsi="Times New Roman" w:cs="Times New Roman"/>
          <w:sz w:val="24"/>
          <w:szCs w:val="24"/>
        </w:rPr>
        <w:t xml:space="preserve"> long-term pricing.</w:t>
      </w:r>
    </w:p>
    <w:p w14:paraId="209D9A52" w14:textId="77777777" w:rsidR="00E662A1" w:rsidRPr="00E625F3" w:rsidRDefault="00000000" w:rsidP="004C1873">
      <w:pPr>
        <w:pStyle w:val="ListParagraph"/>
        <w:numPr>
          <w:ilvl w:val="0"/>
          <w:numId w:val="2"/>
        </w:numPr>
        <w:spacing w:after="90" w:line="264" w:lineRule="auto"/>
        <w:jc w:val="both"/>
        <w:rPr>
          <w:rFonts w:ascii="Times New Roman" w:hAnsi="Times New Roman" w:cs="Times New Roman"/>
          <w:sz w:val="24"/>
          <w:szCs w:val="24"/>
        </w:rPr>
      </w:pPr>
      <w:r w:rsidRPr="00E625F3">
        <w:rPr>
          <w:rFonts w:ascii="Times New Roman" w:hAnsi="Times New Roman" w:cs="Times New Roman"/>
          <w:sz w:val="24"/>
          <w:szCs w:val="24"/>
        </w:rPr>
        <w:t>Diversification value: this dynamic reinforces the strategic (if not always NPV-</w:t>
      </w:r>
      <w:proofErr w:type="spellStart"/>
      <w:r w:rsidRPr="00E625F3">
        <w:rPr>
          <w:rFonts w:ascii="Times New Roman" w:hAnsi="Times New Roman" w:cs="Times New Roman"/>
          <w:sz w:val="24"/>
          <w:szCs w:val="24"/>
        </w:rPr>
        <w:t>maximising</w:t>
      </w:r>
      <w:proofErr w:type="spellEnd"/>
      <w:r w:rsidRPr="00E625F3">
        <w:rPr>
          <w:rFonts w:ascii="Times New Roman" w:hAnsi="Times New Roman" w:cs="Times New Roman"/>
          <w:sz w:val="24"/>
          <w:szCs w:val="24"/>
        </w:rPr>
        <w:t>) logic of parallel investment in domestic gas-to-power and petrochemicals, which are insulated from global LNG price cycles.</w:t>
      </w:r>
    </w:p>
    <w:p w14:paraId="3C186E44" w14:textId="77777777" w:rsidR="004C1873" w:rsidRDefault="004C1873" w:rsidP="004C1873">
      <w:pPr>
        <w:jc w:val="both"/>
        <w:rPr>
          <w:rFonts w:ascii="Times New Roman" w:hAnsi="Times New Roman" w:cs="Times New Roman"/>
          <w:sz w:val="24"/>
          <w:szCs w:val="24"/>
        </w:rPr>
      </w:pPr>
    </w:p>
    <w:p w14:paraId="648D4E2A" w14:textId="6AC6A1A6" w:rsidR="00E662A1" w:rsidRDefault="004C1873" w:rsidP="004C1873">
      <w:pPr>
        <w:jc w:val="both"/>
        <w:rPr>
          <w:rFonts w:ascii="Times New Roman" w:hAnsi="Times New Roman" w:cs="Times New Roman"/>
          <w:b/>
          <w:bCs/>
          <w:sz w:val="24"/>
          <w:szCs w:val="24"/>
        </w:rPr>
      </w:pPr>
      <w:r w:rsidRPr="00E625F3">
        <w:rPr>
          <w:rFonts w:ascii="Times New Roman" w:hAnsi="Times New Roman" w:cs="Times New Roman"/>
          <w:b/>
          <w:bCs/>
          <w:sz w:val="24"/>
          <w:szCs w:val="24"/>
        </w:rPr>
        <w:t>KEY INTELLIGENCE FINDINGS</w:t>
      </w:r>
    </w:p>
    <w:p w14:paraId="281E8925" w14:textId="77777777" w:rsidR="004C1873" w:rsidRPr="00E625F3" w:rsidRDefault="004C1873" w:rsidP="004C1873">
      <w:pPr>
        <w:jc w:val="both"/>
        <w:rPr>
          <w:rFonts w:ascii="Times New Roman" w:hAnsi="Times New Roman" w:cs="Times New Roman"/>
          <w:sz w:val="24"/>
          <w:szCs w:val="24"/>
        </w:rPr>
      </w:pPr>
    </w:p>
    <w:p w14:paraId="1BFC7E3F" w14:textId="4AA5BE7E" w:rsidR="00E662A1" w:rsidRPr="00E625F3" w:rsidRDefault="00000000" w:rsidP="004C1873">
      <w:pPr>
        <w:pStyle w:val="ListParagraph"/>
        <w:numPr>
          <w:ilvl w:val="0"/>
          <w:numId w:val="2"/>
        </w:numPr>
        <w:spacing w:after="90" w:line="264" w:lineRule="auto"/>
        <w:jc w:val="both"/>
        <w:rPr>
          <w:rFonts w:ascii="Times New Roman" w:hAnsi="Times New Roman" w:cs="Times New Roman"/>
          <w:sz w:val="24"/>
          <w:szCs w:val="24"/>
        </w:rPr>
      </w:pPr>
      <w:r w:rsidRPr="00E625F3">
        <w:rPr>
          <w:rFonts w:ascii="Times New Roman" w:hAnsi="Times New Roman" w:cs="Times New Roman"/>
          <w:sz w:val="24"/>
          <w:szCs w:val="24"/>
        </w:rPr>
        <w:t>Momentum has genuinely shifted from managed decline to active restart across both Area 1 and Area 4 since late 2025</w:t>
      </w:r>
      <w:r w:rsidR="004C1873">
        <w:rPr>
          <w:rFonts w:ascii="Times New Roman" w:hAnsi="Times New Roman" w:cs="Times New Roman"/>
          <w:sz w:val="24"/>
          <w:szCs w:val="24"/>
        </w:rPr>
        <w:t xml:space="preserve">, </w:t>
      </w:r>
      <w:r w:rsidRPr="00E625F3">
        <w:rPr>
          <w:rFonts w:ascii="Times New Roman" w:hAnsi="Times New Roman" w:cs="Times New Roman"/>
          <w:sz w:val="24"/>
          <w:szCs w:val="24"/>
        </w:rPr>
        <w:t>this is a materially different investment environment than existed through most of 2021–2025.</w:t>
      </w:r>
    </w:p>
    <w:p w14:paraId="4083FA53" w14:textId="77777777" w:rsidR="00E662A1" w:rsidRPr="00E625F3" w:rsidRDefault="00000000" w:rsidP="004C1873">
      <w:pPr>
        <w:pStyle w:val="ListParagraph"/>
        <w:numPr>
          <w:ilvl w:val="0"/>
          <w:numId w:val="2"/>
        </w:numPr>
        <w:spacing w:after="90" w:line="264" w:lineRule="auto"/>
        <w:jc w:val="both"/>
        <w:rPr>
          <w:rFonts w:ascii="Times New Roman" w:hAnsi="Times New Roman" w:cs="Times New Roman"/>
          <w:sz w:val="24"/>
          <w:szCs w:val="24"/>
        </w:rPr>
      </w:pPr>
      <w:r w:rsidRPr="00E625F3">
        <w:rPr>
          <w:rFonts w:ascii="Times New Roman" w:hAnsi="Times New Roman" w:cs="Times New Roman"/>
          <w:sz w:val="24"/>
          <w:szCs w:val="24"/>
        </w:rPr>
        <w:t>Cost inflation from the multi-year suspension (~$4.5bn on Area 1 alone) has permanently raised the basin's breakeven cost structure, narrowing but not eliminating Mozambique's cost competitiveness against Qatari and US Gulf Coast supply.</w:t>
      </w:r>
    </w:p>
    <w:p w14:paraId="222707EA" w14:textId="622BD418" w:rsidR="00E662A1" w:rsidRPr="00E625F3" w:rsidRDefault="00000000" w:rsidP="004C1873">
      <w:pPr>
        <w:pStyle w:val="ListParagraph"/>
        <w:numPr>
          <w:ilvl w:val="0"/>
          <w:numId w:val="2"/>
        </w:numPr>
        <w:spacing w:after="90" w:line="264" w:lineRule="auto"/>
        <w:jc w:val="both"/>
        <w:rPr>
          <w:rFonts w:ascii="Times New Roman" w:hAnsi="Times New Roman" w:cs="Times New Roman"/>
          <w:sz w:val="24"/>
          <w:szCs w:val="24"/>
        </w:rPr>
      </w:pPr>
      <w:r w:rsidRPr="00E625F3">
        <w:rPr>
          <w:rFonts w:ascii="Times New Roman" w:hAnsi="Times New Roman" w:cs="Times New Roman"/>
          <w:sz w:val="24"/>
          <w:szCs w:val="24"/>
        </w:rPr>
        <w:t>The financing stack is more geographically diversified than at initial 2019/2020 sanction, with growing Chinese and Gulf capital participation alongside traditional Western ECAs</w:t>
      </w:r>
      <w:r w:rsidR="004C1873">
        <w:rPr>
          <w:rFonts w:ascii="Times New Roman" w:hAnsi="Times New Roman" w:cs="Times New Roman"/>
          <w:sz w:val="24"/>
          <w:szCs w:val="24"/>
        </w:rPr>
        <w:t>,</w:t>
      </w:r>
      <w:r w:rsidRPr="00E625F3">
        <w:rPr>
          <w:rFonts w:ascii="Times New Roman" w:hAnsi="Times New Roman" w:cs="Times New Roman"/>
          <w:sz w:val="24"/>
          <w:szCs w:val="24"/>
        </w:rPr>
        <w:t xml:space="preserve"> a structural change with implications for future contract, governance and ESG standards.</w:t>
      </w:r>
    </w:p>
    <w:p w14:paraId="4E67539B" w14:textId="77777777" w:rsidR="00E662A1" w:rsidRPr="00E625F3" w:rsidRDefault="00000000" w:rsidP="004C1873">
      <w:pPr>
        <w:pStyle w:val="ListParagraph"/>
        <w:numPr>
          <w:ilvl w:val="0"/>
          <w:numId w:val="2"/>
        </w:numPr>
        <w:spacing w:after="90" w:line="264" w:lineRule="auto"/>
        <w:jc w:val="both"/>
        <w:rPr>
          <w:rFonts w:ascii="Times New Roman" w:hAnsi="Times New Roman" w:cs="Times New Roman"/>
          <w:sz w:val="24"/>
          <w:szCs w:val="24"/>
        </w:rPr>
      </w:pPr>
      <w:r w:rsidRPr="00E625F3">
        <w:rPr>
          <w:rFonts w:ascii="Times New Roman" w:hAnsi="Times New Roman" w:cs="Times New Roman"/>
          <w:sz w:val="24"/>
          <w:szCs w:val="24"/>
        </w:rPr>
        <w:t>Security risk has not been resolved, only contained; the durability of the Rwandan security deployment is an under-appreciated single point of failure for the entire basin's investment thesis.</w:t>
      </w:r>
    </w:p>
    <w:p w14:paraId="6CFF329A" w14:textId="4EBC19B8" w:rsidR="00E662A1" w:rsidRPr="00E625F3" w:rsidRDefault="00000000" w:rsidP="004C1873">
      <w:pPr>
        <w:pStyle w:val="ListParagraph"/>
        <w:numPr>
          <w:ilvl w:val="0"/>
          <w:numId w:val="2"/>
        </w:numPr>
        <w:spacing w:after="90" w:line="264" w:lineRule="auto"/>
        <w:jc w:val="both"/>
        <w:rPr>
          <w:rFonts w:ascii="Times New Roman" w:hAnsi="Times New Roman" w:cs="Times New Roman"/>
          <w:sz w:val="24"/>
          <w:szCs w:val="24"/>
        </w:rPr>
      </w:pPr>
      <w:r w:rsidRPr="00E625F3">
        <w:rPr>
          <w:rFonts w:ascii="Times New Roman" w:hAnsi="Times New Roman" w:cs="Times New Roman"/>
          <w:sz w:val="24"/>
          <w:szCs w:val="24"/>
        </w:rPr>
        <w:t xml:space="preserve">Domestic gas </w:t>
      </w:r>
      <w:r w:rsidR="00B02060" w:rsidRPr="00E625F3">
        <w:rPr>
          <w:rFonts w:ascii="Times New Roman" w:hAnsi="Times New Roman" w:cs="Times New Roman"/>
          <w:sz w:val="24"/>
          <w:szCs w:val="24"/>
        </w:rPr>
        <w:t>monetization</w:t>
      </w:r>
      <w:r w:rsidRPr="00E625F3">
        <w:rPr>
          <w:rFonts w:ascii="Times New Roman" w:hAnsi="Times New Roman" w:cs="Times New Roman"/>
          <w:sz w:val="24"/>
          <w:szCs w:val="24"/>
        </w:rPr>
        <w:t xml:space="preserve"> (power, LPG, </w:t>
      </w:r>
      <w:r w:rsidR="00B02060" w:rsidRPr="00E625F3">
        <w:rPr>
          <w:rFonts w:ascii="Times New Roman" w:hAnsi="Times New Roman" w:cs="Times New Roman"/>
          <w:sz w:val="24"/>
          <w:szCs w:val="24"/>
        </w:rPr>
        <w:t>fertilizer</w:t>
      </w:r>
      <w:r w:rsidRPr="00E625F3">
        <w:rPr>
          <w:rFonts w:ascii="Times New Roman" w:hAnsi="Times New Roman" w:cs="Times New Roman"/>
          <w:sz w:val="24"/>
          <w:szCs w:val="24"/>
        </w:rPr>
        <w:t xml:space="preserve">) is receiving renewed institutional attention from ENH and the Mozambican government, suggesting a deliberate strategic </w:t>
      </w:r>
      <w:r w:rsidRPr="00E625F3">
        <w:rPr>
          <w:rFonts w:ascii="Times New Roman" w:hAnsi="Times New Roman" w:cs="Times New Roman"/>
          <w:sz w:val="24"/>
          <w:szCs w:val="24"/>
        </w:rPr>
        <w:lastRenderedPageBreak/>
        <w:t>pivot toward a more diversified "integrated gas economy" narrative rather than pure export dependence.</w:t>
      </w:r>
    </w:p>
    <w:p w14:paraId="15454139" w14:textId="77777777" w:rsidR="00E662A1" w:rsidRDefault="00000000" w:rsidP="004C1873">
      <w:pPr>
        <w:pStyle w:val="ListParagraph"/>
        <w:numPr>
          <w:ilvl w:val="0"/>
          <w:numId w:val="2"/>
        </w:numPr>
        <w:spacing w:after="90" w:line="264" w:lineRule="auto"/>
        <w:jc w:val="both"/>
        <w:rPr>
          <w:rFonts w:ascii="Times New Roman" w:hAnsi="Times New Roman" w:cs="Times New Roman"/>
          <w:sz w:val="24"/>
          <w:szCs w:val="24"/>
        </w:rPr>
      </w:pPr>
      <w:r w:rsidRPr="00E625F3">
        <w:rPr>
          <w:rFonts w:ascii="Times New Roman" w:hAnsi="Times New Roman" w:cs="Times New Roman"/>
          <w:sz w:val="24"/>
          <w:szCs w:val="24"/>
        </w:rPr>
        <w:t>Global LNG market timing is a genuine headwind: Mozambique's cargoes arrive during the most oversupplied period the global LNG market has faced in over a decade, which will test offtake contract structuring and pricing discipline.</w:t>
      </w:r>
    </w:p>
    <w:p w14:paraId="7CF23DBF" w14:textId="77777777" w:rsidR="004C1873" w:rsidRPr="00E625F3" w:rsidRDefault="004C1873" w:rsidP="004C1873">
      <w:pPr>
        <w:pStyle w:val="ListParagraph"/>
        <w:spacing w:after="90" w:line="264" w:lineRule="auto"/>
        <w:ind w:left="450"/>
        <w:jc w:val="both"/>
        <w:rPr>
          <w:rFonts w:ascii="Times New Roman" w:hAnsi="Times New Roman" w:cs="Times New Roman"/>
          <w:sz w:val="24"/>
          <w:szCs w:val="24"/>
        </w:rPr>
      </w:pPr>
    </w:p>
    <w:p w14:paraId="1C6F2903" w14:textId="1BA3F431" w:rsidR="00E662A1" w:rsidRDefault="004C1873" w:rsidP="004C1873">
      <w:pPr>
        <w:jc w:val="both"/>
        <w:rPr>
          <w:rFonts w:ascii="Times New Roman" w:hAnsi="Times New Roman" w:cs="Times New Roman"/>
          <w:b/>
          <w:bCs/>
          <w:sz w:val="24"/>
          <w:szCs w:val="24"/>
        </w:rPr>
      </w:pPr>
      <w:r w:rsidRPr="00E625F3">
        <w:rPr>
          <w:rFonts w:ascii="Times New Roman" w:hAnsi="Times New Roman" w:cs="Times New Roman"/>
          <w:b/>
          <w:bCs/>
          <w:sz w:val="24"/>
          <w:szCs w:val="24"/>
        </w:rPr>
        <w:t>RISK ASSESSMENT</w:t>
      </w:r>
    </w:p>
    <w:p w14:paraId="3A0D585B" w14:textId="77777777" w:rsidR="004C1873" w:rsidRPr="00E625F3" w:rsidRDefault="004C1873" w:rsidP="004C1873">
      <w:pPr>
        <w:jc w:val="both"/>
        <w:rPr>
          <w:rFonts w:ascii="Times New Roman" w:hAnsi="Times New Roman" w:cs="Times New Roman"/>
          <w:sz w:val="24"/>
          <w:szCs w:val="24"/>
        </w:rPr>
      </w:pPr>
    </w:p>
    <w:tbl>
      <w:tblPr>
        <w:tblStyle w:val="TableGrid"/>
        <w:tblW w:w="9355" w:type="dxa"/>
        <w:tblLook w:val="04A0" w:firstRow="1" w:lastRow="0" w:firstColumn="1" w:lastColumn="0" w:noHBand="0" w:noVBand="1"/>
      </w:tblPr>
      <w:tblGrid>
        <w:gridCol w:w="2785"/>
        <w:gridCol w:w="1620"/>
        <w:gridCol w:w="1620"/>
        <w:gridCol w:w="3330"/>
      </w:tblGrid>
      <w:tr w:rsidR="00E625F3" w:rsidRPr="00E625F3" w14:paraId="56011088" w14:textId="77777777" w:rsidTr="004C1873">
        <w:tc>
          <w:tcPr>
            <w:tcW w:w="2785" w:type="dxa"/>
          </w:tcPr>
          <w:p w14:paraId="6F852543"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b/>
                <w:bCs/>
                <w:sz w:val="24"/>
                <w:szCs w:val="24"/>
              </w:rPr>
              <w:t>Risk</w:t>
            </w:r>
          </w:p>
        </w:tc>
        <w:tc>
          <w:tcPr>
            <w:tcW w:w="1620" w:type="dxa"/>
          </w:tcPr>
          <w:p w14:paraId="61F37EFD"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b/>
                <w:bCs/>
                <w:sz w:val="24"/>
                <w:szCs w:val="24"/>
              </w:rPr>
              <w:t>Likelihood</w:t>
            </w:r>
          </w:p>
        </w:tc>
        <w:tc>
          <w:tcPr>
            <w:tcW w:w="1620" w:type="dxa"/>
          </w:tcPr>
          <w:p w14:paraId="555B8F4B"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b/>
                <w:bCs/>
                <w:sz w:val="24"/>
                <w:szCs w:val="24"/>
              </w:rPr>
              <w:t>Impact</w:t>
            </w:r>
          </w:p>
        </w:tc>
        <w:tc>
          <w:tcPr>
            <w:tcW w:w="3330" w:type="dxa"/>
          </w:tcPr>
          <w:p w14:paraId="349512DA"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b/>
                <w:bCs/>
                <w:sz w:val="24"/>
                <w:szCs w:val="24"/>
              </w:rPr>
              <w:t>Mitigant / watch item</w:t>
            </w:r>
          </w:p>
        </w:tc>
      </w:tr>
      <w:tr w:rsidR="00E625F3" w:rsidRPr="00E625F3" w14:paraId="6FEF2EC3" w14:textId="77777777" w:rsidTr="004C1873">
        <w:tc>
          <w:tcPr>
            <w:tcW w:w="2785" w:type="dxa"/>
          </w:tcPr>
          <w:p w14:paraId="01E41B5C"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Cabo Delgado insurgency resurgence</w:t>
            </w:r>
          </w:p>
        </w:tc>
        <w:tc>
          <w:tcPr>
            <w:tcW w:w="1620" w:type="dxa"/>
          </w:tcPr>
          <w:p w14:paraId="26FA45C1"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Medium-High</w:t>
            </w:r>
          </w:p>
        </w:tc>
        <w:tc>
          <w:tcPr>
            <w:tcW w:w="1620" w:type="dxa"/>
          </w:tcPr>
          <w:p w14:paraId="6A52D2D5"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High</w:t>
            </w:r>
          </w:p>
        </w:tc>
        <w:tc>
          <w:tcPr>
            <w:tcW w:w="3330" w:type="dxa"/>
          </w:tcPr>
          <w:p w14:paraId="066F1E6F"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 xml:space="preserve">Continued Rwandan/SADC presence; hardened site perimeter; phased workforce </w:t>
            </w:r>
            <w:proofErr w:type="spellStart"/>
            <w:r w:rsidRPr="00E625F3">
              <w:rPr>
                <w:rFonts w:ascii="Times New Roman" w:hAnsi="Times New Roman" w:cs="Times New Roman"/>
                <w:sz w:val="24"/>
                <w:szCs w:val="24"/>
              </w:rPr>
              <w:t>mobilisation</w:t>
            </w:r>
            <w:proofErr w:type="spellEnd"/>
          </w:p>
        </w:tc>
      </w:tr>
      <w:tr w:rsidR="00E625F3" w:rsidRPr="00E625F3" w14:paraId="2A957B13" w14:textId="77777777" w:rsidTr="004C1873">
        <w:tc>
          <w:tcPr>
            <w:tcW w:w="2785" w:type="dxa"/>
          </w:tcPr>
          <w:p w14:paraId="45E1CFA6"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Security funding withdrawal (Rwanda/SADC)</w:t>
            </w:r>
          </w:p>
        </w:tc>
        <w:tc>
          <w:tcPr>
            <w:tcW w:w="1620" w:type="dxa"/>
          </w:tcPr>
          <w:p w14:paraId="02E7E0DC"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Medium</w:t>
            </w:r>
          </w:p>
        </w:tc>
        <w:tc>
          <w:tcPr>
            <w:tcW w:w="1620" w:type="dxa"/>
          </w:tcPr>
          <w:p w14:paraId="14AA0B53"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High</w:t>
            </w:r>
          </w:p>
        </w:tc>
        <w:tc>
          <w:tcPr>
            <w:tcW w:w="3330" w:type="dxa"/>
          </w:tcPr>
          <w:p w14:paraId="5A8139DB"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Diplomatic engagement; potential international burden-sharing arrangements</w:t>
            </w:r>
          </w:p>
        </w:tc>
      </w:tr>
      <w:tr w:rsidR="00E625F3" w:rsidRPr="00E625F3" w14:paraId="15FA2621" w14:textId="77777777" w:rsidTr="004C1873">
        <w:tc>
          <w:tcPr>
            <w:tcW w:w="2785" w:type="dxa"/>
          </w:tcPr>
          <w:p w14:paraId="439F4CB0"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Global LNG oversupply, 2027–2030</w:t>
            </w:r>
          </w:p>
        </w:tc>
        <w:tc>
          <w:tcPr>
            <w:tcW w:w="1620" w:type="dxa"/>
          </w:tcPr>
          <w:p w14:paraId="514DCC09"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High</w:t>
            </w:r>
          </w:p>
        </w:tc>
        <w:tc>
          <w:tcPr>
            <w:tcW w:w="1620" w:type="dxa"/>
          </w:tcPr>
          <w:p w14:paraId="309955C7"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Medium-High</w:t>
            </w:r>
          </w:p>
        </w:tc>
        <w:tc>
          <w:tcPr>
            <w:tcW w:w="3330" w:type="dxa"/>
          </w:tcPr>
          <w:p w14:paraId="057C8B56"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Flexible contracting; diversified buyer base; domestic offtake diversification</w:t>
            </w:r>
          </w:p>
        </w:tc>
      </w:tr>
      <w:tr w:rsidR="00E625F3" w:rsidRPr="00E625F3" w14:paraId="48606D02" w14:textId="77777777" w:rsidTr="004C1873">
        <w:tc>
          <w:tcPr>
            <w:tcW w:w="2785" w:type="dxa"/>
          </w:tcPr>
          <w:p w14:paraId="38958932"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Further cost overrun / schedule slippage</w:t>
            </w:r>
          </w:p>
        </w:tc>
        <w:tc>
          <w:tcPr>
            <w:tcW w:w="1620" w:type="dxa"/>
          </w:tcPr>
          <w:p w14:paraId="5BBD0865"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Medium</w:t>
            </w:r>
          </w:p>
        </w:tc>
        <w:tc>
          <w:tcPr>
            <w:tcW w:w="1620" w:type="dxa"/>
          </w:tcPr>
          <w:p w14:paraId="7DF80499"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Medium-High</w:t>
            </w:r>
          </w:p>
        </w:tc>
        <w:tc>
          <w:tcPr>
            <w:tcW w:w="3330" w:type="dxa"/>
          </w:tcPr>
          <w:p w14:paraId="2ED54FBA"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 xml:space="preserve">Shared </w:t>
            </w:r>
            <w:proofErr w:type="spellStart"/>
            <w:r w:rsidRPr="00E625F3">
              <w:rPr>
                <w:rFonts w:ascii="Times New Roman" w:hAnsi="Times New Roman" w:cs="Times New Roman"/>
                <w:sz w:val="24"/>
                <w:szCs w:val="24"/>
              </w:rPr>
              <w:t>Afungi</w:t>
            </w:r>
            <w:proofErr w:type="spellEnd"/>
            <w:r w:rsidRPr="00E625F3">
              <w:rPr>
                <w:rFonts w:ascii="Times New Roman" w:hAnsi="Times New Roman" w:cs="Times New Roman"/>
                <w:sz w:val="24"/>
                <w:szCs w:val="24"/>
              </w:rPr>
              <w:t xml:space="preserve"> infrastructure; experienced operator track record post-restart</w:t>
            </w:r>
          </w:p>
        </w:tc>
      </w:tr>
      <w:tr w:rsidR="00E625F3" w:rsidRPr="00E625F3" w14:paraId="49CD858A" w14:textId="77777777" w:rsidTr="004C1873">
        <w:tc>
          <w:tcPr>
            <w:tcW w:w="2785" w:type="dxa"/>
          </w:tcPr>
          <w:p w14:paraId="3642C8C8"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ECA/lender withdrawal (ESG, political risk)</w:t>
            </w:r>
          </w:p>
        </w:tc>
        <w:tc>
          <w:tcPr>
            <w:tcW w:w="1620" w:type="dxa"/>
          </w:tcPr>
          <w:p w14:paraId="3B1D7F71"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Medium</w:t>
            </w:r>
          </w:p>
        </w:tc>
        <w:tc>
          <w:tcPr>
            <w:tcW w:w="1620" w:type="dxa"/>
          </w:tcPr>
          <w:p w14:paraId="75AEE345"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Medium</w:t>
            </w:r>
          </w:p>
        </w:tc>
        <w:tc>
          <w:tcPr>
            <w:tcW w:w="3330" w:type="dxa"/>
          </w:tcPr>
          <w:p w14:paraId="5151CA5F"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Diversified, multi-jurisdiction financing stack reduces single-lender dependency</w:t>
            </w:r>
          </w:p>
        </w:tc>
      </w:tr>
      <w:tr w:rsidR="00E625F3" w:rsidRPr="00E625F3" w14:paraId="70B6E1BF" w14:textId="77777777" w:rsidTr="004C1873">
        <w:tc>
          <w:tcPr>
            <w:tcW w:w="2785" w:type="dxa"/>
          </w:tcPr>
          <w:p w14:paraId="6C88CF9A"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Methane regulation / carbon border costs</w:t>
            </w:r>
          </w:p>
        </w:tc>
        <w:tc>
          <w:tcPr>
            <w:tcW w:w="1620" w:type="dxa"/>
          </w:tcPr>
          <w:p w14:paraId="57914A4B"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High</w:t>
            </w:r>
          </w:p>
        </w:tc>
        <w:tc>
          <w:tcPr>
            <w:tcW w:w="1620" w:type="dxa"/>
          </w:tcPr>
          <w:p w14:paraId="7BDC091E"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Low-Medium</w:t>
            </w:r>
          </w:p>
        </w:tc>
        <w:tc>
          <w:tcPr>
            <w:tcW w:w="3330" w:type="dxa"/>
          </w:tcPr>
          <w:p w14:paraId="4356B6FD"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Methane MRV investment; early compliance positioning for EU-bound cargoes</w:t>
            </w:r>
          </w:p>
        </w:tc>
      </w:tr>
      <w:tr w:rsidR="00E625F3" w:rsidRPr="00E625F3" w14:paraId="3B8C943C" w14:textId="77777777" w:rsidTr="004C1873">
        <w:tc>
          <w:tcPr>
            <w:tcW w:w="2785" w:type="dxa"/>
          </w:tcPr>
          <w:p w14:paraId="32FF546C"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Offtake renegotiation / buyer walk-away</w:t>
            </w:r>
          </w:p>
        </w:tc>
        <w:tc>
          <w:tcPr>
            <w:tcW w:w="1620" w:type="dxa"/>
          </w:tcPr>
          <w:p w14:paraId="08568CC7"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Low-Medium</w:t>
            </w:r>
          </w:p>
        </w:tc>
        <w:tc>
          <w:tcPr>
            <w:tcW w:w="1620" w:type="dxa"/>
          </w:tcPr>
          <w:p w14:paraId="7B636417"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Medium-High</w:t>
            </w:r>
          </w:p>
        </w:tc>
        <w:tc>
          <w:tcPr>
            <w:tcW w:w="3330" w:type="dxa"/>
          </w:tcPr>
          <w:p w14:paraId="2F03B03B"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Credit-worthy buyer base; portfolio contracting structures</w:t>
            </w:r>
          </w:p>
        </w:tc>
      </w:tr>
      <w:tr w:rsidR="00E625F3" w:rsidRPr="00E625F3" w14:paraId="730F3116" w14:textId="77777777" w:rsidTr="004C1873">
        <w:tc>
          <w:tcPr>
            <w:tcW w:w="2785" w:type="dxa"/>
          </w:tcPr>
          <w:p w14:paraId="1B1FA29B"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Domestic-vs-export gas allocation politics</w:t>
            </w:r>
          </w:p>
        </w:tc>
        <w:tc>
          <w:tcPr>
            <w:tcW w:w="1620" w:type="dxa"/>
          </w:tcPr>
          <w:p w14:paraId="27ADE1DC"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Medium</w:t>
            </w:r>
          </w:p>
        </w:tc>
        <w:tc>
          <w:tcPr>
            <w:tcW w:w="1620" w:type="dxa"/>
          </w:tcPr>
          <w:p w14:paraId="54BE8EAF"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Medium</w:t>
            </w:r>
          </w:p>
        </w:tc>
        <w:tc>
          <w:tcPr>
            <w:tcW w:w="3330" w:type="dxa"/>
          </w:tcPr>
          <w:p w14:paraId="2D74C0A4"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Clear, published domestic gas reservation policy; transparent allocation rules</w:t>
            </w:r>
          </w:p>
        </w:tc>
      </w:tr>
      <w:tr w:rsidR="00E625F3" w:rsidRPr="00E625F3" w14:paraId="7062736C" w14:textId="77777777" w:rsidTr="004C1873">
        <w:tc>
          <w:tcPr>
            <w:tcW w:w="2785" w:type="dxa"/>
          </w:tcPr>
          <w:p w14:paraId="28DB0D35"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Infrastructure bottlenecks (grid, roads, pipeline)</w:t>
            </w:r>
          </w:p>
        </w:tc>
        <w:tc>
          <w:tcPr>
            <w:tcW w:w="1620" w:type="dxa"/>
          </w:tcPr>
          <w:p w14:paraId="7696799A"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High</w:t>
            </w:r>
          </w:p>
        </w:tc>
        <w:tc>
          <w:tcPr>
            <w:tcW w:w="1620" w:type="dxa"/>
          </w:tcPr>
          <w:p w14:paraId="05C3F080"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Medium</w:t>
            </w:r>
          </w:p>
        </w:tc>
        <w:tc>
          <w:tcPr>
            <w:tcW w:w="3330" w:type="dxa"/>
          </w:tcPr>
          <w:p w14:paraId="48EE132D"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Sequenced infrastructure investment ahead of demand; DFI co-financing</w:t>
            </w:r>
          </w:p>
        </w:tc>
      </w:tr>
      <w:tr w:rsidR="00E625F3" w:rsidRPr="00E625F3" w14:paraId="7D283C55" w14:textId="77777777" w:rsidTr="004C1873">
        <w:tc>
          <w:tcPr>
            <w:tcW w:w="2785" w:type="dxa"/>
          </w:tcPr>
          <w:p w14:paraId="0BF2DA6B"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Climate policy demand destruction, post-2035</w:t>
            </w:r>
          </w:p>
        </w:tc>
        <w:tc>
          <w:tcPr>
            <w:tcW w:w="1620" w:type="dxa"/>
          </w:tcPr>
          <w:p w14:paraId="7EB1E8CC"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Medium</w:t>
            </w:r>
          </w:p>
        </w:tc>
        <w:tc>
          <w:tcPr>
            <w:tcW w:w="1620" w:type="dxa"/>
          </w:tcPr>
          <w:p w14:paraId="0A3CE794"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Medium-High</w:t>
            </w:r>
          </w:p>
        </w:tc>
        <w:tc>
          <w:tcPr>
            <w:tcW w:w="3330" w:type="dxa"/>
          </w:tcPr>
          <w:p w14:paraId="5D8CC9D8" w14:textId="77777777" w:rsidR="00E662A1" w:rsidRPr="00E625F3" w:rsidRDefault="00000000" w:rsidP="004C1873">
            <w:pPr>
              <w:jc w:val="both"/>
              <w:rPr>
                <w:rFonts w:ascii="Times New Roman" w:hAnsi="Times New Roman" w:cs="Times New Roman"/>
                <w:sz w:val="24"/>
                <w:szCs w:val="24"/>
              </w:rPr>
            </w:pPr>
            <w:r w:rsidRPr="00E625F3">
              <w:rPr>
                <w:rFonts w:ascii="Times New Roman" w:hAnsi="Times New Roman" w:cs="Times New Roman"/>
                <w:sz w:val="24"/>
                <w:szCs w:val="24"/>
              </w:rPr>
              <w:t>Portfolio diversification into domestic and petrochemical demand</w:t>
            </w:r>
          </w:p>
        </w:tc>
      </w:tr>
    </w:tbl>
    <w:p w14:paraId="0B9F730E" w14:textId="36728026" w:rsidR="00E662A1" w:rsidRPr="00A61060" w:rsidRDefault="00000000" w:rsidP="004C1873">
      <w:pPr>
        <w:spacing w:before="80" w:after="260"/>
        <w:jc w:val="both"/>
        <w:rPr>
          <w:rFonts w:ascii="Times New Roman" w:hAnsi="Times New Roman" w:cs="Times New Roman"/>
          <w:sz w:val="24"/>
          <w:szCs w:val="24"/>
        </w:rPr>
      </w:pPr>
      <w:r w:rsidRPr="00A61060">
        <w:rPr>
          <w:rFonts w:ascii="Times New Roman" w:hAnsi="Times New Roman" w:cs="Times New Roman"/>
          <w:sz w:val="24"/>
          <w:szCs w:val="24"/>
        </w:rPr>
        <w:t xml:space="preserve">Composite risk assessment for Rovuma Basin gas </w:t>
      </w:r>
      <w:r w:rsidR="00EB4BFA" w:rsidRPr="00A61060">
        <w:rPr>
          <w:rFonts w:ascii="Times New Roman" w:hAnsi="Times New Roman" w:cs="Times New Roman"/>
          <w:sz w:val="24"/>
          <w:szCs w:val="24"/>
        </w:rPr>
        <w:t>monetization</w:t>
      </w:r>
      <w:r w:rsidRPr="00A61060">
        <w:rPr>
          <w:rFonts w:ascii="Times New Roman" w:hAnsi="Times New Roman" w:cs="Times New Roman"/>
          <w:sz w:val="24"/>
          <w:szCs w:val="24"/>
        </w:rPr>
        <w:t>, 2026–2035 horizon.</w:t>
      </w:r>
    </w:p>
    <w:p w14:paraId="3B7D581E" w14:textId="53C97F5A" w:rsidR="00E662A1" w:rsidRDefault="00E662A1" w:rsidP="004C1873">
      <w:pPr>
        <w:jc w:val="both"/>
        <w:rPr>
          <w:rFonts w:ascii="Times New Roman" w:hAnsi="Times New Roman" w:cs="Times New Roman"/>
          <w:sz w:val="24"/>
          <w:szCs w:val="24"/>
        </w:rPr>
      </w:pPr>
    </w:p>
    <w:p w14:paraId="2C210131" w14:textId="77777777" w:rsidR="00A61060" w:rsidRPr="00A61060" w:rsidRDefault="00A61060" w:rsidP="00A61060">
      <w:pPr>
        <w:rPr>
          <w:rFonts w:ascii="Times New Roman" w:hAnsi="Times New Roman" w:cs="Times New Roman"/>
          <w:sz w:val="24"/>
          <w:szCs w:val="24"/>
        </w:rPr>
      </w:pPr>
    </w:p>
    <w:p w14:paraId="325127CC" w14:textId="77777777" w:rsidR="00A61060" w:rsidRPr="00A61060" w:rsidRDefault="00A61060" w:rsidP="00A61060">
      <w:pPr>
        <w:rPr>
          <w:rFonts w:ascii="Times New Roman" w:hAnsi="Times New Roman" w:cs="Times New Roman"/>
          <w:sz w:val="24"/>
          <w:szCs w:val="24"/>
        </w:rPr>
      </w:pPr>
    </w:p>
    <w:p w14:paraId="6CF4C122" w14:textId="77777777" w:rsidR="00A61060" w:rsidRPr="00A61060" w:rsidRDefault="00A61060" w:rsidP="00A61060">
      <w:pPr>
        <w:rPr>
          <w:rFonts w:ascii="Times New Roman" w:hAnsi="Times New Roman" w:cs="Times New Roman"/>
          <w:sz w:val="24"/>
          <w:szCs w:val="24"/>
        </w:rPr>
      </w:pPr>
    </w:p>
    <w:p w14:paraId="5B46F8DA" w14:textId="77777777" w:rsidR="00A61060" w:rsidRPr="00A61060" w:rsidRDefault="00A61060" w:rsidP="00A61060">
      <w:pPr>
        <w:rPr>
          <w:rFonts w:ascii="Times New Roman" w:hAnsi="Times New Roman" w:cs="Times New Roman"/>
          <w:sz w:val="24"/>
          <w:szCs w:val="24"/>
        </w:rPr>
      </w:pPr>
    </w:p>
    <w:p w14:paraId="5725B169" w14:textId="77777777" w:rsidR="00A61060" w:rsidRDefault="00A61060" w:rsidP="00A61060">
      <w:pPr>
        <w:rPr>
          <w:rFonts w:ascii="Times New Roman" w:hAnsi="Times New Roman" w:cs="Times New Roman"/>
          <w:sz w:val="24"/>
          <w:szCs w:val="24"/>
        </w:rPr>
      </w:pPr>
    </w:p>
    <w:p w14:paraId="03BAFAEB" w14:textId="3738C191" w:rsidR="00A61060" w:rsidRPr="00A61060" w:rsidRDefault="00A61060" w:rsidP="00A61060">
      <w:pPr>
        <w:tabs>
          <w:tab w:val="left" w:pos="1830"/>
        </w:tabs>
        <w:rPr>
          <w:rFonts w:ascii="Times New Roman" w:hAnsi="Times New Roman" w:cs="Times New Roman"/>
          <w:sz w:val="24"/>
          <w:szCs w:val="24"/>
        </w:rPr>
      </w:pPr>
      <w:r>
        <w:rPr>
          <w:rFonts w:ascii="Times New Roman" w:hAnsi="Times New Roman" w:cs="Times New Roman"/>
          <w:sz w:val="24"/>
          <w:szCs w:val="24"/>
        </w:rPr>
        <w:tab/>
      </w:r>
    </w:p>
    <w:sectPr w:rsidR="00A61060" w:rsidRPr="00A61060" w:rsidSect="00E625F3">
      <w:headerReference w:type="default" r:id="rId7"/>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57492" w14:textId="77777777" w:rsidR="001966FE" w:rsidRDefault="001966FE">
      <w:r>
        <w:separator/>
      </w:r>
    </w:p>
  </w:endnote>
  <w:endnote w:type="continuationSeparator" w:id="0">
    <w:p w14:paraId="53B35C03" w14:textId="77777777" w:rsidR="001966FE" w:rsidRDefault="00196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066F1" w14:textId="5E9D2A5E" w:rsidR="00E662A1" w:rsidRDefault="00E662A1">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6ECD8" w14:textId="77777777" w:rsidR="001966FE" w:rsidRDefault="001966FE">
      <w:r>
        <w:separator/>
      </w:r>
    </w:p>
  </w:footnote>
  <w:footnote w:type="continuationSeparator" w:id="0">
    <w:p w14:paraId="29152500" w14:textId="77777777" w:rsidR="001966FE" w:rsidRDefault="001966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2C4C5" w14:textId="0941AF96" w:rsidR="00E662A1" w:rsidRDefault="00E662A1">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644A9"/>
    <w:multiLevelType w:val="hybridMultilevel"/>
    <w:tmpl w:val="7DD82506"/>
    <w:lvl w:ilvl="0" w:tplc="CE0EA22E">
      <w:start w:val="1"/>
      <w:numFmt w:val="bullet"/>
      <w:lvlText w:val="•"/>
      <w:lvlJc w:val="left"/>
      <w:pPr>
        <w:ind w:left="450" w:hanging="260"/>
      </w:pPr>
    </w:lvl>
    <w:lvl w:ilvl="1" w:tplc="3D9CD4F4">
      <w:start w:val="1"/>
      <w:numFmt w:val="bullet"/>
      <w:lvlText w:val="◦"/>
      <w:lvlJc w:val="left"/>
      <w:pPr>
        <w:ind w:left="800" w:hanging="260"/>
      </w:pPr>
    </w:lvl>
    <w:lvl w:ilvl="2" w:tplc="38FA61BA">
      <w:numFmt w:val="decimal"/>
      <w:lvlText w:val=""/>
      <w:lvlJc w:val="left"/>
    </w:lvl>
    <w:lvl w:ilvl="3" w:tplc="812C1BBC">
      <w:numFmt w:val="decimal"/>
      <w:lvlText w:val=""/>
      <w:lvlJc w:val="left"/>
    </w:lvl>
    <w:lvl w:ilvl="4" w:tplc="5DDC55DA">
      <w:numFmt w:val="decimal"/>
      <w:lvlText w:val=""/>
      <w:lvlJc w:val="left"/>
    </w:lvl>
    <w:lvl w:ilvl="5" w:tplc="1F86D1A2">
      <w:numFmt w:val="decimal"/>
      <w:lvlText w:val=""/>
      <w:lvlJc w:val="left"/>
    </w:lvl>
    <w:lvl w:ilvl="6" w:tplc="AFB65DCA">
      <w:numFmt w:val="decimal"/>
      <w:lvlText w:val=""/>
      <w:lvlJc w:val="left"/>
    </w:lvl>
    <w:lvl w:ilvl="7" w:tplc="A8D69E20">
      <w:numFmt w:val="decimal"/>
      <w:lvlText w:val=""/>
      <w:lvlJc w:val="left"/>
    </w:lvl>
    <w:lvl w:ilvl="8" w:tplc="B994E94C">
      <w:numFmt w:val="decimal"/>
      <w:lvlText w:val=""/>
      <w:lvlJc w:val="left"/>
    </w:lvl>
  </w:abstractNum>
  <w:abstractNum w:abstractNumId="1" w15:restartNumberingAfterBreak="0">
    <w:nsid w:val="397B7597"/>
    <w:multiLevelType w:val="hybridMultilevel"/>
    <w:tmpl w:val="F82A1F18"/>
    <w:lvl w:ilvl="0" w:tplc="2B547B12">
      <w:start w:val="1"/>
      <w:numFmt w:val="bullet"/>
      <w:lvlText w:val="●"/>
      <w:lvlJc w:val="left"/>
      <w:pPr>
        <w:ind w:left="720" w:hanging="360"/>
      </w:pPr>
    </w:lvl>
    <w:lvl w:ilvl="1" w:tplc="EF2047E2">
      <w:start w:val="1"/>
      <w:numFmt w:val="bullet"/>
      <w:lvlText w:val="○"/>
      <w:lvlJc w:val="left"/>
      <w:pPr>
        <w:ind w:left="1440" w:hanging="360"/>
      </w:pPr>
    </w:lvl>
    <w:lvl w:ilvl="2" w:tplc="F844F226">
      <w:start w:val="1"/>
      <w:numFmt w:val="bullet"/>
      <w:lvlText w:val="■"/>
      <w:lvlJc w:val="left"/>
      <w:pPr>
        <w:ind w:left="2160" w:hanging="360"/>
      </w:pPr>
    </w:lvl>
    <w:lvl w:ilvl="3" w:tplc="46E88FA0">
      <w:start w:val="1"/>
      <w:numFmt w:val="bullet"/>
      <w:lvlText w:val="●"/>
      <w:lvlJc w:val="left"/>
      <w:pPr>
        <w:ind w:left="2880" w:hanging="360"/>
      </w:pPr>
    </w:lvl>
    <w:lvl w:ilvl="4" w:tplc="8128774E">
      <w:start w:val="1"/>
      <w:numFmt w:val="bullet"/>
      <w:lvlText w:val="○"/>
      <w:lvlJc w:val="left"/>
      <w:pPr>
        <w:ind w:left="3600" w:hanging="360"/>
      </w:pPr>
    </w:lvl>
    <w:lvl w:ilvl="5" w:tplc="5F7E0380">
      <w:start w:val="1"/>
      <w:numFmt w:val="bullet"/>
      <w:lvlText w:val="■"/>
      <w:lvlJc w:val="left"/>
      <w:pPr>
        <w:ind w:left="4320" w:hanging="360"/>
      </w:pPr>
    </w:lvl>
    <w:lvl w:ilvl="6" w:tplc="A60EF3C2">
      <w:start w:val="1"/>
      <w:numFmt w:val="bullet"/>
      <w:lvlText w:val="●"/>
      <w:lvlJc w:val="left"/>
      <w:pPr>
        <w:ind w:left="5040" w:hanging="360"/>
      </w:pPr>
    </w:lvl>
    <w:lvl w:ilvl="7" w:tplc="EE12D74E">
      <w:start w:val="1"/>
      <w:numFmt w:val="bullet"/>
      <w:lvlText w:val="●"/>
      <w:lvlJc w:val="left"/>
      <w:pPr>
        <w:ind w:left="5760" w:hanging="360"/>
      </w:pPr>
    </w:lvl>
    <w:lvl w:ilvl="8" w:tplc="4D0881D6">
      <w:start w:val="1"/>
      <w:numFmt w:val="bullet"/>
      <w:lvlText w:val="●"/>
      <w:lvlJc w:val="left"/>
      <w:pPr>
        <w:ind w:left="6480" w:hanging="360"/>
      </w:pPr>
    </w:lvl>
  </w:abstractNum>
  <w:num w:numId="1" w16cid:durableId="849835238">
    <w:abstractNumId w:val="1"/>
    <w:lvlOverride w:ilvl="0">
      <w:startOverride w:val="1"/>
    </w:lvlOverride>
  </w:num>
  <w:num w:numId="2" w16cid:durableId="55116040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2A1"/>
    <w:rsid w:val="001966FE"/>
    <w:rsid w:val="004C1873"/>
    <w:rsid w:val="005156CC"/>
    <w:rsid w:val="0063444C"/>
    <w:rsid w:val="00A61060"/>
    <w:rsid w:val="00B02060"/>
    <w:rsid w:val="00E33195"/>
    <w:rsid w:val="00E625F3"/>
    <w:rsid w:val="00E662A1"/>
    <w:rsid w:val="00EB4B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5337F"/>
  <w15:docId w15:val="{5F614F86-6690-455B-8F7D-706E0ADA1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E625F3"/>
    <w:pPr>
      <w:tabs>
        <w:tab w:val="center" w:pos="4680"/>
        <w:tab w:val="right" w:pos="9360"/>
      </w:tabs>
    </w:pPr>
  </w:style>
  <w:style w:type="character" w:customStyle="1" w:styleId="HeaderChar">
    <w:name w:val="Header Char"/>
    <w:basedOn w:val="DefaultParagraphFont"/>
    <w:link w:val="Header"/>
    <w:uiPriority w:val="99"/>
    <w:rsid w:val="00E625F3"/>
  </w:style>
  <w:style w:type="paragraph" w:styleId="Footer">
    <w:name w:val="footer"/>
    <w:basedOn w:val="Normal"/>
    <w:link w:val="FooterChar"/>
    <w:uiPriority w:val="99"/>
    <w:unhideWhenUsed/>
    <w:rsid w:val="00E625F3"/>
    <w:pPr>
      <w:tabs>
        <w:tab w:val="center" w:pos="4680"/>
        <w:tab w:val="right" w:pos="9360"/>
      </w:tabs>
    </w:pPr>
  </w:style>
  <w:style w:type="character" w:customStyle="1" w:styleId="FooterChar">
    <w:name w:val="Footer Char"/>
    <w:basedOn w:val="DefaultParagraphFont"/>
    <w:link w:val="Footer"/>
    <w:uiPriority w:val="99"/>
    <w:rsid w:val="00E625F3"/>
  </w:style>
  <w:style w:type="table" w:styleId="TableGrid">
    <w:name w:val="Table Grid"/>
    <w:basedOn w:val="TableNormal"/>
    <w:uiPriority w:val="39"/>
    <w:rsid w:val="00E625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13</Pages>
  <Words>5307</Words>
  <Characters>30256</Characters>
  <Application>Microsoft Office Word</Application>
  <DocSecurity>0</DocSecurity>
  <Lines>252</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Administrator</cp:lastModifiedBy>
  <cp:revision>6</cp:revision>
  <dcterms:created xsi:type="dcterms:W3CDTF">2026-07-30T08:14:00Z</dcterms:created>
  <dcterms:modified xsi:type="dcterms:W3CDTF">2026-07-30T08:53:00Z</dcterms:modified>
</cp:coreProperties>
</file>