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pBdr>
          <w:top w:color="auto" w:space="0" w:sz="0" w:val="none"/>
          <w:left w:color="auto" w:space="0" w:sz="0" w:val="none"/>
          <w:bottom w:color="auto" w:space="0" w:sz="0" w:val="none"/>
          <w:right w:color="auto" w:space="0" w:sz="0" w:val="none"/>
          <w:between w:color="auto" w:space="0" w:sz="0" w:val="none"/>
        </w:pBdr>
        <w:shd w:fill="ffffff" w:val="clear"/>
        <w:spacing w:line="360" w:lineRule="auto"/>
        <w:rPr>
          <w:rFonts w:ascii="Century Gothic" w:cs="Century Gothic" w:eastAsia="Century Gothic" w:hAnsi="Century Gothic"/>
          <w:b w:val="1"/>
          <w:bCs w:val="1"/>
          <w:sz w:val="44"/>
          <w:szCs w:val="44"/>
        </w:rPr>
      </w:pPr>
      <w:bookmarkStart w:colFirst="0" w:colLast="0" w:name="_mgn39uwym5p9" w:id="0"/>
      <w:bookmarkEnd w:id="0"/>
      <w:r w:rsidDel="00000000" w:rsidR="00000000" w:rsidRPr="00000000">
        <w:rPr>
          <w:rFonts w:ascii="Century Gothic" w:cs="Century Gothic" w:eastAsia="Century Gothic" w:hAnsi="Century Gothic"/>
          <w:sz w:val="42"/>
          <w:szCs w:val="42"/>
          <w:rtl w:val="0"/>
        </w:rPr>
        <w:t xml:space="preserve">SENEGAL'S GAS MONETIZATION STRATEGY: INFRASTRUCTURE, DOMESTIC SUPPLY AND EXPORT GROWTH</w:t>
      </w:r>
      <w:r w:rsidDel="00000000" w:rsidR="00000000" w:rsidRPr="00000000">
        <w:rPr>
          <w:rtl w:val="0"/>
        </w:rPr>
      </w:r>
    </w:p>
    <w:p w:rsidR="00000000" w:rsidDel="00000000" w:rsidP="00000000" w:rsidRDefault="00000000" w:rsidRPr="00000000" w14:paraId="00000002">
      <w:pPr>
        <w:pStyle w:val="Heading1"/>
        <w:jc w:val="both"/>
        <w:rPr>
          <w:b w:val="1"/>
          <w:bCs w:val="1"/>
        </w:rPr>
      </w:pPr>
      <w:bookmarkStart w:colFirst="0" w:colLast="0" w:name="_t1q63pte6hwk" w:id="1"/>
      <w:bookmarkEnd w:id="1"/>
      <w:r w:rsidDel="00000000" w:rsidR="00000000" w:rsidRPr="00000000">
        <w:rPr>
          <w:b w:val="1"/>
          <w:bCs w:val="1"/>
          <w:rtl w:val="0"/>
        </w:rPr>
        <w:t xml:space="preserve">EXECUTIVE SUMMARY</w:t>
      </w:r>
      <w:r w:rsidDel="00000000" w:rsidR="00000000" w:rsidRPr="00000000">
        <w:rPr>
          <w:rtl w:val="0"/>
        </w:rPr>
      </w:r>
    </w:p>
    <w:p w:rsidR="00000000" w:rsidDel="00000000" w:rsidP="00000000" w:rsidRDefault="00000000" w:rsidRPr="00000000" w14:paraId="00000003">
      <w:pPr>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Senegal is in the early stages of converting a decade of offshore hydrocarbon discoveries into a functioning domestic gas economy. The centerpiece of this transition is the Réseau Gazier du Sénégal (RGS), an approximately 400 km national pipeline network valued at approximately €975M, designed to move gas from offshore production hubs to power plants, industrial zones, and eventually into the wider West African gas market via the 5,700 km African Atlantic Gas Pipeline. Full network operation is targeted for 2027, although as of mid-2026 only one of five segments , the Northern (GTA–Gandon) line has cleared construction approval.</w:t>
      </w:r>
    </w:p>
    <w:p w:rsidR="00000000" w:rsidDel="00000000" w:rsidP="00000000" w:rsidRDefault="00000000" w:rsidRPr="00000000" w14:paraId="00000004">
      <w:pPr>
        <w:pStyle w:val="Heading1"/>
        <w:rPr>
          <w:rFonts w:ascii="Century Gothic" w:cs="Century Gothic" w:eastAsia="Century Gothic" w:hAnsi="Century Gothic"/>
          <w:b w:val="1"/>
          <w:bCs w:val="1"/>
          <w:sz w:val="28"/>
          <w:szCs w:val="28"/>
        </w:rPr>
      </w:pPr>
      <w:bookmarkStart w:colFirst="0" w:colLast="0" w:name="_801gz1xhpu8o" w:id="2"/>
      <w:bookmarkEnd w:id="2"/>
      <w:r w:rsidDel="00000000" w:rsidR="00000000" w:rsidRPr="00000000">
        <w:rPr>
          <w:rFonts w:ascii="Century Gothic" w:cs="Century Gothic" w:eastAsia="Century Gothic" w:hAnsi="Century Gothic"/>
          <w:b w:val="1"/>
          <w:bCs w:val="1"/>
          <w:rtl w:val="0"/>
        </w:rPr>
        <w:t xml:space="preserve">INFRASTRUCTURE AND PIPELINE NETWORK</w:t>
      </w:r>
      <w:r w:rsidDel="00000000" w:rsidR="00000000" w:rsidRPr="00000000">
        <w:rPr>
          <w:rtl w:val="0"/>
        </w:rPr>
      </w:r>
    </w:p>
    <w:p w:rsidR="00000000" w:rsidDel="00000000" w:rsidP="00000000" w:rsidRDefault="00000000" w:rsidRPr="00000000" w14:paraId="00000005">
      <w:pPr>
        <w:shd w:fill="ffffff" w:val="clear"/>
        <w:spacing w:line="360" w:lineRule="auto"/>
        <w:jc w:val="both"/>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Senegal is constructing an approximately 400 km national gas pipeline network (Réseau Gazier du Sénégal) to unlock domestic gas monetization. The RGS network is explicitly designed to physically connect offshore production to Senegalese power plants and industrial users before any surplus gas is considered for wider regional or international sale. This is consistent with the country's broader "gas-to-power first" development doctrine, under which domestic energy security functions as the anchor demand that de-risks pipeline investment, with industrial and export markets layered on top once the core grid is operational. </w:t>
      </w:r>
    </w:p>
    <w:p w:rsidR="00000000" w:rsidDel="00000000" w:rsidP="00000000" w:rsidRDefault="00000000" w:rsidRPr="00000000" w14:paraId="00000006">
      <w:pPr>
        <w:shd w:fill="ffffff" w:val="clear"/>
        <w:spacing w:line="360" w:lineRule="auto"/>
        <w:jc w:val="both"/>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The network comprises five segments at varying stages of maturity, together spanning roughly 400 km and representing close to €1 billion in planned investment.</w:t>
      </w:r>
    </w:p>
    <w:p w:rsidR="00000000" w:rsidDel="00000000" w:rsidP="00000000" w:rsidRDefault="00000000" w:rsidRPr="00000000" w14:paraId="00000007">
      <w:pPr>
        <w:shd w:fill="ffffff" w:val="clear"/>
        <w:spacing w:line="360" w:lineRule="auto"/>
        <w:rPr>
          <w:rFonts w:ascii="Century Gothic" w:cs="Century Gothic" w:eastAsia="Century Gothic" w:hAnsi="Century Gothic"/>
          <w:sz w:val="24"/>
          <w:szCs w:val="24"/>
        </w:rPr>
      </w:pPr>
      <w:r w:rsidDel="00000000" w:rsidR="00000000" w:rsidRPr="00000000">
        <w:rPr>
          <w:rtl w:val="0"/>
        </w:rPr>
      </w:r>
    </w:p>
    <w:tbl>
      <w:tblPr>
        <w:tblStyle w:val="Table1"/>
        <w:tblW w:w="900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500"/>
        <w:gridCol w:w="1500"/>
        <w:gridCol w:w="1500"/>
        <w:gridCol w:w="1500"/>
        <w:gridCol w:w="1500"/>
        <w:gridCol w:w="1500"/>
        <w:tblGridChange w:id="0">
          <w:tblGrid>
            <w:gridCol w:w="1500"/>
            <w:gridCol w:w="1500"/>
            <w:gridCol w:w="1500"/>
            <w:gridCol w:w="1500"/>
            <w:gridCol w:w="1500"/>
            <w:gridCol w:w="1500"/>
          </w:tblGrid>
        </w:tblGridChange>
      </w:tblGrid>
      <w:tr>
        <w:trPr>
          <w:cantSplit w:val="0"/>
          <w:trHeight w:val="585" w:hRule="atLeast"/>
          <w:tblHeader w:val="0"/>
        </w:trPr>
        <w:tc>
          <w:tcPr>
            <w:tcBorders>
              <w:top w:color="000000" w:space="0" w:sz="4" w:val="single"/>
              <w:left w:color="000000" w:space="0" w:sz="4" w:val="single"/>
              <w:bottom w:color="000000" w:space="0" w:sz="4" w:val="single"/>
              <w:right w:color="000000" w:space="0" w:sz="4" w:val="single"/>
            </w:tcBorders>
            <w:shd w:fill="073763" w:val="clear"/>
            <w:tcMar>
              <w:top w:w="40.0" w:type="dxa"/>
              <w:left w:w="40.0" w:type="dxa"/>
              <w:bottom w:w="40.0" w:type="dxa"/>
              <w:right w:w="40.0" w:type="dxa"/>
            </w:tcMar>
            <w:vAlign w:val="top"/>
          </w:tcPr>
          <w:p w:rsidR="00000000" w:rsidDel="00000000" w:rsidP="00000000" w:rsidRDefault="00000000" w:rsidRPr="00000000" w14:paraId="00000008">
            <w:pPr>
              <w:widowControl w:val="0"/>
              <w:spacing w:line="360" w:lineRule="auto"/>
              <w:rPr>
                <w:rFonts w:ascii="Century Gothic" w:cs="Century Gothic" w:eastAsia="Century Gothic" w:hAnsi="Century Gothic"/>
                <w:b w:val="1"/>
                <w:bCs w:val="1"/>
                <w:color w:val="ffffff"/>
                <w:sz w:val="24"/>
                <w:szCs w:val="24"/>
              </w:rPr>
            </w:pPr>
            <w:r w:rsidDel="00000000" w:rsidR="00000000" w:rsidRPr="00000000">
              <w:rPr>
                <w:rFonts w:ascii="Century Gothic" w:cs="Century Gothic" w:eastAsia="Century Gothic" w:hAnsi="Century Gothic"/>
                <w:b w:val="1"/>
                <w:bCs w:val="1"/>
                <w:color w:val="ffffff"/>
                <w:sz w:val="24"/>
                <w:szCs w:val="24"/>
                <w:rtl w:val="0"/>
              </w:rPr>
              <w:t xml:space="preserve">Segment</w:t>
            </w:r>
          </w:p>
        </w:tc>
        <w:tc>
          <w:tcPr>
            <w:tcBorders>
              <w:top w:color="000000" w:space="0" w:sz="4" w:val="single"/>
              <w:left w:color="cccccc" w:space="0" w:sz="4" w:val="single"/>
              <w:bottom w:color="000000" w:space="0" w:sz="4" w:val="single"/>
              <w:right w:color="000000" w:space="0" w:sz="4" w:val="single"/>
            </w:tcBorders>
            <w:shd w:fill="073763" w:val="clear"/>
            <w:tcMar>
              <w:top w:w="40.0" w:type="dxa"/>
              <w:left w:w="40.0" w:type="dxa"/>
              <w:bottom w:w="40.0" w:type="dxa"/>
              <w:right w:w="40.0" w:type="dxa"/>
            </w:tcMar>
            <w:vAlign w:val="top"/>
          </w:tcPr>
          <w:p w:rsidR="00000000" w:rsidDel="00000000" w:rsidP="00000000" w:rsidRDefault="00000000" w:rsidRPr="00000000" w14:paraId="00000009">
            <w:pPr>
              <w:widowControl w:val="0"/>
              <w:spacing w:line="360" w:lineRule="auto"/>
              <w:rPr>
                <w:rFonts w:ascii="Century Gothic" w:cs="Century Gothic" w:eastAsia="Century Gothic" w:hAnsi="Century Gothic"/>
                <w:b w:val="1"/>
                <w:bCs w:val="1"/>
                <w:color w:val="ffffff"/>
                <w:sz w:val="24"/>
                <w:szCs w:val="24"/>
              </w:rPr>
            </w:pPr>
            <w:r w:rsidDel="00000000" w:rsidR="00000000" w:rsidRPr="00000000">
              <w:rPr>
                <w:rFonts w:ascii="Century Gothic" w:cs="Century Gothic" w:eastAsia="Century Gothic" w:hAnsi="Century Gothic"/>
                <w:b w:val="1"/>
                <w:bCs w:val="1"/>
                <w:color w:val="ffffff"/>
                <w:sz w:val="24"/>
                <w:szCs w:val="24"/>
                <w:rtl w:val="0"/>
              </w:rPr>
              <w:t xml:space="preserve">Route</w:t>
            </w:r>
          </w:p>
        </w:tc>
        <w:tc>
          <w:tcPr>
            <w:tcBorders>
              <w:top w:color="000000" w:space="0" w:sz="4" w:val="single"/>
              <w:left w:color="cccccc" w:space="0" w:sz="4" w:val="single"/>
              <w:bottom w:color="000000" w:space="0" w:sz="4" w:val="single"/>
              <w:right w:color="000000" w:space="0" w:sz="4" w:val="single"/>
            </w:tcBorders>
            <w:shd w:fill="073763" w:val="clear"/>
            <w:tcMar>
              <w:top w:w="40.0" w:type="dxa"/>
              <w:left w:w="40.0" w:type="dxa"/>
              <w:bottom w:w="40.0" w:type="dxa"/>
              <w:right w:w="40.0" w:type="dxa"/>
            </w:tcMar>
            <w:vAlign w:val="top"/>
          </w:tcPr>
          <w:p w:rsidR="00000000" w:rsidDel="00000000" w:rsidP="00000000" w:rsidRDefault="00000000" w:rsidRPr="00000000" w14:paraId="0000000A">
            <w:pPr>
              <w:widowControl w:val="0"/>
              <w:spacing w:line="360" w:lineRule="auto"/>
              <w:rPr>
                <w:rFonts w:ascii="Century Gothic" w:cs="Century Gothic" w:eastAsia="Century Gothic" w:hAnsi="Century Gothic"/>
                <w:b w:val="1"/>
                <w:bCs w:val="1"/>
                <w:color w:val="ffffff"/>
                <w:sz w:val="24"/>
                <w:szCs w:val="24"/>
              </w:rPr>
            </w:pPr>
            <w:r w:rsidDel="00000000" w:rsidR="00000000" w:rsidRPr="00000000">
              <w:rPr>
                <w:rFonts w:ascii="Century Gothic" w:cs="Century Gothic" w:eastAsia="Century Gothic" w:hAnsi="Century Gothic"/>
                <w:b w:val="1"/>
                <w:bCs w:val="1"/>
                <w:color w:val="ffffff"/>
                <w:sz w:val="24"/>
                <w:szCs w:val="24"/>
                <w:rtl w:val="0"/>
              </w:rPr>
              <w:t xml:space="preserve">Length (km)</w:t>
            </w:r>
          </w:p>
        </w:tc>
        <w:tc>
          <w:tcPr>
            <w:tcBorders>
              <w:top w:color="000000" w:space="0" w:sz="4" w:val="single"/>
              <w:left w:color="cccccc" w:space="0" w:sz="4" w:val="single"/>
              <w:bottom w:color="000000" w:space="0" w:sz="4" w:val="single"/>
              <w:right w:color="000000" w:space="0" w:sz="4" w:val="single"/>
            </w:tcBorders>
            <w:shd w:fill="073763" w:val="clear"/>
            <w:tcMar>
              <w:top w:w="40.0" w:type="dxa"/>
              <w:left w:w="40.0" w:type="dxa"/>
              <w:bottom w:w="40.0" w:type="dxa"/>
              <w:right w:w="40.0" w:type="dxa"/>
            </w:tcMar>
            <w:vAlign w:val="top"/>
          </w:tcPr>
          <w:p w:rsidR="00000000" w:rsidDel="00000000" w:rsidP="00000000" w:rsidRDefault="00000000" w:rsidRPr="00000000" w14:paraId="0000000B">
            <w:pPr>
              <w:widowControl w:val="0"/>
              <w:spacing w:line="360" w:lineRule="auto"/>
              <w:rPr>
                <w:rFonts w:ascii="Century Gothic" w:cs="Century Gothic" w:eastAsia="Century Gothic" w:hAnsi="Century Gothic"/>
                <w:b w:val="1"/>
                <w:bCs w:val="1"/>
                <w:color w:val="ffffff"/>
                <w:sz w:val="24"/>
                <w:szCs w:val="24"/>
              </w:rPr>
            </w:pPr>
            <w:r w:rsidDel="00000000" w:rsidR="00000000" w:rsidRPr="00000000">
              <w:rPr>
                <w:rFonts w:ascii="Century Gothic" w:cs="Century Gothic" w:eastAsia="Century Gothic" w:hAnsi="Century Gothic"/>
                <w:b w:val="1"/>
                <w:bCs w:val="1"/>
                <w:color w:val="ffffff"/>
                <w:sz w:val="24"/>
                <w:szCs w:val="24"/>
                <w:rtl w:val="0"/>
              </w:rPr>
              <w:t xml:space="preserve">Capacity (Mscf/d)</w:t>
            </w:r>
          </w:p>
        </w:tc>
        <w:tc>
          <w:tcPr>
            <w:tcBorders>
              <w:top w:color="000000" w:space="0" w:sz="4" w:val="single"/>
              <w:left w:color="cccccc" w:space="0" w:sz="4" w:val="single"/>
              <w:bottom w:color="000000" w:space="0" w:sz="4" w:val="single"/>
              <w:right w:color="000000" w:space="0" w:sz="4" w:val="single"/>
            </w:tcBorders>
            <w:shd w:fill="073763" w:val="clear"/>
            <w:tcMar>
              <w:top w:w="40.0" w:type="dxa"/>
              <w:left w:w="40.0" w:type="dxa"/>
              <w:bottom w:w="40.0" w:type="dxa"/>
              <w:right w:w="40.0" w:type="dxa"/>
            </w:tcMar>
            <w:vAlign w:val="top"/>
          </w:tcPr>
          <w:p w:rsidR="00000000" w:rsidDel="00000000" w:rsidP="00000000" w:rsidRDefault="00000000" w:rsidRPr="00000000" w14:paraId="0000000C">
            <w:pPr>
              <w:widowControl w:val="0"/>
              <w:spacing w:line="360" w:lineRule="auto"/>
              <w:rPr>
                <w:rFonts w:ascii="Century Gothic" w:cs="Century Gothic" w:eastAsia="Century Gothic" w:hAnsi="Century Gothic"/>
                <w:b w:val="1"/>
                <w:bCs w:val="1"/>
                <w:color w:val="ffffff"/>
                <w:sz w:val="24"/>
                <w:szCs w:val="24"/>
              </w:rPr>
            </w:pPr>
            <w:r w:rsidDel="00000000" w:rsidR="00000000" w:rsidRPr="00000000">
              <w:rPr>
                <w:rFonts w:ascii="Century Gothic" w:cs="Century Gothic" w:eastAsia="Century Gothic" w:hAnsi="Century Gothic"/>
                <w:b w:val="1"/>
                <w:bCs w:val="1"/>
                <w:color w:val="ffffff"/>
                <w:sz w:val="24"/>
                <w:szCs w:val="24"/>
                <w:rtl w:val="0"/>
              </w:rPr>
              <w:t xml:space="preserve">Investment (€M)</w:t>
            </w:r>
          </w:p>
        </w:tc>
        <w:tc>
          <w:tcPr>
            <w:tcBorders>
              <w:top w:color="000000" w:space="0" w:sz="4" w:val="single"/>
              <w:left w:color="cccccc" w:space="0" w:sz="4" w:val="single"/>
              <w:bottom w:color="000000" w:space="0" w:sz="4" w:val="single"/>
              <w:right w:color="000000" w:space="0" w:sz="4" w:val="single"/>
            </w:tcBorders>
            <w:shd w:fill="073763" w:val="clear"/>
            <w:tcMar>
              <w:top w:w="40.0" w:type="dxa"/>
              <w:left w:w="40.0" w:type="dxa"/>
              <w:bottom w:w="40.0" w:type="dxa"/>
              <w:right w:w="40.0" w:type="dxa"/>
            </w:tcMar>
            <w:vAlign w:val="top"/>
          </w:tcPr>
          <w:p w:rsidR="00000000" w:rsidDel="00000000" w:rsidP="00000000" w:rsidRDefault="00000000" w:rsidRPr="00000000" w14:paraId="0000000D">
            <w:pPr>
              <w:widowControl w:val="0"/>
              <w:spacing w:line="360" w:lineRule="auto"/>
              <w:rPr>
                <w:rFonts w:ascii="Century Gothic" w:cs="Century Gothic" w:eastAsia="Century Gothic" w:hAnsi="Century Gothic"/>
                <w:b w:val="1"/>
                <w:bCs w:val="1"/>
                <w:color w:val="ffffff"/>
                <w:sz w:val="24"/>
                <w:szCs w:val="24"/>
              </w:rPr>
            </w:pPr>
            <w:r w:rsidDel="00000000" w:rsidR="00000000" w:rsidRPr="00000000">
              <w:rPr>
                <w:rFonts w:ascii="Century Gothic" w:cs="Century Gothic" w:eastAsia="Century Gothic" w:hAnsi="Century Gothic"/>
                <w:b w:val="1"/>
                <w:bCs w:val="1"/>
                <w:color w:val="ffffff"/>
                <w:sz w:val="24"/>
                <w:szCs w:val="24"/>
                <w:rtl w:val="0"/>
              </w:rPr>
              <w:t xml:space="preserve">Status</w:t>
            </w:r>
          </w:p>
        </w:tc>
      </w:tr>
      <w:tr>
        <w:trPr>
          <w:cantSplit w:val="0"/>
          <w:trHeight w:val="840" w:hRule="atLeast"/>
          <w:tblHeader w:val="0"/>
        </w:trPr>
        <w:tc>
          <w:tcPr>
            <w:tcBorders>
              <w:top w:color="cccccc" w:space="0" w:sz="4" w:val="single"/>
              <w:left w:color="000000" w:space="0" w:sz="4" w:val="single"/>
              <w:bottom w:color="000000" w:space="0" w:sz="4" w:val="single"/>
              <w:right w:color="000000" w:space="0" w:sz="4" w:val="single"/>
            </w:tcBorders>
            <w:shd w:fill="ffffff" w:val="clear"/>
            <w:tcMar>
              <w:top w:w="40.0" w:type="dxa"/>
              <w:left w:w="40.0" w:type="dxa"/>
              <w:bottom w:w="40.0" w:type="dxa"/>
              <w:right w:w="40.0" w:type="dxa"/>
            </w:tcMar>
            <w:vAlign w:val="top"/>
          </w:tcPr>
          <w:p w:rsidR="00000000" w:rsidDel="00000000" w:rsidP="00000000" w:rsidRDefault="00000000" w:rsidRPr="00000000" w14:paraId="0000000E">
            <w:pPr>
              <w:widowControl w:val="0"/>
              <w:spacing w:line="360" w:lineRule="auto"/>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Northern (GTA-Gandon)</w:t>
            </w:r>
          </w:p>
        </w:tc>
        <w:tc>
          <w:tcPr>
            <w:tcBorders>
              <w:top w:color="cccccc" w:space="0" w:sz="4" w:val="single"/>
              <w:left w:color="cccccc" w:space="0" w:sz="4" w:val="single"/>
              <w:bottom w:color="000000" w:space="0" w:sz="4" w:val="single"/>
              <w:right w:color="000000" w:space="0" w:sz="4" w:val="single"/>
            </w:tcBorders>
            <w:shd w:fill="ffffff" w:val="clear"/>
            <w:tcMar>
              <w:top w:w="40.0" w:type="dxa"/>
              <w:left w:w="40.0" w:type="dxa"/>
              <w:bottom w:w="40.0" w:type="dxa"/>
              <w:right w:w="40.0" w:type="dxa"/>
            </w:tcMar>
            <w:vAlign w:val="top"/>
          </w:tcPr>
          <w:p w:rsidR="00000000" w:rsidDel="00000000" w:rsidP="00000000" w:rsidRDefault="00000000" w:rsidRPr="00000000" w14:paraId="0000000F">
            <w:pPr>
              <w:widowControl w:val="0"/>
              <w:spacing w:line="360" w:lineRule="auto"/>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GTA hub → Gandon power plant</w:t>
            </w:r>
          </w:p>
        </w:tc>
        <w:tc>
          <w:tcPr>
            <w:tcBorders>
              <w:top w:color="cccccc" w:space="0" w:sz="4" w:val="single"/>
              <w:left w:color="cccccc" w:space="0" w:sz="4" w:val="single"/>
              <w:bottom w:color="000000" w:space="0" w:sz="4" w:val="single"/>
              <w:right w:color="000000" w:space="0" w:sz="4" w:val="single"/>
            </w:tcBorders>
            <w:shd w:fill="ffffff" w:val="clear"/>
            <w:tcMar>
              <w:top w:w="40.0" w:type="dxa"/>
              <w:left w:w="40.0" w:type="dxa"/>
              <w:bottom w:w="40.0" w:type="dxa"/>
              <w:right w:w="40.0" w:type="dxa"/>
            </w:tcMar>
            <w:vAlign w:val="top"/>
          </w:tcPr>
          <w:p w:rsidR="00000000" w:rsidDel="00000000" w:rsidP="00000000" w:rsidRDefault="00000000" w:rsidRPr="00000000" w14:paraId="00000010">
            <w:pPr>
              <w:widowControl w:val="0"/>
              <w:spacing w:line="360" w:lineRule="auto"/>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85</w:t>
            </w:r>
          </w:p>
        </w:tc>
        <w:tc>
          <w:tcPr>
            <w:tcBorders>
              <w:top w:color="cccccc" w:space="0" w:sz="4" w:val="single"/>
              <w:left w:color="cccccc" w:space="0" w:sz="4" w:val="single"/>
              <w:bottom w:color="000000" w:space="0" w:sz="4" w:val="single"/>
              <w:right w:color="000000" w:space="0" w:sz="4" w:val="single"/>
            </w:tcBorders>
            <w:shd w:fill="ffffff" w:val="clear"/>
            <w:tcMar>
              <w:top w:w="40.0" w:type="dxa"/>
              <w:left w:w="40.0" w:type="dxa"/>
              <w:bottom w:w="40.0" w:type="dxa"/>
              <w:right w:w="40.0" w:type="dxa"/>
            </w:tcMar>
            <w:vAlign w:val="top"/>
          </w:tcPr>
          <w:p w:rsidR="00000000" w:rsidDel="00000000" w:rsidP="00000000" w:rsidRDefault="00000000" w:rsidRPr="00000000" w14:paraId="00000011">
            <w:pPr>
              <w:widowControl w:val="0"/>
              <w:spacing w:line="360" w:lineRule="auto"/>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300</w:t>
            </w:r>
          </w:p>
        </w:tc>
        <w:tc>
          <w:tcPr>
            <w:tcBorders>
              <w:top w:color="cccccc" w:space="0" w:sz="4" w:val="single"/>
              <w:left w:color="cccccc" w:space="0" w:sz="4" w:val="single"/>
              <w:bottom w:color="000000" w:space="0" w:sz="4" w:val="single"/>
              <w:right w:color="000000" w:space="0" w:sz="4" w:val="single"/>
            </w:tcBorders>
            <w:shd w:fill="ffffff" w:val="clear"/>
            <w:tcMar>
              <w:top w:w="40.0" w:type="dxa"/>
              <w:left w:w="40.0" w:type="dxa"/>
              <w:bottom w:w="40.0" w:type="dxa"/>
              <w:right w:w="40.0" w:type="dxa"/>
            </w:tcMar>
            <w:vAlign w:val="top"/>
          </w:tcPr>
          <w:p w:rsidR="00000000" w:rsidDel="00000000" w:rsidP="00000000" w:rsidRDefault="00000000" w:rsidRPr="00000000" w14:paraId="00000012">
            <w:pPr>
              <w:widowControl w:val="0"/>
              <w:spacing w:line="360" w:lineRule="auto"/>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275</w:t>
            </w:r>
          </w:p>
        </w:tc>
        <w:tc>
          <w:tcPr>
            <w:tcBorders>
              <w:top w:color="cccccc" w:space="0" w:sz="4" w:val="single"/>
              <w:left w:color="cccccc" w:space="0" w:sz="4" w:val="single"/>
              <w:bottom w:color="000000" w:space="0" w:sz="4" w:val="single"/>
              <w:right w:color="000000" w:space="0" w:sz="4" w:val="single"/>
            </w:tcBorders>
            <w:shd w:fill="ffffff" w:val="clear"/>
            <w:tcMar>
              <w:top w:w="40.0" w:type="dxa"/>
              <w:left w:w="40.0" w:type="dxa"/>
              <w:bottom w:w="40.0" w:type="dxa"/>
              <w:right w:w="40.0" w:type="dxa"/>
            </w:tcMar>
            <w:vAlign w:val="top"/>
          </w:tcPr>
          <w:p w:rsidR="00000000" w:rsidDel="00000000" w:rsidP="00000000" w:rsidRDefault="00000000" w:rsidRPr="00000000" w14:paraId="00000013">
            <w:pPr>
              <w:widowControl w:val="0"/>
              <w:spacing w:line="360" w:lineRule="auto"/>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Construction approved May 2026</w:t>
            </w:r>
          </w:p>
        </w:tc>
      </w:tr>
      <w:tr>
        <w:trPr>
          <w:cantSplit w:val="0"/>
          <w:trHeight w:val="585" w:hRule="atLeast"/>
          <w:tblHeader w:val="0"/>
        </w:trPr>
        <w:tc>
          <w:tcPr>
            <w:tcBorders>
              <w:top w:color="cccccc" w:space="0" w:sz="4" w:val="single"/>
              <w:left w:color="000000" w:space="0" w:sz="4" w:val="single"/>
              <w:bottom w:color="000000" w:space="0" w:sz="4" w:val="single"/>
              <w:right w:color="000000" w:space="0" w:sz="4" w:val="single"/>
            </w:tcBorders>
            <w:shd w:fill="ffffff" w:val="clear"/>
            <w:tcMar>
              <w:top w:w="40.0" w:type="dxa"/>
              <w:left w:w="40.0" w:type="dxa"/>
              <w:bottom w:w="40.0" w:type="dxa"/>
              <w:right w:w="40.0" w:type="dxa"/>
            </w:tcMar>
            <w:vAlign w:val="top"/>
          </w:tcPr>
          <w:p w:rsidR="00000000" w:rsidDel="00000000" w:rsidP="00000000" w:rsidRDefault="00000000" w:rsidRPr="00000000" w14:paraId="00000014">
            <w:pPr>
              <w:widowControl w:val="0"/>
              <w:spacing w:line="360" w:lineRule="auto"/>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Green</w:t>
            </w:r>
          </w:p>
        </w:tc>
        <w:tc>
          <w:tcPr>
            <w:tcBorders>
              <w:top w:color="cccccc" w:space="0" w:sz="4" w:val="single"/>
              <w:left w:color="cccccc" w:space="0" w:sz="4" w:val="single"/>
              <w:bottom w:color="000000" w:space="0" w:sz="4" w:val="single"/>
              <w:right w:color="000000" w:space="0" w:sz="4" w:val="single"/>
            </w:tcBorders>
            <w:shd w:fill="ffffff" w:val="clear"/>
            <w:tcMar>
              <w:top w:w="40.0" w:type="dxa"/>
              <w:left w:w="40.0" w:type="dxa"/>
              <w:bottom w:w="40.0" w:type="dxa"/>
              <w:right w:w="40.0" w:type="dxa"/>
            </w:tcMar>
            <w:vAlign w:val="top"/>
          </w:tcPr>
          <w:p w:rsidR="00000000" w:rsidDel="00000000" w:rsidP="00000000" w:rsidRDefault="00000000" w:rsidRPr="00000000" w14:paraId="00000015">
            <w:pPr>
              <w:widowControl w:val="0"/>
              <w:spacing w:line="360" w:lineRule="auto"/>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Interconnection segment</w:t>
            </w:r>
          </w:p>
        </w:tc>
        <w:tc>
          <w:tcPr>
            <w:tcBorders>
              <w:top w:color="cccccc" w:space="0" w:sz="4" w:val="single"/>
              <w:left w:color="cccccc" w:space="0" w:sz="4" w:val="single"/>
              <w:bottom w:color="000000" w:space="0" w:sz="4" w:val="single"/>
              <w:right w:color="000000" w:space="0" w:sz="4" w:val="single"/>
            </w:tcBorders>
            <w:shd w:fill="ffffff" w:val="clear"/>
            <w:tcMar>
              <w:top w:w="40.0" w:type="dxa"/>
              <w:left w:w="40.0" w:type="dxa"/>
              <w:bottom w:w="40.0" w:type="dxa"/>
              <w:right w:w="40.0" w:type="dxa"/>
            </w:tcMar>
            <w:vAlign w:val="top"/>
          </w:tcPr>
          <w:p w:rsidR="00000000" w:rsidDel="00000000" w:rsidP="00000000" w:rsidRDefault="00000000" w:rsidRPr="00000000" w14:paraId="00000016">
            <w:pPr>
              <w:widowControl w:val="0"/>
              <w:spacing w:line="360" w:lineRule="auto"/>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110</w:t>
            </w:r>
          </w:p>
        </w:tc>
        <w:tc>
          <w:tcPr>
            <w:tcBorders>
              <w:top w:color="cccccc" w:space="0" w:sz="4" w:val="single"/>
              <w:left w:color="cccccc" w:space="0" w:sz="4" w:val="single"/>
              <w:bottom w:color="000000" w:space="0" w:sz="4" w:val="single"/>
              <w:right w:color="000000" w:space="0" w:sz="4" w:val="single"/>
            </w:tcBorders>
            <w:shd w:fill="ffffff" w:val="clear"/>
            <w:tcMar>
              <w:top w:w="40.0" w:type="dxa"/>
              <w:left w:w="40.0" w:type="dxa"/>
              <w:bottom w:w="40.0" w:type="dxa"/>
              <w:right w:w="40.0" w:type="dxa"/>
            </w:tcMar>
            <w:vAlign w:val="top"/>
          </w:tcPr>
          <w:p w:rsidR="00000000" w:rsidDel="00000000" w:rsidP="00000000" w:rsidRDefault="00000000" w:rsidRPr="00000000" w14:paraId="00000017">
            <w:pPr>
              <w:widowControl w:val="0"/>
              <w:spacing w:line="360" w:lineRule="auto"/>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300</w:t>
            </w:r>
          </w:p>
        </w:tc>
        <w:tc>
          <w:tcPr>
            <w:tcBorders>
              <w:top w:color="cccccc" w:space="0" w:sz="4" w:val="single"/>
              <w:left w:color="cccccc" w:space="0" w:sz="4" w:val="single"/>
              <w:bottom w:color="000000" w:space="0" w:sz="4" w:val="single"/>
              <w:right w:color="000000" w:space="0" w:sz="4" w:val="single"/>
            </w:tcBorders>
            <w:shd w:fill="ffffff" w:val="clear"/>
            <w:tcMar>
              <w:top w:w="40.0" w:type="dxa"/>
              <w:left w:w="40.0" w:type="dxa"/>
              <w:bottom w:w="40.0" w:type="dxa"/>
              <w:right w:w="40.0" w:type="dxa"/>
            </w:tcMar>
            <w:vAlign w:val="top"/>
          </w:tcPr>
          <w:p w:rsidR="00000000" w:rsidDel="00000000" w:rsidP="00000000" w:rsidRDefault="00000000" w:rsidRPr="00000000" w14:paraId="00000018">
            <w:pPr>
              <w:widowControl w:val="0"/>
              <w:spacing w:line="360" w:lineRule="auto"/>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183</w:t>
            </w:r>
          </w:p>
        </w:tc>
        <w:tc>
          <w:tcPr>
            <w:tcBorders>
              <w:top w:color="cccccc" w:space="0" w:sz="4" w:val="single"/>
              <w:left w:color="cccccc" w:space="0" w:sz="4" w:val="single"/>
              <w:bottom w:color="000000" w:space="0" w:sz="4" w:val="single"/>
              <w:right w:color="000000" w:space="0" w:sz="4" w:val="single"/>
            </w:tcBorders>
            <w:shd w:fill="ffffff" w:val="clear"/>
            <w:tcMar>
              <w:top w:w="40.0" w:type="dxa"/>
              <w:left w:w="40.0" w:type="dxa"/>
              <w:bottom w:w="40.0" w:type="dxa"/>
              <w:right w:w="40.0" w:type="dxa"/>
            </w:tcMar>
            <w:vAlign w:val="top"/>
          </w:tcPr>
          <w:p w:rsidR="00000000" w:rsidDel="00000000" w:rsidP="00000000" w:rsidRDefault="00000000" w:rsidRPr="00000000" w14:paraId="00000019">
            <w:pPr>
              <w:widowControl w:val="0"/>
              <w:spacing w:line="360" w:lineRule="auto"/>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Planned 2026 rollout</w:t>
            </w:r>
          </w:p>
        </w:tc>
      </w:tr>
      <w:tr>
        <w:trPr>
          <w:cantSplit w:val="0"/>
          <w:trHeight w:val="585" w:hRule="atLeast"/>
          <w:tblHeader w:val="0"/>
        </w:trPr>
        <w:tc>
          <w:tcPr>
            <w:tcBorders>
              <w:top w:color="cccccc" w:space="0" w:sz="4" w:val="single"/>
              <w:left w:color="000000" w:space="0" w:sz="4" w:val="single"/>
              <w:bottom w:color="000000" w:space="0" w:sz="4" w:val="single"/>
              <w:right w:color="000000" w:space="0" w:sz="4" w:val="single"/>
            </w:tcBorders>
            <w:shd w:fill="ffffff" w:val="clear"/>
            <w:tcMar>
              <w:top w:w="40.0" w:type="dxa"/>
              <w:left w:w="40.0" w:type="dxa"/>
              <w:bottom w:w="40.0" w:type="dxa"/>
              <w:right w:w="40.0" w:type="dxa"/>
            </w:tcMar>
            <w:vAlign w:val="top"/>
          </w:tcPr>
          <w:p w:rsidR="00000000" w:rsidDel="00000000" w:rsidP="00000000" w:rsidRDefault="00000000" w:rsidRPr="00000000" w14:paraId="0000001A">
            <w:pPr>
              <w:widowControl w:val="0"/>
              <w:spacing w:line="360" w:lineRule="auto"/>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Blue</w:t>
            </w:r>
          </w:p>
        </w:tc>
        <w:tc>
          <w:tcPr>
            <w:tcBorders>
              <w:top w:color="cccccc" w:space="0" w:sz="4" w:val="single"/>
              <w:left w:color="cccccc" w:space="0" w:sz="4" w:val="single"/>
              <w:bottom w:color="000000" w:space="0" w:sz="4" w:val="single"/>
              <w:right w:color="000000" w:space="0" w:sz="4" w:val="single"/>
            </w:tcBorders>
            <w:shd w:fill="ffffff" w:val="clear"/>
            <w:tcMar>
              <w:top w:w="40.0" w:type="dxa"/>
              <w:left w:w="40.0" w:type="dxa"/>
              <w:bottom w:w="40.0" w:type="dxa"/>
              <w:right w:w="40.0" w:type="dxa"/>
            </w:tcMar>
            <w:vAlign w:val="top"/>
          </w:tcPr>
          <w:p w:rsidR="00000000" w:rsidDel="00000000" w:rsidP="00000000" w:rsidRDefault="00000000" w:rsidRPr="00000000" w14:paraId="0000001B">
            <w:pPr>
              <w:widowControl w:val="0"/>
              <w:spacing w:line="360" w:lineRule="auto"/>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Mboro → Cap des Biches</w:t>
            </w:r>
          </w:p>
        </w:tc>
        <w:tc>
          <w:tcPr>
            <w:tcBorders>
              <w:top w:color="cccccc" w:space="0" w:sz="4" w:val="single"/>
              <w:left w:color="cccccc" w:space="0" w:sz="4" w:val="single"/>
              <w:bottom w:color="000000" w:space="0" w:sz="4" w:val="single"/>
              <w:right w:color="000000" w:space="0" w:sz="4" w:val="single"/>
            </w:tcBorders>
            <w:shd w:fill="ffffff" w:val="clear"/>
            <w:tcMar>
              <w:top w:w="40.0" w:type="dxa"/>
              <w:left w:w="40.0" w:type="dxa"/>
              <w:bottom w:w="40.0" w:type="dxa"/>
              <w:right w:w="40.0" w:type="dxa"/>
            </w:tcMar>
            <w:vAlign w:val="top"/>
          </w:tcPr>
          <w:p w:rsidR="00000000" w:rsidDel="00000000" w:rsidP="00000000" w:rsidRDefault="00000000" w:rsidRPr="00000000" w14:paraId="0000001C">
            <w:pPr>
              <w:widowControl w:val="0"/>
              <w:spacing w:line="360" w:lineRule="auto"/>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100</w:t>
            </w:r>
          </w:p>
        </w:tc>
        <w:tc>
          <w:tcPr>
            <w:tcBorders>
              <w:top w:color="cccccc" w:space="0" w:sz="4" w:val="single"/>
              <w:left w:color="cccccc" w:space="0" w:sz="4" w:val="single"/>
              <w:bottom w:color="000000" w:space="0" w:sz="4" w:val="single"/>
              <w:right w:color="000000" w:space="0" w:sz="4" w:val="single"/>
            </w:tcBorders>
            <w:shd w:fill="ffffff" w:val="clear"/>
            <w:tcMar>
              <w:top w:w="40.0" w:type="dxa"/>
              <w:left w:w="40.0" w:type="dxa"/>
              <w:bottom w:w="40.0" w:type="dxa"/>
              <w:right w:w="40.0" w:type="dxa"/>
            </w:tcMar>
            <w:vAlign w:val="top"/>
          </w:tcPr>
          <w:p w:rsidR="00000000" w:rsidDel="00000000" w:rsidP="00000000" w:rsidRDefault="00000000" w:rsidRPr="00000000" w14:paraId="0000001D">
            <w:pPr>
              <w:widowControl w:val="0"/>
              <w:spacing w:line="360" w:lineRule="auto"/>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713</w:t>
            </w:r>
          </w:p>
        </w:tc>
        <w:tc>
          <w:tcPr>
            <w:tcBorders>
              <w:top w:color="cccccc" w:space="0" w:sz="4" w:val="single"/>
              <w:left w:color="cccccc" w:space="0" w:sz="4" w:val="single"/>
              <w:bottom w:color="000000" w:space="0" w:sz="4" w:val="single"/>
              <w:right w:color="000000" w:space="0" w:sz="4" w:val="single"/>
            </w:tcBorders>
            <w:shd w:fill="ffffff" w:val="clear"/>
            <w:tcMar>
              <w:top w:w="40.0" w:type="dxa"/>
              <w:left w:w="40.0" w:type="dxa"/>
              <w:bottom w:w="40.0" w:type="dxa"/>
              <w:right w:w="40.0" w:type="dxa"/>
            </w:tcMar>
            <w:vAlign w:val="top"/>
          </w:tcPr>
          <w:p w:rsidR="00000000" w:rsidDel="00000000" w:rsidP="00000000" w:rsidRDefault="00000000" w:rsidRPr="00000000" w14:paraId="0000001E">
            <w:pPr>
              <w:widowControl w:val="0"/>
              <w:spacing w:line="360" w:lineRule="auto"/>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214</w:t>
            </w:r>
          </w:p>
        </w:tc>
        <w:tc>
          <w:tcPr>
            <w:tcBorders>
              <w:top w:color="cccccc" w:space="0" w:sz="4" w:val="single"/>
              <w:left w:color="cccccc" w:space="0" w:sz="4" w:val="single"/>
              <w:bottom w:color="000000" w:space="0" w:sz="4" w:val="single"/>
              <w:right w:color="000000" w:space="0" w:sz="4" w:val="single"/>
            </w:tcBorders>
            <w:shd w:fill="ffffff" w:val="clear"/>
            <w:tcMar>
              <w:top w:w="40.0" w:type="dxa"/>
              <w:left w:w="40.0" w:type="dxa"/>
              <w:bottom w:w="40.0" w:type="dxa"/>
              <w:right w:w="40.0" w:type="dxa"/>
            </w:tcMar>
            <w:vAlign w:val="top"/>
          </w:tcPr>
          <w:p w:rsidR="00000000" w:rsidDel="00000000" w:rsidP="00000000" w:rsidRDefault="00000000" w:rsidRPr="00000000" w14:paraId="0000001F">
            <w:pPr>
              <w:widowControl w:val="0"/>
              <w:spacing w:line="360" w:lineRule="auto"/>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Planned 2026 rollout</w:t>
            </w:r>
          </w:p>
        </w:tc>
      </w:tr>
      <w:tr>
        <w:trPr>
          <w:cantSplit w:val="0"/>
          <w:trHeight w:val="585" w:hRule="atLeast"/>
          <w:tblHeader w:val="0"/>
        </w:trPr>
        <w:tc>
          <w:tcPr>
            <w:tcBorders>
              <w:top w:color="cccccc" w:space="0" w:sz="4" w:val="single"/>
              <w:left w:color="000000" w:space="0" w:sz="4" w:val="single"/>
              <w:bottom w:color="000000" w:space="0" w:sz="4" w:val="single"/>
              <w:right w:color="000000" w:space="0" w:sz="4" w:val="single"/>
            </w:tcBorders>
            <w:shd w:fill="ffffff" w:val="clear"/>
            <w:tcMar>
              <w:top w:w="40.0" w:type="dxa"/>
              <w:left w:w="40.0" w:type="dxa"/>
              <w:bottom w:w="40.0" w:type="dxa"/>
              <w:right w:w="40.0" w:type="dxa"/>
            </w:tcMar>
            <w:vAlign w:val="top"/>
          </w:tcPr>
          <w:p w:rsidR="00000000" w:rsidDel="00000000" w:rsidP="00000000" w:rsidRDefault="00000000" w:rsidRPr="00000000" w14:paraId="00000020">
            <w:pPr>
              <w:widowControl w:val="0"/>
              <w:spacing w:line="360" w:lineRule="auto"/>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Orange</w:t>
            </w:r>
          </w:p>
        </w:tc>
        <w:tc>
          <w:tcPr>
            <w:tcBorders>
              <w:top w:color="cccccc" w:space="0" w:sz="4" w:val="single"/>
              <w:left w:color="cccccc" w:space="0" w:sz="4" w:val="single"/>
              <w:bottom w:color="000000" w:space="0" w:sz="4" w:val="single"/>
              <w:right w:color="000000" w:space="0" w:sz="4" w:val="single"/>
            </w:tcBorders>
            <w:shd w:fill="ffffff" w:val="clear"/>
            <w:tcMar>
              <w:top w:w="40.0" w:type="dxa"/>
              <w:left w:w="40.0" w:type="dxa"/>
              <w:bottom w:w="40.0" w:type="dxa"/>
              <w:right w:w="40.0" w:type="dxa"/>
            </w:tcMar>
            <w:vAlign w:val="top"/>
          </w:tcPr>
          <w:p w:rsidR="00000000" w:rsidDel="00000000" w:rsidP="00000000" w:rsidRDefault="00000000" w:rsidRPr="00000000" w14:paraId="00000021">
            <w:pPr>
              <w:widowControl w:val="0"/>
              <w:spacing w:line="360" w:lineRule="auto"/>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Sendou → Malicounda</w:t>
            </w:r>
          </w:p>
        </w:tc>
        <w:tc>
          <w:tcPr>
            <w:tcBorders>
              <w:top w:color="cccccc" w:space="0" w:sz="4" w:val="single"/>
              <w:left w:color="cccccc" w:space="0" w:sz="4" w:val="single"/>
              <w:bottom w:color="000000" w:space="0" w:sz="4" w:val="single"/>
              <w:right w:color="000000" w:space="0" w:sz="4" w:val="single"/>
            </w:tcBorders>
            <w:shd w:fill="ffffff" w:val="clear"/>
            <w:tcMar>
              <w:top w:w="40.0" w:type="dxa"/>
              <w:left w:w="40.0" w:type="dxa"/>
              <w:bottom w:w="40.0" w:type="dxa"/>
              <w:right w:w="40.0" w:type="dxa"/>
            </w:tcMar>
            <w:vAlign w:val="top"/>
          </w:tcPr>
          <w:p w:rsidR="00000000" w:rsidDel="00000000" w:rsidP="00000000" w:rsidRDefault="00000000" w:rsidRPr="00000000" w14:paraId="00000022">
            <w:pPr>
              <w:widowControl w:val="0"/>
              <w:spacing w:line="360" w:lineRule="auto"/>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45</w:t>
            </w:r>
          </w:p>
        </w:tc>
        <w:tc>
          <w:tcPr>
            <w:tcBorders>
              <w:top w:color="cccccc" w:space="0" w:sz="4" w:val="single"/>
              <w:left w:color="cccccc" w:space="0" w:sz="4" w:val="single"/>
              <w:bottom w:color="000000" w:space="0" w:sz="4" w:val="single"/>
              <w:right w:color="000000" w:space="0" w:sz="4" w:val="single"/>
            </w:tcBorders>
            <w:shd w:fill="ffffff" w:val="clear"/>
            <w:tcMar>
              <w:top w:w="40.0" w:type="dxa"/>
              <w:left w:w="40.0" w:type="dxa"/>
              <w:bottom w:w="40.0" w:type="dxa"/>
              <w:right w:w="40.0" w:type="dxa"/>
            </w:tcMar>
            <w:vAlign w:val="top"/>
          </w:tcPr>
          <w:p w:rsidR="00000000" w:rsidDel="00000000" w:rsidP="00000000" w:rsidRDefault="00000000" w:rsidRPr="00000000" w14:paraId="00000023">
            <w:pPr>
              <w:widowControl w:val="0"/>
              <w:spacing w:line="360" w:lineRule="auto"/>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300</w:t>
            </w:r>
          </w:p>
        </w:tc>
        <w:tc>
          <w:tcPr>
            <w:tcBorders>
              <w:top w:color="cccccc" w:space="0" w:sz="4" w:val="single"/>
              <w:left w:color="cccccc" w:space="0" w:sz="4" w:val="single"/>
              <w:bottom w:color="000000" w:space="0" w:sz="4" w:val="single"/>
              <w:right w:color="000000" w:space="0" w:sz="4" w:val="single"/>
            </w:tcBorders>
            <w:shd w:fill="ffffff" w:val="clear"/>
            <w:tcMar>
              <w:top w:w="40.0" w:type="dxa"/>
              <w:left w:w="40.0" w:type="dxa"/>
              <w:bottom w:w="40.0" w:type="dxa"/>
              <w:right w:w="40.0" w:type="dxa"/>
            </w:tcMar>
            <w:vAlign w:val="top"/>
          </w:tcPr>
          <w:p w:rsidR="00000000" w:rsidDel="00000000" w:rsidP="00000000" w:rsidRDefault="00000000" w:rsidRPr="00000000" w14:paraId="00000024">
            <w:pPr>
              <w:widowControl w:val="0"/>
              <w:spacing w:line="360" w:lineRule="auto"/>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153</w:t>
            </w:r>
          </w:p>
        </w:tc>
        <w:tc>
          <w:tcPr>
            <w:tcBorders>
              <w:top w:color="cccccc" w:space="0" w:sz="4" w:val="single"/>
              <w:left w:color="cccccc" w:space="0" w:sz="4" w:val="single"/>
              <w:bottom w:color="000000" w:space="0" w:sz="4" w:val="single"/>
              <w:right w:color="000000" w:space="0" w:sz="4" w:val="single"/>
            </w:tcBorders>
            <w:shd w:fill="ffffff" w:val="clear"/>
            <w:tcMar>
              <w:top w:w="40.0" w:type="dxa"/>
              <w:left w:w="40.0" w:type="dxa"/>
              <w:bottom w:w="40.0" w:type="dxa"/>
              <w:right w:w="40.0" w:type="dxa"/>
            </w:tcMar>
            <w:vAlign w:val="top"/>
          </w:tcPr>
          <w:p w:rsidR="00000000" w:rsidDel="00000000" w:rsidP="00000000" w:rsidRDefault="00000000" w:rsidRPr="00000000" w14:paraId="00000025">
            <w:pPr>
              <w:widowControl w:val="0"/>
              <w:spacing w:line="360" w:lineRule="auto"/>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Planned 2026 rollout</w:t>
            </w:r>
          </w:p>
        </w:tc>
      </w:tr>
      <w:tr>
        <w:trPr>
          <w:cantSplit w:val="0"/>
          <w:trHeight w:val="585" w:hRule="atLeast"/>
          <w:tblHeader w:val="0"/>
        </w:trPr>
        <w:tc>
          <w:tcPr>
            <w:tcBorders>
              <w:top w:color="cccccc" w:space="0" w:sz="4" w:val="single"/>
              <w:left w:color="000000" w:space="0" w:sz="4" w:val="single"/>
              <w:bottom w:color="000000" w:space="0" w:sz="4" w:val="single"/>
              <w:right w:color="000000" w:space="0" w:sz="4" w:val="single"/>
            </w:tcBorders>
            <w:shd w:fill="ffffff" w:val="clear"/>
            <w:tcMar>
              <w:top w:w="40.0" w:type="dxa"/>
              <w:left w:w="40.0" w:type="dxa"/>
              <w:bottom w:w="40.0" w:type="dxa"/>
              <w:right w:w="40.0" w:type="dxa"/>
            </w:tcMar>
            <w:vAlign w:val="top"/>
          </w:tcPr>
          <w:p w:rsidR="00000000" w:rsidDel="00000000" w:rsidP="00000000" w:rsidRDefault="00000000" w:rsidRPr="00000000" w14:paraId="00000026">
            <w:pPr>
              <w:widowControl w:val="0"/>
              <w:spacing w:line="360" w:lineRule="auto"/>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Red</w:t>
            </w:r>
          </w:p>
        </w:tc>
        <w:tc>
          <w:tcPr>
            <w:tcBorders>
              <w:top w:color="cccccc" w:space="0" w:sz="4" w:val="single"/>
              <w:left w:color="cccccc" w:space="0" w:sz="4" w:val="single"/>
              <w:bottom w:color="000000" w:space="0" w:sz="4" w:val="single"/>
              <w:right w:color="000000" w:space="0" w:sz="4" w:val="single"/>
            </w:tcBorders>
            <w:shd w:fill="ffffff" w:val="clear"/>
            <w:tcMar>
              <w:top w:w="40.0" w:type="dxa"/>
              <w:left w:w="40.0" w:type="dxa"/>
              <w:bottom w:w="40.0" w:type="dxa"/>
              <w:right w:w="40.0" w:type="dxa"/>
            </w:tcMar>
            <w:vAlign w:val="top"/>
          </w:tcPr>
          <w:p w:rsidR="00000000" w:rsidDel="00000000" w:rsidP="00000000" w:rsidRDefault="00000000" w:rsidRPr="00000000" w14:paraId="00000027">
            <w:pPr>
              <w:widowControl w:val="0"/>
              <w:spacing w:line="360" w:lineRule="auto"/>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Branch line</w:t>
            </w:r>
          </w:p>
        </w:tc>
        <w:tc>
          <w:tcPr>
            <w:tcBorders>
              <w:top w:color="cccccc" w:space="0" w:sz="4" w:val="single"/>
              <w:left w:color="cccccc" w:space="0" w:sz="4" w:val="single"/>
              <w:bottom w:color="000000" w:space="0" w:sz="4" w:val="single"/>
              <w:right w:color="000000" w:space="0" w:sz="4" w:val="single"/>
            </w:tcBorders>
            <w:shd w:fill="ffffff" w:val="clear"/>
            <w:tcMar>
              <w:top w:w="40.0" w:type="dxa"/>
              <w:left w:w="40.0" w:type="dxa"/>
              <w:bottom w:w="40.0" w:type="dxa"/>
              <w:right w:w="40.0" w:type="dxa"/>
            </w:tcMar>
            <w:vAlign w:val="top"/>
          </w:tcPr>
          <w:p w:rsidR="00000000" w:rsidDel="00000000" w:rsidP="00000000" w:rsidRDefault="00000000" w:rsidRPr="00000000" w14:paraId="00000028">
            <w:pPr>
              <w:widowControl w:val="0"/>
              <w:spacing w:line="360" w:lineRule="auto"/>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17</w:t>
            </w:r>
          </w:p>
        </w:tc>
        <w:tc>
          <w:tcPr>
            <w:tcBorders>
              <w:top w:color="cccccc" w:space="0" w:sz="4" w:val="single"/>
              <w:left w:color="cccccc" w:space="0" w:sz="4" w:val="single"/>
              <w:bottom w:color="000000" w:space="0" w:sz="4" w:val="single"/>
              <w:right w:color="000000" w:space="0" w:sz="4" w:val="single"/>
            </w:tcBorders>
            <w:shd w:fill="ffffff" w:val="clear"/>
            <w:tcMar>
              <w:top w:w="40.0" w:type="dxa"/>
              <w:left w:w="40.0" w:type="dxa"/>
              <w:bottom w:w="40.0" w:type="dxa"/>
              <w:right w:w="40.0" w:type="dxa"/>
            </w:tcMar>
            <w:vAlign w:val="top"/>
          </w:tcPr>
          <w:p w:rsidR="00000000" w:rsidDel="00000000" w:rsidP="00000000" w:rsidRDefault="00000000" w:rsidRPr="00000000" w14:paraId="00000029">
            <w:pPr>
              <w:widowControl w:val="0"/>
              <w:spacing w:line="360" w:lineRule="auto"/>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150</w:t>
            </w:r>
          </w:p>
        </w:tc>
        <w:tc>
          <w:tcPr>
            <w:tcBorders>
              <w:top w:color="cccccc" w:space="0" w:sz="4" w:val="single"/>
              <w:left w:color="cccccc" w:space="0" w:sz="4" w:val="single"/>
              <w:bottom w:color="000000" w:space="0" w:sz="4" w:val="single"/>
              <w:right w:color="000000" w:space="0" w:sz="4" w:val="single"/>
            </w:tcBorders>
            <w:shd w:fill="ffffff" w:val="clear"/>
            <w:tcMar>
              <w:top w:w="40.0" w:type="dxa"/>
              <w:left w:w="40.0" w:type="dxa"/>
              <w:bottom w:w="40.0" w:type="dxa"/>
              <w:right w:w="40.0" w:type="dxa"/>
            </w:tcMar>
            <w:vAlign w:val="top"/>
          </w:tcPr>
          <w:p w:rsidR="00000000" w:rsidDel="00000000" w:rsidP="00000000" w:rsidRDefault="00000000" w:rsidRPr="00000000" w14:paraId="0000002A">
            <w:pPr>
              <w:widowControl w:val="0"/>
              <w:spacing w:line="360" w:lineRule="auto"/>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150</w:t>
            </w:r>
          </w:p>
        </w:tc>
        <w:tc>
          <w:tcPr>
            <w:tcBorders>
              <w:top w:color="cccccc" w:space="0" w:sz="4" w:val="single"/>
              <w:left w:color="cccccc" w:space="0" w:sz="4" w:val="single"/>
              <w:bottom w:color="000000" w:space="0" w:sz="4" w:val="single"/>
              <w:right w:color="000000" w:space="0" w:sz="4" w:val="single"/>
            </w:tcBorders>
            <w:shd w:fill="ffffff" w:val="clear"/>
            <w:tcMar>
              <w:top w:w="40.0" w:type="dxa"/>
              <w:left w:w="40.0" w:type="dxa"/>
              <w:bottom w:w="40.0" w:type="dxa"/>
              <w:right w:w="40.0" w:type="dxa"/>
            </w:tcMar>
            <w:vAlign w:val="top"/>
          </w:tcPr>
          <w:p w:rsidR="00000000" w:rsidDel="00000000" w:rsidP="00000000" w:rsidRDefault="00000000" w:rsidRPr="00000000" w14:paraId="0000002B">
            <w:pPr>
              <w:widowControl w:val="0"/>
              <w:spacing w:line="360" w:lineRule="auto"/>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Planned 2026 rollout</w:t>
            </w:r>
          </w:p>
        </w:tc>
      </w:tr>
      <w:tr>
        <w:trPr>
          <w:cantSplit w:val="0"/>
          <w:trHeight w:val="585" w:hRule="atLeast"/>
          <w:tblHeader w:val="0"/>
        </w:trPr>
        <w:tc>
          <w:tcPr>
            <w:tcBorders>
              <w:top w:color="cccccc" w:space="0" w:sz="4" w:val="single"/>
              <w:left w:color="000000" w:space="0" w:sz="4" w:val="single"/>
              <w:bottom w:color="000000" w:space="0" w:sz="4" w:val="single"/>
              <w:right w:color="000000" w:space="0" w:sz="4" w:val="single"/>
            </w:tcBorders>
            <w:shd w:fill="ffffff" w:val="clear"/>
            <w:tcMar>
              <w:top w:w="40.0" w:type="dxa"/>
              <w:left w:w="40.0" w:type="dxa"/>
              <w:bottom w:w="40.0" w:type="dxa"/>
              <w:right w:w="40.0" w:type="dxa"/>
            </w:tcMar>
            <w:vAlign w:val="top"/>
          </w:tcPr>
          <w:p w:rsidR="00000000" w:rsidDel="00000000" w:rsidP="00000000" w:rsidRDefault="00000000" w:rsidRPr="00000000" w14:paraId="0000002C">
            <w:pPr>
              <w:widowControl w:val="0"/>
              <w:spacing w:line="360" w:lineRule="auto"/>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TOTAL</w:t>
            </w:r>
          </w:p>
        </w:tc>
        <w:tc>
          <w:tcPr>
            <w:tcBorders>
              <w:top w:color="cccccc" w:space="0" w:sz="4" w:val="single"/>
              <w:left w:color="cccccc" w:space="0" w:sz="4" w:val="single"/>
              <w:bottom w:color="000000" w:space="0" w:sz="4" w:val="single"/>
              <w:right w:color="000000" w:space="0" w:sz="4" w:val="single"/>
            </w:tcBorders>
            <w:shd w:fill="ffffff" w:val="clear"/>
            <w:tcMar>
              <w:top w:w="40.0" w:type="dxa"/>
              <w:left w:w="40.0" w:type="dxa"/>
              <w:bottom w:w="40.0" w:type="dxa"/>
              <w:right w:w="40.0" w:type="dxa"/>
            </w:tcMar>
            <w:vAlign w:val="top"/>
          </w:tcPr>
          <w:p w:rsidR="00000000" w:rsidDel="00000000" w:rsidP="00000000" w:rsidRDefault="00000000" w:rsidRPr="00000000" w14:paraId="0000002D">
            <w:pPr>
              <w:widowControl w:val="0"/>
              <w:spacing w:line="360" w:lineRule="auto"/>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Integrated National Grid</w:t>
            </w:r>
          </w:p>
        </w:tc>
        <w:tc>
          <w:tcPr>
            <w:tcBorders>
              <w:top w:color="cccccc" w:space="0" w:sz="4" w:val="single"/>
              <w:left w:color="cccccc" w:space="0" w:sz="4" w:val="single"/>
              <w:bottom w:color="000000" w:space="0" w:sz="4" w:val="single"/>
              <w:right w:color="000000" w:space="0" w:sz="4" w:val="single"/>
            </w:tcBorders>
            <w:shd w:fill="ffffff" w:val="clear"/>
            <w:tcMar>
              <w:top w:w="40.0" w:type="dxa"/>
              <w:left w:w="40.0" w:type="dxa"/>
              <w:bottom w:w="40.0" w:type="dxa"/>
              <w:right w:w="40.0" w:type="dxa"/>
            </w:tcMar>
            <w:vAlign w:val="top"/>
          </w:tcPr>
          <w:p w:rsidR="00000000" w:rsidDel="00000000" w:rsidP="00000000" w:rsidRDefault="00000000" w:rsidRPr="00000000" w14:paraId="0000002E">
            <w:pPr>
              <w:widowControl w:val="0"/>
              <w:spacing w:line="360" w:lineRule="auto"/>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Approximately 400</w:t>
            </w:r>
          </w:p>
        </w:tc>
        <w:tc>
          <w:tcPr>
            <w:tcBorders>
              <w:top w:color="cccccc" w:space="0" w:sz="4" w:val="single"/>
              <w:left w:color="cccccc" w:space="0" w:sz="4" w:val="single"/>
              <w:bottom w:color="000000" w:space="0" w:sz="4" w:val="single"/>
              <w:right w:color="000000" w:space="0" w:sz="4" w:val="single"/>
            </w:tcBorders>
            <w:shd w:fill="ffffff" w:val="clear"/>
            <w:tcMar>
              <w:top w:w="40.0" w:type="dxa"/>
              <w:left w:w="40.0" w:type="dxa"/>
              <w:bottom w:w="40.0" w:type="dxa"/>
              <w:right w:w="40.0" w:type="dxa"/>
            </w:tcMar>
            <w:vAlign w:val="top"/>
          </w:tcPr>
          <w:p w:rsidR="00000000" w:rsidDel="00000000" w:rsidP="00000000" w:rsidRDefault="00000000" w:rsidRPr="00000000" w14:paraId="0000002F">
            <w:pPr>
              <w:widowControl w:val="0"/>
              <w:spacing w:line="360" w:lineRule="auto"/>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Up to 2.5 bcm/yr</w:t>
            </w:r>
          </w:p>
        </w:tc>
        <w:tc>
          <w:tcPr>
            <w:tcBorders>
              <w:top w:color="cccccc" w:space="0" w:sz="4" w:val="single"/>
              <w:left w:color="cccccc" w:space="0" w:sz="4" w:val="single"/>
              <w:bottom w:color="000000" w:space="0" w:sz="4" w:val="single"/>
              <w:right w:color="000000" w:space="0" w:sz="4" w:val="single"/>
            </w:tcBorders>
            <w:shd w:fill="ffffff" w:val="clear"/>
            <w:tcMar>
              <w:top w:w="40.0" w:type="dxa"/>
              <w:left w:w="40.0" w:type="dxa"/>
              <w:bottom w:w="40.0" w:type="dxa"/>
              <w:right w:w="40.0" w:type="dxa"/>
            </w:tcMar>
            <w:vAlign w:val="top"/>
          </w:tcPr>
          <w:p w:rsidR="00000000" w:rsidDel="00000000" w:rsidP="00000000" w:rsidRDefault="00000000" w:rsidRPr="00000000" w14:paraId="00000030">
            <w:pPr>
              <w:widowControl w:val="0"/>
              <w:spacing w:line="360" w:lineRule="auto"/>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~€975M (~$1.15B)</w:t>
            </w:r>
          </w:p>
        </w:tc>
        <w:tc>
          <w:tcPr>
            <w:tcBorders>
              <w:top w:color="cccccc" w:space="0" w:sz="4" w:val="single"/>
              <w:left w:color="cccccc" w:space="0" w:sz="4" w:val="single"/>
              <w:bottom w:color="000000" w:space="0" w:sz="4" w:val="single"/>
              <w:right w:color="000000" w:space="0" w:sz="4" w:val="single"/>
            </w:tcBorders>
            <w:shd w:fill="ffffff" w:val="clear"/>
            <w:tcMar>
              <w:top w:w="40.0" w:type="dxa"/>
              <w:left w:w="40.0" w:type="dxa"/>
              <w:bottom w:w="40.0" w:type="dxa"/>
              <w:right w:w="40.0" w:type="dxa"/>
            </w:tcMar>
            <w:vAlign w:val="top"/>
          </w:tcPr>
          <w:p w:rsidR="00000000" w:rsidDel="00000000" w:rsidP="00000000" w:rsidRDefault="00000000" w:rsidRPr="00000000" w14:paraId="00000031">
            <w:pPr>
              <w:widowControl w:val="0"/>
              <w:spacing w:line="360" w:lineRule="auto"/>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Full operation target: 2027</w:t>
            </w:r>
          </w:p>
        </w:tc>
      </w:tr>
    </w:tbl>
    <w:p w:rsidR="00000000" w:rsidDel="00000000" w:rsidP="00000000" w:rsidRDefault="00000000" w:rsidRPr="00000000" w14:paraId="00000032">
      <w:pPr>
        <w:shd w:fill="ffffff" w:val="clear"/>
        <w:spacing w:line="360" w:lineRule="auto"/>
        <w:jc w:val="both"/>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The GTA-Gandon segment (85 km: 45 km offshore, 40 km onshore) will connect the GTA offshore terminal to a planned 250–300 MW gas-fired power plant at Gandon, near Saint-Louis. The full network aims to lower domestic electricity costs, reduce fuel import dependence, and feed industrial hubs.</w:t>
      </w:r>
    </w:p>
    <w:p w:rsidR="00000000" w:rsidDel="00000000" w:rsidP="00000000" w:rsidRDefault="00000000" w:rsidRPr="00000000" w14:paraId="00000033">
      <w:pPr>
        <w:shd w:fill="ffffff" w:val="clear"/>
        <w:spacing w:line="360" w:lineRule="auto"/>
        <w:rPr>
          <w:rFonts w:ascii="Century Gothic" w:cs="Century Gothic" w:eastAsia="Century Gothic" w:hAnsi="Century Gothic"/>
          <w:b w:val="1"/>
          <w:bCs w:val="1"/>
          <w:sz w:val="24"/>
          <w:szCs w:val="24"/>
        </w:rPr>
      </w:pPr>
      <w:r w:rsidDel="00000000" w:rsidR="00000000" w:rsidRPr="00000000">
        <w:rPr>
          <w:rtl w:val="0"/>
        </w:rPr>
      </w:r>
    </w:p>
    <w:p w:rsidR="00000000" w:rsidDel="00000000" w:rsidP="00000000" w:rsidRDefault="00000000" w:rsidRPr="00000000" w14:paraId="00000034">
      <w:pPr>
        <w:shd w:fill="ffffff" w:val="clear"/>
        <w:spacing w:line="360" w:lineRule="auto"/>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b w:val="1"/>
          <w:bCs w:val="1"/>
          <w:sz w:val="24"/>
          <w:szCs w:val="24"/>
          <w:rtl w:val="0"/>
        </w:rPr>
        <w:t xml:space="preserve">Key Power Plant Conversions</w:t>
      </w:r>
      <w:r w:rsidDel="00000000" w:rsidR="00000000" w:rsidRPr="00000000">
        <w:rPr>
          <w:rtl w:val="0"/>
        </w:rPr>
      </w:r>
    </w:p>
    <w:tbl>
      <w:tblPr>
        <w:tblStyle w:val="Table2"/>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340"/>
        <w:gridCol w:w="2340"/>
        <w:gridCol w:w="2340"/>
        <w:gridCol w:w="2340"/>
        <w:tblGridChange w:id="0">
          <w:tblGrid>
            <w:gridCol w:w="2340"/>
            <w:gridCol w:w="2340"/>
            <w:gridCol w:w="2340"/>
            <w:gridCol w:w="2340"/>
          </w:tblGrid>
        </w:tblGridChange>
      </w:tblGrid>
      <w:tr>
        <w:trPr>
          <w:cantSplit w:val="0"/>
          <w:tblHeader w:val="0"/>
        </w:trPr>
        <w:tc>
          <w:tcPr>
            <w:shd w:fill="073763" w:val="clear"/>
            <w:tcMar>
              <w:top w:w="100.0" w:type="dxa"/>
              <w:left w:w="100.0" w:type="dxa"/>
              <w:bottom w:w="100.0" w:type="dxa"/>
              <w:right w:w="100.0" w:type="dxa"/>
            </w:tcMar>
            <w:vAlign w:val="top"/>
          </w:tcPr>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b w:val="1"/>
                <w:bCs w:val="1"/>
                <w:color w:val="ffffff"/>
                <w:sz w:val="24"/>
                <w:szCs w:val="24"/>
              </w:rPr>
            </w:pPr>
            <w:r w:rsidDel="00000000" w:rsidR="00000000" w:rsidRPr="00000000">
              <w:rPr>
                <w:rFonts w:ascii="Century Gothic" w:cs="Century Gothic" w:eastAsia="Century Gothic" w:hAnsi="Century Gothic"/>
                <w:b w:val="1"/>
                <w:bCs w:val="1"/>
                <w:color w:val="ffffff"/>
                <w:sz w:val="24"/>
                <w:szCs w:val="24"/>
                <w:rtl w:val="0"/>
              </w:rPr>
              <w:t xml:space="preserve">Plant</w:t>
            </w:r>
          </w:p>
        </w:tc>
        <w:tc>
          <w:tcPr>
            <w:shd w:fill="073763" w:val="clear"/>
            <w:tcMar>
              <w:top w:w="100.0" w:type="dxa"/>
              <w:left w:w="100.0" w:type="dxa"/>
              <w:bottom w:w="100.0" w:type="dxa"/>
              <w:right w:w="100.0" w:type="dxa"/>
            </w:tcMar>
            <w:vAlign w:val="top"/>
          </w:tcPr>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b w:val="1"/>
                <w:bCs w:val="1"/>
                <w:color w:val="ffffff"/>
                <w:sz w:val="24"/>
                <w:szCs w:val="24"/>
              </w:rPr>
            </w:pPr>
            <w:r w:rsidDel="00000000" w:rsidR="00000000" w:rsidRPr="00000000">
              <w:rPr>
                <w:rFonts w:ascii="Century Gothic" w:cs="Century Gothic" w:eastAsia="Century Gothic" w:hAnsi="Century Gothic"/>
                <w:b w:val="1"/>
                <w:bCs w:val="1"/>
                <w:color w:val="ffffff"/>
                <w:sz w:val="24"/>
                <w:szCs w:val="24"/>
                <w:rtl w:val="0"/>
              </w:rPr>
              <w:t xml:space="preserve">Capacity </w:t>
            </w:r>
          </w:p>
        </w:tc>
        <w:tc>
          <w:tcPr>
            <w:shd w:fill="073763" w:val="clear"/>
            <w:tcMar>
              <w:top w:w="100.0" w:type="dxa"/>
              <w:left w:w="100.0" w:type="dxa"/>
              <w:bottom w:w="100.0" w:type="dxa"/>
              <w:right w:w="100.0" w:type="dxa"/>
            </w:tcMar>
            <w:vAlign w:val="top"/>
          </w:tcPr>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b w:val="1"/>
                <w:bCs w:val="1"/>
                <w:color w:val="ffffff"/>
                <w:sz w:val="24"/>
                <w:szCs w:val="24"/>
              </w:rPr>
            </w:pPr>
            <w:r w:rsidDel="00000000" w:rsidR="00000000" w:rsidRPr="00000000">
              <w:rPr>
                <w:rFonts w:ascii="Century Gothic" w:cs="Century Gothic" w:eastAsia="Century Gothic" w:hAnsi="Century Gothic"/>
                <w:b w:val="1"/>
                <w:bCs w:val="1"/>
                <w:color w:val="ffffff"/>
                <w:sz w:val="24"/>
                <w:szCs w:val="24"/>
                <w:rtl w:val="0"/>
              </w:rPr>
              <w:t xml:space="preserve">Status </w:t>
            </w:r>
          </w:p>
        </w:tc>
        <w:tc>
          <w:tcPr>
            <w:shd w:fill="073763" w:val="clear"/>
            <w:tcMar>
              <w:top w:w="100.0" w:type="dxa"/>
              <w:left w:w="100.0" w:type="dxa"/>
              <w:bottom w:w="100.0" w:type="dxa"/>
              <w:right w:w="100.0" w:type="dxa"/>
            </w:tcMar>
            <w:vAlign w:val="top"/>
          </w:tcPr>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b w:val="1"/>
                <w:bCs w:val="1"/>
                <w:color w:val="ffffff"/>
                <w:sz w:val="24"/>
                <w:szCs w:val="24"/>
              </w:rPr>
            </w:pPr>
            <w:r w:rsidDel="00000000" w:rsidR="00000000" w:rsidRPr="00000000">
              <w:rPr>
                <w:rFonts w:ascii="Century Gothic" w:cs="Century Gothic" w:eastAsia="Century Gothic" w:hAnsi="Century Gothic"/>
                <w:b w:val="1"/>
                <w:bCs w:val="1"/>
                <w:color w:val="ffffff"/>
                <w:sz w:val="24"/>
                <w:szCs w:val="24"/>
                <w:rtl w:val="0"/>
              </w:rPr>
              <w:t xml:space="preserve">Note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Bel Air</w:t>
            </w:r>
          </w:p>
        </w:tc>
        <w:tc>
          <w:tcPr>
            <w:shd w:fill="auto" w:val="clear"/>
            <w:tcMar>
              <w:top w:w="100.0" w:type="dxa"/>
              <w:left w:w="100.0" w:type="dxa"/>
              <w:bottom w:w="100.0" w:type="dxa"/>
              <w:right w:w="100.0" w:type="dxa"/>
            </w:tcMar>
            <w:vAlign w:val="top"/>
          </w:tcPr>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335 MW</w:t>
            </w:r>
          </w:p>
        </w:tc>
        <w:tc>
          <w:tcPr>
            <w:shd w:fill="auto" w:val="clear"/>
            <w:tcMar>
              <w:top w:w="100.0" w:type="dxa"/>
              <w:left w:w="100.0" w:type="dxa"/>
              <w:bottom w:w="100.0" w:type="dxa"/>
              <w:right w:w="100.0" w:type="dxa"/>
            </w:tcMar>
            <w:vAlign w:val="top"/>
          </w:tcPr>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Conversion from heavy fuel oil to LNG underway</w:t>
            </w:r>
          </w:p>
        </w:tc>
        <w:tc>
          <w:tcPr>
            <w:shd w:fill="auto" w:val="clear"/>
            <w:tcMar>
              <w:top w:w="100.0" w:type="dxa"/>
              <w:left w:w="100.0" w:type="dxa"/>
              <w:bottom w:w="100.0" w:type="dxa"/>
              <w:right w:w="100.0" w:type="dxa"/>
            </w:tcMar>
            <w:vAlign w:val="top"/>
          </w:tcPr>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Existing thermal asset; conversion avoids new-build capital costs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Gandon</w:t>
            </w:r>
          </w:p>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250–300 MW</w:t>
            </w:r>
          </w:p>
        </w:tc>
        <w:tc>
          <w:tcPr>
            <w:shd w:fill="auto" w:val="clear"/>
            <w:tcMar>
              <w:top w:w="100.0" w:type="dxa"/>
              <w:left w:w="100.0" w:type="dxa"/>
              <w:bottom w:w="100.0" w:type="dxa"/>
              <w:right w:w="100.0" w:type="dxa"/>
            </w:tcMar>
            <w:vAlign w:val="top"/>
          </w:tcPr>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250–300 MW</w:t>
            </w:r>
          </w:p>
        </w:tc>
        <w:tc>
          <w:tcPr>
            <w:shd w:fill="auto" w:val="clear"/>
            <w:tcMar>
              <w:top w:w="100.0" w:type="dxa"/>
              <w:left w:w="100.0" w:type="dxa"/>
              <w:bottom w:w="100.0" w:type="dxa"/>
              <w:right w:w="100.0" w:type="dxa"/>
            </w:tcMar>
            <w:vAlign w:val="top"/>
          </w:tcPr>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New gas-fired facility planned</w:t>
            </w:r>
          </w:p>
        </w:tc>
        <w:tc>
          <w:tcPr>
            <w:shd w:fill="auto" w:val="clear"/>
            <w:tcMar>
              <w:top w:w="100.0" w:type="dxa"/>
              <w:left w:w="100.0" w:type="dxa"/>
              <w:bottom w:w="100.0" w:type="dxa"/>
              <w:right w:w="100.0" w:type="dxa"/>
            </w:tcMar>
            <w:vAlign w:val="top"/>
          </w:tcPr>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Fed directly by the Northern RGS segment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FONSIS tender</w:t>
            </w:r>
          </w:p>
        </w:tc>
        <w:tc>
          <w:tcPr>
            <w:shd w:fill="auto" w:val="clear"/>
            <w:tcMar>
              <w:top w:w="100.0" w:type="dxa"/>
              <w:left w:w="100.0" w:type="dxa"/>
              <w:bottom w:w="100.0" w:type="dxa"/>
              <w:right w:w="100.0" w:type="dxa"/>
            </w:tcMar>
            <w:vAlign w:val="top"/>
          </w:tcPr>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500MW</w:t>
            </w:r>
          </w:p>
        </w:tc>
        <w:tc>
          <w:tcPr>
            <w:shd w:fill="auto" w:val="clear"/>
            <w:tcMar>
              <w:top w:w="100.0" w:type="dxa"/>
              <w:left w:w="100.0" w:type="dxa"/>
              <w:bottom w:w="100.0" w:type="dxa"/>
              <w:right w:w="100.0" w:type="dxa"/>
            </w:tcMar>
            <w:vAlign w:val="top"/>
          </w:tcPr>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International bidding deadline closed March 2026</w:t>
            </w:r>
          </w:p>
        </w:tc>
        <w:tc>
          <w:tcPr>
            <w:shd w:fill="auto" w:val="clear"/>
            <w:tcMar>
              <w:top w:w="100.0" w:type="dxa"/>
              <w:left w:w="100.0" w:type="dxa"/>
              <w:bottom w:w="100.0" w:type="dxa"/>
              <w:right w:w="100.0" w:type="dxa"/>
            </w:tcMar>
            <w:vAlign w:val="top"/>
          </w:tcPr>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Awarded via competitive process; largest single planned gas-fired asset</w:t>
            </w:r>
          </w:p>
        </w:tc>
      </w:tr>
    </w:tbl>
    <w:p w:rsidR="00000000" w:rsidDel="00000000" w:rsidP="00000000" w:rsidRDefault="00000000" w:rsidRPr="00000000" w14:paraId="00000046">
      <w:pPr>
        <w:shd w:fill="ffffff" w:val="clear"/>
        <w:spacing w:line="360" w:lineRule="auto"/>
        <w:rPr>
          <w:rFonts w:ascii="Century Gothic" w:cs="Century Gothic" w:eastAsia="Century Gothic" w:hAnsi="Century Gothic"/>
          <w:sz w:val="24"/>
          <w:szCs w:val="24"/>
        </w:rPr>
      </w:pPr>
      <w:r w:rsidDel="00000000" w:rsidR="00000000" w:rsidRPr="00000000">
        <w:rPr>
          <w:rtl w:val="0"/>
        </w:rPr>
      </w:r>
    </w:p>
    <w:p w:rsidR="00000000" w:rsidDel="00000000" w:rsidP="00000000" w:rsidRDefault="00000000" w:rsidRPr="00000000" w14:paraId="00000047">
      <w:pPr>
        <w:pStyle w:val="Heading1"/>
        <w:pBdr>
          <w:top w:color="auto" w:space="0" w:sz="0" w:val="none"/>
          <w:left w:color="auto" w:space="0" w:sz="0" w:val="none"/>
          <w:bottom w:color="auto" w:space="0" w:sz="0" w:val="none"/>
          <w:right w:color="auto" w:space="0" w:sz="0" w:val="none"/>
          <w:between w:color="auto" w:space="0" w:sz="0" w:val="none"/>
        </w:pBdr>
        <w:shd w:fill="ffffff" w:val="clear"/>
        <w:spacing w:line="360" w:lineRule="auto"/>
        <w:rPr>
          <w:rFonts w:ascii="Century Gothic" w:cs="Century Gothic" w:eastAsia="Century Gothic" w:hAnsi="Century Gothic"/>
          <w:b w:val="1"/>
          <w:bCs w:val="1"/>
        </w:rPr>
      </w:pPr>
      <w:bookmarkStart w:colFirst="0" w:colLast="0" w:name="_fmeaeaniz557" w:id="3"/>
      <w:bookmarkEnd w:id="3"/>
      <w:r w:rsidDel="00000000" w:rsidR="00000000" w:rsidRPr="00000000">
        <w:br w:type="page"/>
      </w:r>
      <w:r w:rsidDel="00000000" w:rsidR="00000000" w:rsidRPr="00000000">
        <w:rPr>
          <w:rtl w:val="0"/>
        </w:rPr>
      </w:r>
    </w:p>
    <w:p w:rsidR="00000000" w:rsidDel="00000000" w:rsidP="00000000" w:rsidRDefault="00000000" w:rsidRPr="00000000" w14:paraId="00000048">
      <w:pPr>
        <w:pStyle w:val="Heading1"/>
        <w:pBdr>
          <w:top w:color="auto" w:space="0" w:sz="0" w:val="none"/>
          <w:left w:color="auto" w:space="0" w:sz="0" w:val="none"/>
          <w:bottom w:color="auto" w:space="0" w:sz="0" w:val="none"/>
          <w:right w:color="auto" w:space="0" w:sz="0" w:val="none"/>
          <w:between w:color="auto" w:space="0" w:sz="0" w:val="none"/>
        </w:pBdr>
        <w:shd w:fill="ffffff" w:val="clear"/>
        <w:spacing w:line="360" w:lineRule="auto"/>
        <w:rPr>
          <w:rFonts w:ascii="Century Gothic" w:cs="Century Gothic" w:eastAsia="Century Gothic" w:hAnsi="Century Gothic"/>
          <w:b w:val="1"/>
          <w:bCs w:val="1"/>
        </w:rPr>
      </w:pPr>
      <w:bookmarkStart w:colFirst="0" w:colLast="0" w:name="_2o0038vu7kh5" w:id="4"/>
      <w:bookmarkEnd w:id="4"/>
      <w:r w:rsidDel="00000000" w:rsidR="00000000" w:rsidRPr="00000000">
        <w:rPr>
          <w:rFonts w:ascii="Century Gothic" w:cs="Century Gothic" w:eastAsia="Century Gothic" w:hAnsi="Century Gothic"/>
          <w:b w:val="1"/>
          <w:bCs w:val="1"/>
          <w:rtl w:val="0"/>
        </w:rPr>
        <w:t xml:space="preserve">FOREIGN CONTRIBUTION TO SENEGAL'S GAS MARKET</w:t>
      </w:r>
    </w:p>
    <w:p w:rsidR="00000000" w:rsidDel="00000000" w:rsidP="00000000" w:rsidRDefault="00000000" w:rsidRPr="00000000" w14:paraId="00000049">
      <w:pPr>
        <w:shd w:fill="ffffff" w:val="clear"/>
        <w:spacing w:line="360" w:lineRule="auto"/>
        <w:jc w:val="both"/>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Senegal's gas sector development has attracted significant international investment across the value chain</w:t>
      </w:r>
    </w:p>
    <w:tbl>
      <w:tblPr>
        <w:tblStyle w:val="Table3"/>
        <w:tblW w:w="919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500"/>
        <w:gridCol w:w="1500"/>
        <w:gridCol w:w="4005"/>
        <w:gridCol w:w="2190"/>
        <w:tblGridChange w:id="0">
          <w:tblGrid>
            <w:gridCol w:w="1500"/>
            <w:gridCol w:w="1500"/>
            <w:gridCol w:w="4005"/>
            <w:gridCol w:w="2190"/>
          </w:tblGrid>
        </w:tblGridChange>
      </w:tblGrid>
      <w:tr>
        <w:trPr>
          <w:cantSplit w:val="0"/>
          <w:trHeight w:val="330" w:hRule="atLeast"/>
          <w:tblHeader w:val="0"/>
        </w:trPr>
        <w:tc>
          <w:tcPr>
            <w:tcBorders>
              <w:top w:color="000000" w:space="0" w:sz="4" w:val="single"/>
              <w:left w:color="000000" w:space="0" w:sz="4" w:val="single"/>
              <w:bottom w:color="000000" w:space="0" w:sz="4" w:val="single"/>
              <w:right w:color="000000" w:space="0" w:sz="4" w:val="single"/>
            </w:tcBorders>
            <w:shd w:fill="073763" w:val="clear"/>
            <w:tcMar>
              <w:top w:w="40.0" w:type="dxa"/>
              <w:left w:w="40.0" w:type="dxa"/>
              <w:bottom w:w="40.0" w:type="dxa"/>
              <w:right w:w="40.0" w:type="dxa"/>
            </w:tcMar>
            <w:vAlign w:val="top"/>
          </w:tcPr>
          <w:p w:rsidR="00000000" w:rsidDel="00000000" w:rsidP="00000000" w:rsidRDefault="00000000" w:rsidRPr="00000000" w14:paraId="0000004A">
            <w:pPr>
              <w:widowControl w:val="0"/>
              <w:spacing w:line="360" w:lineRule="auto"/>
              <w:rPr>
                <w:rFonts w:ascii="Century Gothic" w:cs="Century Gothic" w:eastAsia="Century Gothic" w:hAnsi="Century Gothic"/>
                <w:b w:val="1"/>
                <w:bCs w:val="1"/>
                <w:color w:val="ffffff"/>
                <w:sz w:val="24"/>
                <w:szCs w:val="24"/>
              </w:rPr>
            </w:pPr>
            <w:r w:rsidDel="00000000" w:rsidR="00000000" w:rsidRPr="00000000">
              <w:rPr>
                <w:rFonts w:ascii="Century Gothic" w:cs="Century Gothic" w:eastAsia="Century Gothic" w:hAnsi="Century Gothic"/>
                <w:b w:val="1"/>
                <w:bCs w:val="1"/>
                <w:color w:val="ffffff"/>
                <w:sz w:val="24"/>
                <w:szCs w:val="24"/>
                <w:rtl w:val="0"/>
              </w:rPr>
              <w:t xml:space="preserve">Partner</w:t>
            </w:r>
          </w:p>
        </w:tc>
        <w:tc>
          <w:tcPr>
            <w:tcBorders>
              <w:top w:color="000000" w:space="0" w:sz="4" w:val="single"/>
              <w:left w:color="cccccc" w:space="0" w:sz="4" w:val="single"/>
              <w:bottom w:color="000000" w:space="0" w:sz="4" w:val="single"/>
              <w:right w:color="000000" w:space="0" w:sz="4" w:val="single"/>
            </w:tcBorders>
            <w:shd w:fill="073763" w:val="clear"/>
            <w:tcMar>
              <w:top w:w="40.0" w:type="dxa"/>
              <w:left w:w="40.0" w:type="dxa"/>
              <w:bottom w:w="40.0" w:type="dxa"/>
              <w:right w:w="40.0" w:type="dxa"/>
            </w:tcMar>
            <w:vAlign w:val="top"/>
          </w:tcPr>
          <w:p w:rsidR="00000000" w:rsidDel="00000000" w:rsidP="00000000" w:rsidRDefault="00000000" w:rsidRPr="00000000" w14:paraId="0000004B">
            <w:pPr>
              <w:widowControl w:val="0"/>
              <w:spacing w:line="360" w:lineRule="auto"/>
              <w:rPr>
                <w:rFonts w:ascii="Century Gothic" w:cs="Century Gothic" w:eastAsia="Century Gothic" w:hAnsi="Century Gothic"/>
                <w:b w:val="1"/>
                <w:bCs w:val="1"/>
                <w:color w:val="ffffff"/>
                <w:sz w:val="24"/>
                <w:szCs w:val="24"/>
              </w:rPr>
            </w:pPr>
            <w:r w:rsidDel="00000000" w:rsidR="00000000" w:rsidRPr="00000000">
              <w:rPr>
                <w:rFonts w:ascii="Century Gothic" w:cs="Century Gothic" w:eastAsia="Century Gothic" w:hAnsi="Century Gothic"/>
                <w:b w:val="1"/>
                <w:bCs w:val="1"/>
                <w:color w:val="ffffff"/>
                <w:sz w:val="24"/>
                <w:szCs w:val="24"/>
                <w:rtl w:val="0"/>
              </w:rPr>
              <w:t xml:space="preserve">Country</w:t>
            </w:r>
          </w:p>
        </w:tc>
        <w:tc>
          <w:tcPr>
            <w:tcBorders>
              <w:top w:color="000000" w:space="0" w:sz="4" w:val="single"/>
              <w:left w:color="cccccc" w:space="0" w:sz="4" w:val="single"/>
              <w:bottom w:color="000000" w:space="0" w:sz="4" w:val="single"/>
              <w:right w:color="000000" w:space="0" w:sz="4" w:val="single"/>
            </w:tcBorders>
            <w:shd w:fill="073763" w:val="clear"/>
            <w:tcMar>
              <w:top w:w="40.0" w:type="dxa"/>
              <w:left w:w="40.0" w:type="dxa"/>
              <w:bottom w:w="40.0" w:type="dxa"/>
              <w:right w:w="40.0" w:type="dxa"/>
            </w:tcMar>
            <w:vAlign w:val="top"/>
          </w:tcPr>
          <w:p w:rsidR="00000000" w:rsidDel="00000000" w:rsidP="00000000" w:rsidRDefault="00000000" w:rsidRPr="00000000" w14:paraId="0000004C">
            <w:pPr>
              <w:widowControl w:val="0"/>
              <w:spacing w:line="360" w:lineRule="auto"/>
              <w:rPr>
                <w:rFonts w:ascii="Century Gothic" w:cs="Century Gothic" w:eastAsia="Century Gothic" w:hAnsi="Century Gothic"/>
                <w:b w:val="1"/>
                <w:bCs w:val="1"/>
                <w:color w:val="ffffff"/>
                <w:sz w:val="24"/>
                <w:szCs w:val="24"/>
              </w:rPr>
            </w:pPr>
            <w:r w:rsidDel="00000000" w:rsidR="00000000" w:rsidRPr="00000000">
              <w:rPr>
                <w:rFonts w:ascii="Century Gothic" w:cs="Century Gothic" w:eastAsia="Century Gothic" w:hAnsi="Century Gothic"/>
                <w:b w:val="1"/>
                <w:bCs w:val="1"/>
                <w:color w:val="ffffff"/>
                <w:sz w:val="24"/>
                <w:szCs w:val="24"/>
                <w:rtl w:val="0"/>
              </w:rPr>
              <w:t xml:space="preserve">Contribution</w:t>
            </w:r>
          </w:p>
        </w:tc>
        <w:tc>
          <w:tcPr>
            <w:tcBorders>
              <w:top w:color="000000" w:space="0" w:sz="4" w:val="single"/>
              <w:left w:color="cccccc" w:space="0" w:sz="4" w:val="single"/>
              <w:bottom w:color="000000" w:space="0" w:sz="4" w:val="single"/>
              <w:right w:color="000000" w:space="0" w:sz="4" w:val="single"/>
            </w:tcBorders>
            <w:shd w:fill="073763" w:val="clear"/>
            <w:tcMar>
              <w:top w:w="40.0" w:type="dxa"/>
              <w:left w:w="40.0" w:type="dxa"/>
              <w:bottom w:w="40.0" w:type="dxa"/>
              <w:right w:w="40.0" w:type="dxa"/>
            </w:tcMar>
            <w:vAlign w:val="top"/>
          </w:tcPr>
          <w:p w:rsidR="00000000" w:rsidDel="00000000" w:rsidP="00000000" w:rsidRDefault="00000000" w:rsidRPr="00000000" w14:paraId="0000004D">
            <w:pPr>
              <w:widowControl w:val="0"/>
              <w:spacing w:line="360" w:lineRule="auto"/>
              <w:rPr>
                <w:rFonts w:ascii="Century Gothic" w:cs="Century Gothic" w:eastAsia="Century Gothic" w:hAnsi="Century Gothic"/>
                <w:b w:val="1"/>
                <w:bCs w:val="1"/>
                <w:color w:val="ffffff"/>
                <w:sz w:val="24"/>
                <w:szCs w:val="24"/>
              </w:rPr>
            </w:pPr>
            <w:r w:rsidDel="00000000" w:rsidR="00000000" w:rsidRPr="00000000">
              <w:rPr>
                <w:rFonts w:ascii="Century Gothic" w:cs="Century Gothic" w:eastAsia="Century Gothic" w:hAnsi="Century Gothic"/>
                <w:b w:val="1"/>
                <w:bCs w:val="1"/>
                <w:color w:val="ffffff"/>
                <w:sz w:val="24"/>
                <w:szCs w:val="24"/>
                <w:rtl w:val="0"/>
              </w:rPr>
              <w:t xml:space="preserve">Sector</w:t>
            </w:r>
          </w:p>
        </w:tc>
      </w:tr>
      <w:tr>
        <w:trPr>
          <w:cantSplit w:val="0"/>
          <w:trHeight w:val="840" w:hRule="atLeast"/>
          <w:tblHeader w:val="0"/>
        </w:trPr>
        <w:tc>
          <w:tcPr>
            <w:tcBorders>
              <w:top w:color="cccccc" w:space="0" w:sz="4" w:val="single"/>
              <w:left w:color="000000" w:space="0" w:sz="4" w:val="single"/>
              <w:bottom w:color="000000" w:space="0" w:sz="4" w:val="single"/>
              <w:right w:color="000000" w:space="0" w:sz="4" w:val="single"/>
            </w:tcBorders>
            <w:shd w:fill="ffffff" w:val="clear"/>
            <w:tcMar>
              <w:top w:w="40.0" w:type="dxa"/>
              <w:left w:w="40.0" w:type="dxa"/>
              <w:bottom w:w="40.0" w:type="dxa"/>
              <w:right w:w="40.0" w:type="dxa"/>
            </w:tcMar>
            <w:vAlign w:val="top"/>
          </w:tcPr>
          <w:p w:rsidR="00000000" w:rsidDel="00000000" w:rsidP="00000000" w:rsidRDefault="00000000" w:rsidRPr="00000000" w14:paraId="0000004E">
            <w:pPr>
              <w:widowControl w:val="0"/>
              <w:spacing w:line="360" w:lineRule="auto"/>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BP</w:t>
            </w:r>
          </w:p>
        </w:tc>
        <w:tc>
          <w:tcPr>
            <w:tcBorders>
              <w:top w:color="cccccc" w:space="0" w:sz="4" w:val="single"/>
              <w:left w:color="cccccc" w:space="0" w:sz="4" w:val="single"/>
              <w:bottom w:color="000000" w:space="0" w:sz="4" w:val="single"/>
              <w:right w:color="000000" w:space="0" w:sz="4" w:val="single"/>
            </w:tcBorders>
            <w:shd w:fill="ffffff" w:val="clear"/>
            <w:tcMar>
              <w:top w:w="40.0" w:type="dxa"/>
              <w:left w:w="40.0" w:type="dxa"/>
              <w:bottom w:w="40.0" w:type="dxa"/>
              <w:right w:w="40.0" w:type="dxa"/>
            </w:tcMar>
            <w:vAlign w:val="top"/>
          </w:tcPr>
          <w:p w:rsidR="00000000" w:rsidDel="00000000" w:rsidP="00000000" w:rsidRDefault="00000000" w:rsidRPr="00000000" w14:paraId="0000004F">
            <w:pPr>
              <w:widowControl w:val="0"/>
              <w:spacing w:line="360" w:lineRule="auto"/>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UK</w:t>
            </w:r>
          </w:p>
        </w:tc>
        <w:tc>
          <w:tcPr>
            <w:tcBorders>
              <w:top w:color="cccccc" w:space="0" w:sz="4" w:val="single"/>
              <w:left w:color="cccccc" w:space="0" w:sz="4" w:val="single"/>
              <w:bottom w:color="000000" w:space="0" w:sz="4" w:val="single"/>
              <w:right w:color="000000" w:space="0" w:sz="4" w:val="single"/>
            </w:tcBorders>
            <w:shd w:fill="ffffff" w:val="clear"/>
            <w:tcMar>
              <w:top w:w="40.0" w:type="dxa"/>
              <w:left w:w="40.0" w:type="dxa"/>
              <w:bottom w:w="40.0" w:type="dxa"/>
              <w:right w:w="40.0" w:type="dxa"/>
            </w:tcMar>
            <w:vAlign w:val="top"/>
          </w:tcPr>
          <w:p w:rsidR="00000000" w:rsidDel="00000000" w:rsidP="00000000" w:rsidRDefault="00000000" w:rsidRPr="00000000" w14:paraId="00000050">
            <w:pPr>
              <w:widowControl w:val="0"/>
              <w:spacing w:line="360" w:lineRule="auto"/>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GTA Operator ($4.8B Phase 1)</w:t>
            </w:r>
          </w:p>
        </w:tc>
        <w:tc>
          <w:tcPr>
            <w:tcBorders>
              <w:top w:color="cccccc" w:space="0" w:sz="4" w:val="single"/>
              <w:left w:color="cccccc" w:space="0" w:sz="4" w:val="single"/>
              <w:bottom w:color="000000" w:space="0" w:sz="4" w:val="single"/>
              <w:right w:color="000000" w:space="0" w:sz="4" w:val="single"/>
            </w:tcBorders>
            <w:shd w:fill="ffffff" w:val="clear"/>
            <w:tcMar>
              <w:top w:w="40.0" w:type="dxa"/>
              <w:left w:w="40.0" w:type="dxa"/>
              <w:bottom w:w="40.0" w:type="dxa"/>
              <w:right w:w="40.0" w:type="dxa"/>
            </w:tcMar>
            <w:vAlign w:val="top"/>
          </w:tcPr>
          <w:p w:rsidR="00000000" w:rsidDel="00000000" w:rsidP="00000000" w:rsidRDefault="00000000" w:rsidRPr="00000000" w14:paraId="00000051">
            <w:pPr>
              <w:widowControl w:val="0"/>
              <w:spacing w:line="360" w:lineRule="auto"/>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Upstream</w:t>
            </w:r>
          </w:p>
        </w:tc>
      </w:tr>
      <w:tr>
        <w:trPr>
          <w:cantSplit w:val="0"/>
          <w:trHeight w:val="1095" w:hRule="atLeast"/>
          <w:tblHeader w:val="0"/>
        </w:trPr>
        <w:tc>
          <w:tcPr>
            <w:tcBorders>
              <w:top w:color="cccccc" w:space="0" w:sz="4" w:val="single"/>
              <w:left w:color="000000" w:space="0" w:sz="4" w:val="single"/>
              <w:bottom w:color="000000" w:space="0" w:sz="4" w:val="single"/>
              <w:right w:color="000000" w:space="0" w:sz="4" w:val="single"/>
            </w:tcBorders>
            <w:shd w:fill="ffffff" w:val="clear"/>
            <w:tcMar>
              <w:top w:w="40.0" w:type="dxa"/>
              <w:left w:w="40.0" w:type="dxa"/>
              <w:bottom w:w="40.0" w:type="dxa"/>
              <w:right w:w="40.0" w:type="dxa"/>
            </w:tcMar>
            <w:vAlign w:val="top"/>
          </w:tcPr>
          <w:p w:rsidR="00000000" w:rsidDel="00000000" w:rsidP="00000000" w:rsidRDefault="00000000" w:rsidRPr="00000000" w14:paraId="00000052">
            <w:pPr>
              <w:widowControl w:val="0"/>
              <w:spacing w:line="360" w:lineRule="auto"/>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Kosmos Energy</w:t>
            </w:r>
          </w:p>
        </w:tc>
        <w:tc>
          <w:tcPr>
            <w:tcBorders>
              <w:top w:color="cccccc" w:space="0" w:sz="4" w:val="single"/>
              <w:left w:color="cccccc" w:space="0" w:sz="4" w:val="single"/>
              <w:bottom w:color="000000" w:space="0" w:sz="4" w:val="single"/>
              <w:right w:color="000000" w:space="0" w:sz="4" w:val="single"/>
            </w:tcBorders>
            <w:shd w:fill="ffffff" w:val="clear"/>
            <w:tcMar>
              <w:top w:w="40.0" w:type="dxa"/>
              <w:left w:w="40.0" w:type="dxa"/>
              <w:bottom w:w="40.0" w:type="dxa"/>
              <w:right w:w="40.0" w:type="dxa"/>
            </w:tcMar>
            <w:vAlign w:val="top"/>
          </w:tcPr>
          <w:p w:rsidR="00000000" w:rsidDel="00000000" w:rsidP="00000000" w:rsidRDefault="00000000" w:rsidRPr="00000000" w14:paraId="00000053">
            <w:pPr>
              <w:widowControl w:val="0"/>
              <w:spacing w:line="360" w:lineRule="auto"/>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USA</w:t>
            </w:r>
          </w:p>
        </w:tc>
        <w:tc>
          <w:tcPr>
            <w:tcBorders>
              <w:top w:color="cccccc" w:space="0" w:sz="4" w:val="single"/>
              <w:left w:color="cccccc" w:space="0" w:sz="4" w:val="single"/>
              <w:bottom w:color="000000" w:space="0" w:sz="4" w:val="single"/>
              <w:right w:color="000000" w:space="0" w:sz="4" w:val="single"/>
            </w:tcBorders>
            <w:shd w:fill="ffffff" w:val="clear"/>
            <w:tcMar>
              <w:top w:w="40.0" w:type="dxa"/>
              <w:left w:w="40.0" w:type="dxa"/>
              <w:bottom w:w="40.0" w:type="dxa"/>
              <w:right w:w="40.0" w:type="dxa"/>
            </w:tcMar>
            <w:vAlign w:val="top"/>
          </w:tcPr>
          <w:p w:rsidR="00000000" w:rsidDel="00000000" w:rsidP="00000000" w:rsidRDefault="00000000" w:rsidRPr="00000000" w14:paraId="00000054">
            <w:pPr>
              <w:widowControl w:val="0"/>
              <w:spacing w:line="360" w:lineRule="auto"/>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GTA Partner (27%); ex-Yakaar operator</w:t>
            </w:r>
          </w:p>
        </w:tc>
        <w:tc>
          <w:tcPr>
            <w:tcBorders>
              <w:top w:color="cccccc" w:space="0" w:sz="4" w:val="single"/>
              <w:left w:color="cccccc" w:space="0" w:sz="4" w:val="single"/>
              <w:bottom w:color="000000" w:space="0" w:sz="4" w:val="single"/>
              <w:right w:color="000000" w:space="0" w:sz="4" w:val="single"/>
            </w:tcBorders>
            <w:shd w:fill="ffffff" w:val="clear"/>
            <w:tcMar>
              <w:top w:w="40.0" w:type="dxa"/>
              <w:left w:w="40.0" w:type="dxa"/>
              <w:bottom w:w="40.0" w:type="dxa"/>
              <w:right w:w="40.0" w:type="dxa"/>
            </w:tcMar>
            <w:vAlign w:val="top"/>
          </w:tcPr>
          <w:p w:rsidR="00000000" w:rsidDel="00000000" w:rsidP="00000000" w:rsidRDefault="00000000" w:rsidRPr="00000000" w14:paraId="00000055">
            <w:pPr>
              <w:widowControl w:val="0"/>
              <w:spacing w:line="360" w:lineRule="auto"/>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Upstream</w:t>
            </w:r>
          </w:p>
        </w:tc>
      </w:tr>
      <w:tr>
        <w:trPr>
          <w:cantSplit w:val="0"/>
          <w:trHeight w:val="840" w:hRule="atLeast"/>
          <w:tblHeader w:val="0"/>
        </w:trPr>
        <w:tc>
          <w:tcPr>
            <w:tcBorders>
              <w:top w:color="cccccc" w:space="0" w:sz="4" w:val="single"/>
              <w:left w:color="000000" w:space="0" w:sz="4" w:val="single"/>
              <w:bottom w:color="000000" w:space="0" w:sz="4" w:val="single"/>
              <w:right w:color="000000" w:space="0" w:sz="4" w:val="single"/>
            </w:tcBorders>
            <w:shd w:fill="ffffff" w:val="clear"/>
            <w:tcMar>
              <w:top w:w="40.0" w:type="dxa"/>
              <w:left w:w="40.0" w:type="dxa"/>
              <w:bottom w:w="40.0" w:type="dxa"/>
              <w:right w:w="40.0" w:type="dxa"/>
            </w:tcMar>
            <w:vAlign w:val="top"/>
          </w:tcPr>
          <w:p w:rsidR="00000000" w:rsidDel="00000000" w:rsidP="00000000" w:rsidRDefault="00000000" w:rsidRPr="00000000" w14:paraId="00000056">
            <w:pPr>
              <w:widowControl w:val="0"/>
              <w:spacing w:line="360" w:lineRule="auto"/>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Woodside Energy</w:t>
            </w:r>
          </w:p>
        </w:tc>
        <w:tc>
          <w:tcPr>
            <w:tcBorders>
              <w:top w:color="cccccc" w:space="0" w:sz="4" w:val="single"/>
              <w:left w:color="cccccc" w:space="0" w:sz="4" w:val="single"/>
              <w:bottom w:color="000000" w:space="0" w:sz="4" w:val="single"/>
              <w:right w:color="000000" w:space="0" w:sz="4" w:val="single"/>
            </w:tcBorders>
            <w:shd w:fill="ffffff" w:val="clear"/>
            <w:tcMar>
              <w:top w:w="40.0" w:type="dxa"/>
              <w:left w:w="40.0" w:type="dxa"/>
              <w:bottom w:w="40.0" w:type="dxa"/>
              <w:right w:w="40.0" w:type="dxa"/>
            </w:tcMar>
            <w:vAlign w:val="top"/>
          </w:tcPr>
          <w:p w:rsidR="00000000" w:rsidDel="00000000" w:rsidP="00000000" w:rsidRDefault="00000000" w:rsidRPr="00000000" w14:paraId="00000057">
            <w:pPr>
              <w:widowControl w:val="0"/>
              <w:spacing w:line="360" w:lineRule="auto"/>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Australia</w:t>
            </w:r>
          </w:p>
        </w:tc>
        <w:tc>
          <w:tcPr>
            <w:tcBorders>
              <w:top w:color="cccccc" w:space="0" w:sz="4" w:val="single"/>
              <w:left w:color="cccccc" w:space="0" w:sz="4" w:val="single"/>
              <w:bottom w:color="000000" w:space="0" w:sz="4" w:val="single"/>
              <w:right w:color="000000" w:space="0" w:sz="4" w:val="single"/>
            </w:tcBorders>
            <w:shd w:fill="ffffff" w:val="clear"/>
            <w:tcMar>
              <w:top w:w="40.0" w:type="dxa"/>
              <w:left w:w="40.0" w:type="dxa"/>
              <w:bottom w:w="40.0" w:type="dxa"/>
              <w:right w:w="40.0" w:type="dxa"/>
            </w:tcMar>
            <w:vAlign w:val="top"/>
          </w:tcPr>
          <w:p w:rsidR="00000000" w:rsidDel="00000000" w:rsidP="00000000" w:rsidRDefault="00000000" w:rsidRPr="00000000" w14:paraId="00000058">
            <w:pPr>
              <w:widowControl w:val="0"/>
              <w:spacing w:line="360" w:lineRule="auto"/>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Sangomar Operator ($4.7B)</w:t>
            </w:r>
          </w:p>
        </w:tc>
        <w:tc>
          <w:tcPr>
            <w:tcBorders>
              <w:top w:color="cccccc" w:space="0" w:sz="4" w:val="single"/>
              <w:left w:color="cccccc" w:space="0" w:sz="4" w:val="single"/>
              <w:bottom w:color="000000" w:space="0" w:sz="4" w:val="single"/>
              <w:right w:color="000000" w:space="0" w:sz="4" w:val="single"/>
            </w:tcBorders>
            <w:shd w:fill="ffffff" w:val="clear"/>
            <w:tcMar>
              <w:top w:w="40.0" w:type="dxa"/>
              <w:left w:w="40.0" w:type="dxa"/>
              <w:bottom w:w="40.0" w:type="dxa"/>
              <w:right w:w="40.0" w:type="dxa"/>
            </w:tcMar>
            <w:vAlign w:val="top"/>
          </w:tcPr>
          <w:p w:rsidR="00000000" w:rsidDel="00000000" w:rsidP="00000000" w:rsidRDefault="00000000" w:rsidRPr="00000000" w14:paraId="00000059">
            <w:pPr>
              <w:widowControl w:val="0"/>
              <w:spacing w:line="360" w:lineRule="auto"/>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Upstream</w:t>
            </w:r>
          </w:p>
        </w:tc>
      </w:tr>
      <w:tr>
        <w:trPr>
          <w:cantSplit w:val="0"/>
          <w:trHeight w:val="840" w:hRule="atLeast"/>
          <w:tblHeader w:val="0"/>
        </w:trPr>
        <w:tc>
          <w:tcPr>
            <w:tcBorders>
              <w:top w:color="cccccc" w:space="0" w:sz="4" w:val="single"/>
              <w:left w:color="000000" w:space="0" w:sz="4" w:val="single"/>
              <w:bottom w:color="000000" w:space="0" w:sz="4" w:val="single"/>
              <w:right w:color="000000" w:space="0" w:sz="4" w:val="single"/>
            </w:tcBorders>
            <w:shd w:fill="ffffff" w:val="clear"/>
            <w:tcMar>
              <w:top w:w="40.0" w:type="dxa"/>
              <w:left w:w="40.0" w:type="dxa"/>
              <w:bottom w:w="40.0" w:type="dxa"/>
              <w:right w:w="40.0" w:type="dxa"/>
            </w:tcMar>
            <w:vAlign w:val="top"/>
          </w:tcPr>
          <w:p w:rsidR="00000000" w:rsidDel="00000000" w:rsidP="00000000" w:rsidRDefault="00000000" w:rsidRPr="00000000" w14:paraId="0000005A">
            <w:pPr>
              <w:widowControl w:val="0"/>
              <w:spacing w:line="360" w:lineRule="auto"/>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TotalEnergies</w:t>
            </w:r>
          </w:p>
        </w:tc>
        <w:tc>
          <w:tcPr>
            <w:tcBorders>
              <w:top w:color="cccccc" w:space="0" w:sz="4" w:val="single"/>
              <w:left w:color="cccccc" w:space="0" w:sz="4" w:val="single"/>
              <w:bottom w:color="000000" w:space="0" w:sz="4" w:val="single"/>
              <w:right w:color="000000" w:space="0" w:sz="4" w:val="single"/>
            </w:tcBorders>
            <w:shd w:fill="ffffff" w:val="clear"/>
            <w:tcMar>
              <w:top w:w="40.0" w:type="dxa"/>
              <w:left w:w="40.0" w:type="dxa"/>
              <w:bottom w:w="40.0" w:type="dxa"/>
              <w:right w:w="40.0" w:type="dxa"/>
            </w:tcMar>
            <w:vAlign w:val="top"/>
          </w:tcPr>
          <w:p w:rsidR="00000000" w:rsidDel="00000000" w:rsidP="00000000" w:rsidRDefault="00000000" w:rsidRPr="00000000" w14:paraId="0000005B">
            <w:pPr>
              <w:widowControl w:val="0"/>
              <w:spacing w:line="360" w:lineRule="auto"/>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France</w:t>
            </w:r>
          </w:p>
        </w:tc>
        <w:tc>
          <w:tcPr>
            <w:tcBorders>
              <w:top w:color="cccccc" w:space="0" w:sz="4" w:val="single"/>
              <w:left w:color="cccccc" w:space="0" w:sz="4" w:val="single"/>
              <w:bottom w:color="000000" w:space="0" w:sz="4" w:val="single"/>
              <w:right w:color="000000" w:space="0" w:sz="4" w:val="single"/>
            </w:tcBorders>
            <w:shd w:fill="ffffff" w:val="clear"/>
            <w:tcMar>
              <w:top w:w="40.0" w:type="dxa"/>
              <w:left w:w="40.0" w:type="dxa"/>
              <w:bottom w:w="40.0" w:type="dxa"/>
              <w:right w:w="40.0" w:type="dxa"/>
            </w:tcMar>
            <w:vAlign w:val="top"/>
          </w:tcPr>
          <w:p w:rsidR="00000000" w:rsidDel="00000000" w:rsidP="00000000" w:rsidRDefault="00000000" w:rsidRPr="00000000" w14:paraId="0000005C">
            <w:pPr>
              <w:widowControl w:val="0"/>
              <w:spacing w:line="360" w:lineRule="auto"/>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Downstream distribution leader</w:t>
            </w:r>
          </w:p>
        </w:tc>
        <w:tc>
          <w:tcPr>
            <w:tcBorders>
              <w:top w:color="cccccc" w:space="0" w:sz="4" w:val="single"/>
              <w:left w:color="cccccc" w:space="0" w:sz="4" w:val="single"/>
              <w:bottom w:color="000000" w:space="0" w:sz="4" w:val="single"/>
              <w:right w:color="000000" w:space="0" w:sz="4" w:val="single"/>
            </w:tcBorders>
            <w:shd w:fill="ffffff" w:val="clear"/>
            <w:tcMar>
              <w:top w:w="40.0" w:type="dxa"/>
              <w:left w:w="40.0" w:type="dxa"/>
              <w:bottom w:w="40.0" w:type="dxa"/>
              <w:right w:w="40.0" w:type="dxa"/>
            </w:tcMar>
            <w:vAlign w:val="top"/>
          </w:tcPr>
          <w:p w:rsidR="00000000" w:rsidDel="00000000" w:rsidP="00000000" w:rsidRDefault="00000000" w:rsidRPr="00000000" w14:paraId="0000005D">
            <w:pPr>
              <w:widowControl w:val="0"/>
              <w:spacing w:line="360" w:lineRule="auto"/>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Downstream</w:t>
            </w:r>
          </w:p>
        </w:tc>
      </w:tr>
      <w:tr>
        <w:trPr>
          <w:cantSplit w:val="0"/>
          <w:trHeight w:val="1350" w:hRule="atLeast"/>
          <w:tblHeader w:val="0"/>
        </w:trPr>
        <w:tc>
          <w:tcPr>
            <w:tcBorders>
              <w:top w:color="cccccc" w:space="0" w:sz="4" w:val="single"/>
              <w:left w:color="000000" w:space="0" w:sz="4" w:val="single"/>
              <w:bottom w:color="000000" w:space="0" w:sz="4" w:val="single"/>
              <w:right w:color="000000" w:space="0" w:sz="4" w:val="single"/>
            </w:tcBorders>
            <w:shd w:fill="ffffff" w:val="clear"/>
            <w:tcMar>
              <w:top w:w="40.0" w:type="dxa"/>
              <w:left w:w="40.0" w:type="dxa"/>
              <w:bottom w:w="40.0" w:type="dxa"/>
              <w:right w:w="40.0" w:type="dxa"/>
            </w:tcMar>
            <w:vAlign w:val="top"/>
          </w:tcPr>
          <w:p w:rsidR="00000000" w:rsidDel="00000000" w:rsidP="00000000" w:rsidRDefault="00000000" w:rsidRPr="00000000" w14:paraId="0000005E">
            <w:pPr>
              <w:widowControl w:val="0"/>
              <w:spacing w:line="360" w:lineRule="auto"/>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China</w:t>
            </w:r>
          </w:p>
        </w:tc>
        <w:tc>
          <w:tcPr>
            <w:tcBorders>
              <w:top w:color="cccccc" w:space="0" w:sz="4" w:val="single"/>
              <w:left w:color="cccccc" w:space="0" w:sz="4" w:val="single"/>
              <w:bottom w:color="000000" w:space="0" w:sz="4" w:val="single"/>
              <w:right w:color="000000" w:space="0" w:sz="4" w:val="single"/>
            </w:tcBorders>
            <w:shd w:fill="ffffff" w:val="clear"/>
            <w:tcMar>
              <w:top w:w="40.0" w:type="dxa"/>
              <w:left w:w="40.0" w:type="dxa"/>
              <w:bottom w:w="40.0" w:type="dxa"/>
              <w:right w:w="40.0" w:type="dxa"/>
            </w:tcMar>
            <w:vAlign w:val="top"/>
          </w:tcPr>
          <w:p w:rsidR="00000000" w:rsidDel="00000000" w:rsidP="00000000" w:rsidRDefault="00000000" w:rsidRPr="00000000" w14:paraId="0000005F">
            <w:pPr>
              <w:widowControl w:val="0"/>
              <w:spacing w:line="360" w:lineRule="auto"/>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China</w:t>
            </w:r>
          </w:p>
        </w:tc>
        <w:tc>
          <w:tcPr>
            <w:tcBorders>
              <w:top w:color="cccccc" w:space="0" w:sz="4" w:val="single"/>
              <w:left w:color="cccccc" w:space="0" w:sz="4" w:val="single"/>
              <w:bottom w:color="000000" w:space="0" w:sz="4" w:val="single"/>
              <w:right w:color="000000" w:space="0" w:sz="4" w:val="single"/>
            </w:tcBorders>
            <w:shd w:fill="ffffff" w:val="clear"/>
            <w:tcMar>
              <w:top w:w="40.0" w:type="dxa"/>
              <w:left w:w="40.0" w:type="dxa"/>
              <w:bottom w:w="40.0" w:type="dxa"/>
              <w:right w:w="40.0" w:type="dxa"/>
            </w:tcMar>
            <w:vAlign w:val="top"/>
          </w:tcPr>
          <w:p w:rsidR="00000000" w:rsidDel="00000000" w:rsidP="00000000" w:rsidRDefault="00000000" w:rsidRPr="00000000" w14:paraId="00000060">
            <w:pPr>
              <w:widowControl w:val="0"/>
              <w:spacing w:line="360" w:lineRule="auto"/>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Largest bilateral trade partner; infrastructure FDI</w:t>
            </w:r>
          </w:p>
        </w:tc>
        <w:tc>
          <w:tcPr>
            <w:tcBorders>
              <w:top w:color="cccccc" w:space="0" w:sz="4" w:val="single"/>
              <w:left w:color="cccccc" w:space="0" w:sz="4" w:val="single"/>
              <w:bottom w:color="000000" w:space="0" w:sz="4" w:val="single"/>
              <w:right w:color="000000" w:space="0" w:sz="4" w:val="single"/>
            </w:tcBorders>
            <w:shd w:fill="ffffff" w:val="clear"/>
            <w:tcMar>
              <w:top w:w="40.0" w:type="dxa"/>
              <w:left w:w="40.0" w:type="dxa"/>
              <w:bottom w:w="40.0" w:type="dxa"/>
              <w:right w:w="40.0" w:type="dxa"/>
            </w:tcMar>
            <w:vAlign w:val="top"/>
          </w:tcPr>
          <w:p w:rsidR="00000000" w:rsidDel="00000000" w:rsidP="00000000" w:rsidRDefault="00000000" w:rsidRPr="00000000" w14:paraId="00000061">
            <w:pPr>
              <w:widowControl w:val="0"/>
              <w:spacing w:line="360" w:lineRule="auto"/>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Investment</w:t>
            </w:r>
          </w:p>
        </w:tc>
      </w:tr>
      <w:tr>
        <w:trPr>
          <w:cantSplit w:val="0"/>
          <w:trHeight w:val="1095" w:hRule="atLeast"/>
          <w:tblHeader w:val="0"/>
        </w:trPr>
        <w:tc>
          <w:tcPr>
            <w:tcBorders>
              <w:top w:color="cccccc" w:space="0" w:sz="4" w:val="single"/>
              <w:left w:color="000000" w:space="0" w:sz="4" w:val="single"/>
              <w:bottom w:color="000000" w:space="0" w:sz="4" w:val="single"/>
              <w:right w:color="000000" w:space="0" w:sz="4" w:val="single"/>
            </w:tcBorders>
            <w:shd w:fill="ffffff" w:val="clear"/>
            <w:tcMar>
              <w:top w:w="40.0" w:type="dxa"/>
              <w:left w:w="40.0" w:type="dxa"/>
              <w:bottom w:w="40.0" w:type="dxa"/>
              <w:right w:w="40.0" w:type="dxa"/>
            </w:tcMar>
            <w:vAlign w:val="top"/>
          </w:tcPr>
          <w:p w:rsidR="00000000" w:rsidDel="00000000" w:rsidP="00000000" w:rsidRDefault="00000000" w:rsidRPr="00000000" w14:paraId="00000062">
            <w:pPr>
              <w:widowControl w:val="0"/>
              <w:spacing w:line="360" w:lineRule="auto"/>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MCC/USA</w:t>
            </w:r>
          </w:p>
        </w:tc>
        <w:tc>
          <w:tcPr>
            <w:tcBorders>
              <w:top w:color="cccccc" w:space="0" w:sz="4" w:val="single"/>
              <w:left w:color="cccccc" w:space="0" w:sz="4" w:val="single"/>
              <w:bottom w:color="000000" w:space="0" w:sz="4" w:val="single"/>
              <w:right w:color="000000" w:space="0" w:sz="4" w:val="single"/>
            </w:tcBorders>
            <w:shd w:fill="ffffff" w:val="clear"/>
            <w:tcMar>
              <w:top w:w="40.0" w:type="dxa"/>
              <w:left w:w="40.0" w:type="dxa"/>
              <w:bottom w:w="40.0" w:type="dxa"/>
              <w:right w:w="40.0" w:type="dxa"/>
            </w:tcMar>
            <w:vAlign w:val="top"/>
          </w:tcPr>
          <w:p w:rsidR="00000000" w:rsidDel="00000000" w:rsidP="00000000" w:rsidRDefault="00000000" w:rsidRPr="00000000" w14:paraId="00000063">
            <w:pPr>
              <w:widowControl w:val="0"/>
              <w:spacing w:line="360" w:lineRule="auto"/>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USA</w:t>
            </w:r>
          </w:p>
        </w:tc>
        <w:tc>
          <w:tcPr>
            <w:tcBorders>
              <w:top w:color="cccccc" w:space="0" w:sz="4" w:val="single"/>
              <w:left w:color="cccccc" w:space="0" w:sz="4" w:val="single"/>
              <w:bottom w:color="000000" w:space="0" w:sz="4" w:val="single"/>
              <w:right w:color="000000" w:space="0" w:sz="4" w:val="single"/>
            </w:tcBorders>
            <w:shd w:fill="ffffff" w:val="clear"/>
            <w:tcMar>
              <w:top w:w="40.0" w:type="dxa"/>
              <w:left w:w="40.0" w:type="dxa"/>
              <w:bottom w:w="40.0" w:type="dxa"/>
              <w:right w:w="40.0" w:type="dxa"/>
            </w:tcMar>
            <w:vAlign w:val="top"/>
          </w:tcPr>
          <w:p w:rsidR="00000000" w:rsidDel="00000000" w:rsidP="00000000" w:rsidRDefault="00000000" w:rsidRPr="00000000" w14:paraId="00000064">
            <w:pPr>
              <w:widowControl w:val="0"/>
              <w:spacing w:line="360" w:lineRule="auto"/>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Second compact for energy sector strengthening</w:t>
            </w:r>
          </w:p>
        </w:tc>
        <w:tc>
          <w:tcPr>
            <w:tcBorders>
              <w:top w:color="cccccc" w:space="0" w:sz="4" w:val="single"/>
              <w:left w:color="cccccc" w:space="0" w:sz="4" w:val="single"/>
              <w:bottom w:color="000000" w:space="0" w:sz="4" w:val="single"/>
              <w:right w:color="000000" w:space="0" w:sz="4" w:val="single"/>
            </w:tcBorders>
            <w:shd w:fill="ffffff" w:val="clear"/>
            <w:tcMar>
              <w:top w:w="40.0" w:type="dxa"/>
              <w:left w:w="40.0" w:type="dxa"/>
              <w:bottom w:w="40.0" w:type="dxa"/>
              <w:right w:w="40.0" w:type="dxa"/>
            </w:tcMar>
            <w:vAlign w:val="top"/>
          </w:tcPr>
          <w:p w:rsidR="00000000" w:rsidDel="00000000" w:rsidP="00000000" w:rsidRDefault="00000000" w:rsidRPr="00000000" w14:paraId="00000065">
            <w:pPr>
              <w:widowControl w:val="0"/>
              <w:spacing w:line="360" w:lineRule="auto"/>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Development</w:t>
            </w:r>
          </w:p>
        </w:tc>
      </w:tr>
      <w:tr>
        <w:trPr>
          <w:cantSplit w:val="0"/>
          <w:trHeight w:val="1095" w:hRule="atLeast"/>
          <w:tblHeader w:val="0"/>
        </w:trPr>
        <w:tc>
          <w:tcPr>
            <w:tcBorders>
              <w:top w:color="cccccc" w:space="0" w:sz="4" w:val="single"/>
              <w:left w:color="000000" w:space="0" w:sz="4" w:val="single"/>
              <w:bottom w:color="000000" w:space="0" w:sz="4" w:val="single"/>
              <w:right w:color="000000" w:space="0" w:sz="4" w:val="single"/>
            </w:tcBorders>
            <w:shd w:fill="ffffff" w:val="clear"/>
            <w:tcMar>
              <w:top w:w="40.0" w:type="dxa"/>
              <w:left w:w="40.0" w:type="dxa"/>
              <w:bottom w:w="40.0" w:type="dxa"/>
              <w:right w:w="40.0" w:type="dxa"/>
            </w:tcMar>
            <w:vAlign w:val="top"/>
          </w:tcPr>
          <w:p w:rsidR="00000000" w:rsidDel="00000000" w:rsidP="00000000" w:rsidRDefault="00000000" w:rsidRPr="00000000" w14:paraId="00000066">
            <w:pPr>
              <w:widowControl w:val="0"/>
              <w:spacing w:line="360" w:lineRule="auto"/>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EU/AFD</w:t>
            </w:r>
          </w:p>
        </w:tc>
        <w:tc>
          <w:tcPr>
            <w:tcBorders>
              <w:top w:color="cccccc" w:space="0" w:sz="4" w:val="single"/>
              <w:left w:color="cccccc" w:space="0" w:sz="4" w:val="single"/>
              <w:bottom w:color="000000" w:space="0" w:sz="4" w:val="single"/>
              <w:right w:color="000000" w:space="0" w:sz="4" w:val="single"/>
            </w:tcBorders>
            <w:shd w:fill="ffffff" w:val="clear"/>
            <w:tcMar>
              <w:top w:w="40.0" w:type="dxa"/>
              <w:left w:w="40.0" w:type="dxa"/>
              <w:bottom w:w="40.0" w:type="dxa"/>
              <w:right w:w="40.0" w:type="dxa"/>
            </w:tcMar>
            <w:vAlign w:val="top"/>
          </w:tcPr>
          <w:p w:rsidR="00000000" w:rsidDel="00000000" w:rsidP="00000000" w:rsidRDefault="00000000" w:rsidRPr="00000000" w14:paraId="00000067">
            <w:pPr>
              <w:widowControl w:val="0"/>
              <w:spacing w:line="360" w:lineRule="auto"/>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EU</w:t>
            </w:r>
          </w:p>
        </w:tc>
        <w:tc>
          <w:tcPr>
            <w:tcBorders>
              <w:top w:color="cccccc" w:space="0" w:sz="4" w:val="single"/>
              <w:left w:color="cccccc" w:space="0" w:sz="4" w:val="single"/>
              <w:bottom w:color="000000" w:space="0" w:sz="4" w:val="single"/>
              <w:right w:color="000000" w:space="0" w:sz="4" w:val="single"/>
            </w:tcBorders>
            <w:shd w:fill="ffffff" w:val="clear"/>
            <w:tcMar>
              <w:top w:w="40.0" w:type="dxa"/>
              <w:left w:w="40.0" w:type="dxa"/>
              <w:bottom w:w="40.0" w:type="dxa"/>
              <w:right w:w="40.0" w:type="dxa"/>
            </w:tcMar>
            <w:vAlign w:val="top"/>
          </w:tcPr>
          <w:p w:rsidR="00000000" w:rsidDel="00000000" w:rsidP="00000000" w:rsidRDefault="00000000" w:rsidRPr="00000000" w14:paraId="00000068">
            <w:pPr>
              <w:widowControl w:val="0"/>
              <w:spacing w:line="360" w:lineRule="auto"/>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Grid extension &amp; pipeline finance</w:t>
            </w:r>
          </w:p>
        </w:tc>
        <w:tc>
          <w:tcPr>
            <w:tcBorders>
              <w:top w:color="cccccc" w:space="0" w:sz="4" w:val="single"/>
              <w:left w:color="cccccc" w:space="0" w:sz="4" w:val="single"/>
              <w:bottom w:color="000000" w:space="0" w:sz="4" w:val="single"/>
              <w:right w:color="000000" w:space="0" w:sz="4" w:val="single"/>
            </w:tcBorders>
            <w:shd w:fill="ffffff" w:val="clear"/>
            <w:tcMar>
              <w:top w:w="40.0" w:type="dxa"/>
              <w:left w:w="40.0" w:type="dxa"/>
              <w:bottom w:w="40.0" w:type="dxa"/>
              <w:right w:w="40.0" w:type="dxa"/>
            </w:tcMar>
            <w:vAlign w:val="top"/>
          </w:tcPr>
          <w:p w:rsidR="00000000" w:rsidDel="00000000" w:rsidP="00000000" w:rsidRDefault="00000000" w:rsidRPr="00000000" w14:paraId="00000069">
            <w:pPr>
              <w:widowControl w:val="0"/>
              <w:spacing w:line="360" w:lineRule="auto"/>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Finance</w:t>
            </w:r>
          </w:p>
        </w:tc>
      </w:tr>
      <w:tr>
        <w:trPr>
          <w:cantSplit w:val="0"/>
          <w:trHeight w:val="1350" w:hRule="atLeast"/>
          <w:tblHeader w:val="0"/>
        </w:trPr>
        <w:tc>
          <w:tcPr>
            <w:tcBorders>
              <w:top w:color="cccccc" w:space="0" w:sz="4" w:val="single"/>
              <w:left w:color="000000" w:space="0" w:sz="4" w:val="single"/>
              <w:bottom w:color="000000" w:space="0" w:sz="4" w:val="single"/>
              <w:right w:color="000000" w:space="0" w:sz="4" w:val="single"/>
            </w:tcBorders>
            <w:shd w:fill="ffffff" w:val="clear"/>
            <w:tcMar>
              <w:top w:w="40.0" w:type="dxa"/>
              <w:left w:w="40.0" w:type="dxa"/>
              <w:bottom w:w="40.0" w:type="dxa"/>
              <w:right w:w="40.0" w:type="dxa"/>
            </w:tcMar>
            <w:vAlign w:val="top"/>
          </w:tcPr>
          <w:p w:rsidR="00000000" w:rsidDel="00000000" w:rsidP="00000000" w:rsidRDefault="00000000" w:rsidRPr="00000000" w14:paraId="0000006A">
            <w:pPr>
              <w:widowControl w:val="0"/>
              <w:spacing w:line="360" w:lineRule="auto"/>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World Bank/AfDB</w:t>
            </w:r>
          </w:p>
        </w:tc>
        <w:tc>
          <w:tcPr>
            <w:tcBorders>
              <w:top w:color="cccccc" w:space="0" w:sz="4" w:val="single"/>
              <w:left w:color="cccccc" w:space="0" w:sz="4" w:val="single"/>
              <w:bottom w:color="000000" w:space="0" w:sz="4" w:val="single"/>
              <w:right w:color="000000" w:space="0" w:sz="4" w:val="single"/>
            </w:tcBorders>
            <w:shd w:fill="ffffff" w:val="clear"/>
            <w:tcMar>
              <w:top w:w="40.0" w:type="dxa"/>
              <w:left w:w="40.0" w:type="dxa"/>
              <w:bottom w:w="40.0" w:type="dxa"/>
              <w:right w:w="40.0" w:type="dxa"/>
            </w:tcMar>
            <w:vAlign w:val="top"/>
          </w:tcPr>
          <w:p w:rsidR="00000000" w:rsidDel="00000000" w:rsidP="00000000" w:rsidRDefault="00000000" w:rsidRPr="00000000" w14:paraId="0000006B">
            <w:pPr>
              <w:widowControl w:val="0"/>
              <w:spacing w:line="360" w:lineRule="auto"/>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Multilateral</w:t>
            </w:r>
          </w:p>
        </w:tc>
        <w:tc>
          <w:tcPr>
            <w:tcBorders>
              <w:top w:color="cccccc" w:space="0" w:sz="4" w:val="single"/>
              <w:left w:color="cccccc" w:space="0" w:sz="4" w:val="single"/>
              <w:bottom w:color="000000" w:space="0" w:sz="4" w:val="single"/>
              <w:right w:color="000000" w:space="0" w:sz="4" w:val="single"/>
            </w:tcBorders>
            <w:shd w:fill="ffffff" w:val="clear"/>
            <w:tcMar>
              <w:top w:w="40.0" w:type="dxa"/>
              <w:left w:w="40.0" w:type="dxa"/>
              <w:bottom w:w="40.0" w:type="dxa"/>
              <w:right w:w="40.0" w:type="dxa"/>
            </w:tcMar>
            <w:vAlign w:val="top"/>
          </w:tcPr>
          <w:p w:rsidR="00000000" w:rsidDel="00000000" w:rsidP="00000000" w:rsidRDefault="00000000" w:rsidRPr="00000000" w14:paraId="0000006C">
            <w:pPr>
              <w:widowControl w:val="0"/>
              <w:spacing w:line="360" w:lineRule="auto"/>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Policy, technical assistance, project finance</w:t>
            </w:r>
          </w:p>
        </w:tc>
        <w:tc>
          <w:tcPr>
            <w:tcBorders>
              <w:top w:color="cccccc" w:space="0" w:sz="4" w:val="single"/>
              <w:left w:color="cccccc" w:space="0" w:sz="4" w:val="single"/>
              <w:bottom w:color="000000" w:space="0" w:sz="4" w:val="single"/>
              <w:right w:color="000000" w:space="0" w:sz="4" w:val="single"/>
            </w:tcBorders>
            <w:shd w:fill="ffffff" w:val="clear"/>
            <w:tcMar>
              <w:top w:w="40.0" w:type="dxa"/>
              <w:left w:w="40.0" w:type="dxa"/>
              <w:bottom w:w="40.0" w:type="dxa"/>
              <w:right w:w="40.0" w:type="dxa"/>
            </w:tcMar>
            <w:vAlign w:val="top"/>
          </w:tcPr>
          <w:p w:rsidR="00000000" w:rsidDel="00000000" w:rsidP="00000000" w:rsidRDefault="00000000" w:rsidRPr="00000000" w14:paraId="0000006D">
            <w:pPr>
              <w:widowControl w:val="0"/>
              <w:spacing w:line="360" w:lineRule="auto"/>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Finance</w:t>
            </w:r>
          </w:p>
        </w:tc>
      </w:tr>
      <w:tr>
        <w:trPr>
          <w:cantSplit w:val="0"/>
          <w:trHeight w:val="840" w:hRule="atLeast"/>
          <w:tblHeader w:val="0"/>
        </w:trPr>
        <w:tc>
          <w:tcPr>
            <w:tcBorders>
              <w:top w:color="cccccc" w:space="0" w:sz="4" w:val="single"/>
              <w:left w:color="000000" w:space="0" w:sz="4" w:val="single"/>
              <w:bottom w:color="000000" w:space="0" w:sz="4" w:val="single"/>
              <w:right w:color="000000" w:space="0" w:sz="4" w:val="single"/>
            </w:tcBorders>
            <w:shd w:fill="ffffff" w:val="clear"/>
            <w:tcMar>
              <w:top w:w="40.0" w:type="dxa"/>
              <w:left w:w="40.0" w:type="dxa"/>
              <w:bottom w:w="40.0" w:type="dxa"/>
              <w:right w:w="40.0" w:type="dxa"/>
            </w:tcMar>
            <w:vAlign w:val="top"/>
          </w:tcPr>
          <w:p w:rsidR="00000000" w:rsidDel="00000000" w:rsidP="00000000" w:rsidRDefault="00000000" w:rsidRPr="00000000" w14:paraId="0000006E">
            <w:pPr>
              <w:widowControl w:val="0"/>
              <w:spacing w:line="360" w:lineRule="auto"/>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Turkey</w:t>
            </w:r>
          </w:p>
        </w:tc>
        <w:tc>
          <w:tcPr>
            <w:tcBorders>
              <w:top w:color="cccccc" w:space="0" w:sz="4" w:val="single"/>
              <w:left w:color="cccccc" w:space="0" w:sz="4" w:val="single"/>
              <w:bottom w:color="000000" w:space="0" w:sz="4" w:val="single"/>
              <w:right w:color="000000" w:space="0" w:sz="4" w:val="single"/>
            </w:tcBorders>
            <w:shd w:fill="ffffff" w:val="clear"/>
            <w:tcMar>
              <w:top w:w="40.0" w:type="dxa"/>
              <w:left w:w="40.0" w:type="dxa"/>
              <w:bottom w:w="40.0" w:type="dxa"/>
              <w:right w:w="40.0" w:type="dxa"/>
            </w:tcMar>
            <w:vAlign w:val="top"/>
          </w:tcPr>
          <w:p w:rsidR="00000000" w:rsidDel="00000000" w:rsidP="00000000" w:rsidRDefault="00000000" w:rsidRPr="00000000" w14:paraId="0000006F">
            <w:pPr>
              <w:widowControl w:val="0"/>
              <w:spacing w:line="360" w:lineRule="auto"/>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Turkey</w:t>
            </w:r>
          </w:p>
        </w:tc>
        <w:tc>
          <w:tcPr>
            <w:tcBorders>
              <w:top w:color="cccccc" w:space="0" w:sz="4" w:val="single"/>
              <w:left w:color="cccccc" w:space="0" w:sz="4" w:val="single"/>
              <w:bottom w:color="000000" w:space="0" w:sz="4" w:val="single"/>
              <w:right w:color="000000" w:space="0" w:sz="4" w:val="single"/>
            </w:tcBorders>
            <w:shd w:fill="ffffff" w:val="clear"/>
            <w:tcMar>
              <w:top w:w="40.0" w:type="dxa"/>
              <w:left w:w="40.0" w:type="dxa"/>
              <w:bottom w:w="40.0" w:type="dxa"/>
              <w:right w:w="40.0" w:type="dxa"/>
            </w:tcMar>
            <w:vAlign w:val="top"/>
          </w:tcPr>
          <w:p w:rsidR="00000000" w:rsidDel="00000000" w:rsidP="00000000" w:rsidRDefault="00000000" w:rsidRPr="00000000" w14:paraId="00000070">
            <w:pPr>
              <w:widowControl w:val="0"/>
              <w:spacing w:line="360" w:lineRule="auto"/>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EPC contractors, construction</w:t>
            </w:r>
          </w:p>
        </w:tc>
        <w:tc>
          <w:tcPr>
            <w:tcBorders>
              <w:top w:color="cccccc" w:space="0" w:sz="4" w:val="single"/>
              <w:left w:color="cccccc" w:space="0" w:sz="4" w:val="single"/>
              <w:bottom w:color="000000" w:space="0" w:sz="4" w:val="single"/>
              <w:right w:color="000000" w:space="0" w:sz="4" w:val="single"/>
            </w:tcBorders>
            <w:shd w:fill="ffffff" w:val="clear"/>
            <w:tcMar>
              <w:top w:w="40.0" w:type="dxa"/>
              <w:left w:w="40.0" w:type="dxa"/>
              <w:bottom w:w="40.0" w:type="dxa"/>
              <w:right w:w="40.0" w:type="dxa"/>
            </w:tcMar>
            <w:vAlign w:val="top"/>
          </w:tcPr>
          <w:p w:rsidR="00000000" w:rsidDel="00000000" w:rsidP="00000000" w:rsidRDefault="00000000" w:rsidRPr="00000000" w14:paraId="00000071">
            <w:pPr>
              <w:widowControl w:val="0"/>
              <w:spacing w:line="360" w:lineRule="auto"/>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Construction</w:t>
            </w:r>
          </w:p>
        </w:tc>
      </w:tr>
    </w:tbl>
    <w:p w:rsidR="00000000" w:rsidDel="00000000" w:rsidP="00000000" w:rsidRDefault="00000000" w:rsidRPr="00000000" w14:paraId="00000072">
      <w:pPr>
        <w:pStyle w:val="Heading1"/>
        <w:pBdr>
          <w:top w:color="auto" w:space="0" w:sz="0" w:val="none"/>
          <w:left w:color="auto" w:space="0" w:sz="0" w:val="none"/>
          <w:bottom w:color="auto" w:space="0" w:sz="0" w:val="none"/>
          <w:right w:color="auto" w:space="0" w:sz="0" w:val="none"/>
          <w:between w:color="auto" w:space="0" w:sz="0" w:val="none"/>
        </w:pBdr>
        <w:shd w:fill="ffffff" w:val="clear"/>
        <w:spacing w:line="360" w:lineRule="auto"/>
        <w:rPr>
          <w:rFonts w:ascii="Century Gothic" w:cs="Century Gothic" w:eastAsia="Century Gothic" w:hAnsi="Century Gothic"/>
          <w:b w:val="1"/>
          <w:bCs w:val="1"/>
        </w:rPr>
      </w:pPr>
      <w:bookmarkStart w:colFirst="0" w:colLast="0" w:name="_acdh8cc20s2" w:id="5"/>
      <w:bookmarkEnd w:id="5"/>
      <w:r w:rsidDel="00000000" w:rsidR="00000000" w:rsidRPr="00000000">
        <w:rPr>
          <w:rFonts w:ascii="Century Gothic" w:cs="Century Gothic" w:eastAsia="Century Gothic" w:hAnsi="Century Gothic"/>
          <w:b w:val="1"/>
          <w:bCs w:val="1"/>
          <w:rtl w:val="0"/>
        </w:rPr>
        <w:t xml:space="preserve">SENEGAL'S GAS MONETIZATION T</w:t>
      </w:r>
      <w:r w:rsidDel="00000000" w:rsidR="00000000" w:rsidRPr="00000000">
        <w:rPr>
          <w:rFonts w:ascii="Century Gothic" w:cs="Century Gothic" w:eastAsia="Century Gothic" w:hAnsi="Century Gothic"/>
          <w:b w:val="1"/>
          <w:bCs w:val="1"/>
          <w:rtl w:val="0"/>
        </w:rPr>
        <w:t xml:space="preserve">ECHNOLOGIES</w:t>
      </w:r>
    </w:p>
    <w:p w:rsidR="00000000" w:rsidDel="00000000" w:rsidP="00000000" w:rsidRDefault="00000000" w:rsidRPr="00000000" w14:paraId="00000073">
      <w:pPr>
        <w:shd w:fill="ffffff" w:val="clear"/>
        <w:spacing w:line="360" w:lineRule="auto"/>
        <w:jc w:val="both"/>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Senegal is deploying multiple gas monetization technologies tailored to its offshore deepwater context and domestic development priorities. These technologies include:</w:t>
      </w:r>
    </w:p>
    <w:p w:rsidR="00000000" w:rsidDel="00000000" w:rsidP="00000000" w:rsidRDefault="00000000" w:rsidRPr="00000000" w14:paraId="00000074">
      <w:pPr>
        <w:shd w:fill="ffffff" w:val="clear"/>
        <w:spacing w:line="360" w:lineRule="auto"/>
        <w:rPr>
          <w:rFonts w:ascii="Century Gothic" w:cs="Century Gothic" w:eastAsia="Century Gothic" w:hAnsi="Century Gothic"/>
          <w:b w:val="1"/>
          <w:bCs w:val="1"/>
          <w:sz w:val="24"/>
          <w:szCs w:val="24"/>
        </w:rPr>
      </w:pPr>
      <w:r w:rsidDel="00000000" w:rsidR="00000000" w:rsidRPr="00000000">
        <w:rPr>
          <w:rFonts w:ascii="Century Gothic" w:cs="Century Gothic" w:eastAsia="Century Gothic" w:hAnsi="Century Gothic"/>
          <w:sz w:val="24"/>
          <w:szCs w:val="24"/>
          <w:rtl w:val="0"/>
        </w:rPr>
        <w:t xml:space="preserve">1. </w:t>
      </w:r>
      <w:r w:rsidDel="00000000" w:rsidR="00000000" w:rsidRPr="00000000">
        <w:rPr>
          <w:rFonts w:ascii="Century Gothic" w:cs="Century Gothic" w:eastAsia="Century Gothic" w:hAnsi="Century Gothic"/>
          <w:b w:val="1"/>
          <w:bCs w:val="1"/>
          <w:sz w:val="24"/>
          <w:szCs w:val="24"/>
          <w:rtl w:val="0"/>
        </w:rPr>
        <w:t xml:space="preserve">Floating LNG (FLNG) — GTA Model</w:t>
      </w:r>
    </w:p>
    <w:p w:rsidR="00000000" w:rsidDel="00000000" w:rsidP="00000000" w:rsidRDefault="00000000" w:rsidRPr="00000000" w14:paraId="00000075">
      <w:pPr>
        <w:numPr>
          <w:ilvl w:val="0"/>
          <w:numId w:val="5"/>
        </w:numPr>
        <w:pBdr>
          <w:top w:color="auto" w:space="0" w:sz="0" w:val="none"/>
          <w:bottom w:color="auto" w:space="0" w:sz="0" w:val="none"/>
          <w:right w:color="auto" w:space="0" w:sz="0" w:val="none"/>
          <w:between w:color="auto" w:space="0" w:sz="0" w:val="none"/>
        </w:pBdr>
        <w:shd w:fill="ffffff" w:val="clear"/>
        <w:spacing w:line="360" w:lineRule="auto"/>
        <w:ind w:left="720" w:hanging="360"/>
        <w:jc w:val="both"/>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The GTA project uses an innovative deepwater subsea → FPSO → FLNG architecture</w:t>
      </w:r>
    </w:p>
    <w:p w:rsidR="00000000" w:rsidDel="00000000" w:rsidP="00000000" w:rsidRDefault="00000000" w:rsidRPr="00000000" w14:paraId="00000076">
      <w:pPr>
        <w:numPr>
          <w:ilvl w:val="0"/>
          <w:numId w:val="5"/>
        </w:numPr>
        <w:pBdr>
          <w:top w:color="auto" w:space="0" w:sz="0" w:val="none"/>
          <w:bottom w:color="auto" w:space="0" w:sz="0" w:val="none"/>
          <w:right w:color="auto" w:space="0" w:sz="0" w:val="none"/>
          <w:between w:color="auto" w:space="0" w:sz="0" w:val="none"/>
        </w:pBdr>
        <w:shd w:fill="ffffff" w:val="clear"/>
        <w:spacing w:line="360" w:lineRule="auto"/>
        <w:ind w:left="720" w:hanging="360"/>
        <w:jc w:val="both"/>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Gas extracted at 2,850m depth is pre-treated on the FPSO (~40 km offshore), then piped to the FLNG vessel (</w:t>
      </w:r>
      <w:r w:rsidDel="00000000" w:rsidR="00000000" w:rsidRPr="00000000">
        <w:rPr>
          <w:rFonts w:ascii="Century Gothic" w:cs="Century Gothic" w:eastAsia="Century Gothic" w:hAnsi="Century Gothic"/>
          <w:i w:val="1"/>
          <w:iCs w:val="1"/>
          <w:sz w:val="24"/>
          <w:szCs w:val="24"/>
          <w:rtl w:val="0"/>
        </w:rPr>
        <w:t xml:space="preserve">Gimi</w:t>
      </w:r>
      <w:r w:rsidDel="00000000" w:rsidR="00000000" w:rsidRPr="00000000">
        <w:rPr>
          <w:rFonts w:ascii="Century Gothic" w:cs="Century Gothic" w:eastAsia="Century Gothic" w:hAnsi="Century Gothic"/>
          <w:sz w:val="24"/>
          <w:szCs w:val="24"/>
          <w:rtl w:val="0"/>
        </w:rPr>
        <w:t xml:space="preserve">) at 10 km offshore for liquefaction</w:t>
      </w:r>
    </w:p>
    <w:p w:rsidR="00000000" w:rsidDel="00000000" w:rsidP="00000000" w:rsidRDefault="00000000" w:rsidRPr="00000000" w14:paraId="00000077">
      <w:pPr>
        <w:numPr>
          <w:ilvl w:val="0"/>
          <w:numId w:val="5"/>
        </w:numPr>
        <w:pBdr>
          <w:top w:color="auto" w:space="0" w:sz="0" w:val="none"/>
          <w:bottom w:color="auto" w:space="0" w:sz="0" w:val="none"/>
          <w:right w:color="auto" w:space="0" w:sz="0" w:val="none"/>
          <w:between w:color="auto" w:space="0" w:sz="0" w:val="none"/>
        </w:pBdr>
        <w:shd w:fill="ffffff" w:val="clear"/>
        <w:spacing w:line="360" w:lineRule="auto"/>
        <w:ind w:left="720" w:hanging="360"/>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Phase 1 capacity: 2.7 Mtpa; designed for 30–50 year field life</w:t>
      </w:r>
    </w:p>
    <w:p w:rsidR="00000000" w:rsidDel="00000000" w:rsidP="00000000" w:rsidRDefault="00000000" w:rsidRPr="00000000" w14:paraId="00000078">
      <w:pPr>
        <w:shd w:fill="ffffff" w:val="clear"/>
        <w:spacing w:line="360" w:lineRule="auto"/>
        <w:rPr>
          <w:rFonts w:ascii="Century Gothic" w:cs="Century Gothic" w:eastAsia="Century Gothic" w:hAnsi="Century Gothic"/>
          <w:b w:val="1"/>
          <w:bCs w:val="1"/>
          <w:sz w:val="24"/>
          <w:szCs w:val="24"/>
        </w:rPr>
      </w:pPr>
      <w:r w:rsidDel="00000000" w:rsidR="00000000" w:rsidRPr="00000000">
        <w:rPr>
          <w:rFonts w:ascii="Century Gothic" w:cs="Century Gothic" w:eastAsia="Century Gothic" w:hAnsi="Century Gothic"/>
          <w:sz w:val="24"/>
          <w:szCs w:val="24"/>
          <w:rtl w:val="0"/>
        </w:rPr>
        <w:t xml:space="preserve">2. </w:t>
      </w:r>
      <w:r w:rsidDel="00000000" w:rsidR="00000000" w:rsidRPr="00000000">
        <w:rPr>
          <w:rFonts w:ascii="Century Gothic" w:cs="Century Gothic" w:eastAsia="Century Gothic" w:hAnsi="Century Gothic"/>
          <w:b w:val="1"/>
          <w:bCs w:val="1"/>
          <w:sz w:val="24"/>
          <w:szCs w:val="24"/>
          <w:rtl w:val="0"/>
        </w:rPr>
        <w:t xml:space="preserve">Gas-to-Power (CCGT/OCGT)</w:t>
      </w:r>
    </w:p>
    <w:p w:rsidR="00000000" w:rsidDel="00000000" w:rsidP="00000000" w:rsidRDefault="00000000" w:rsidRPr="00000000" w14:paraId="00000079">
      <w:pPr>
        <w:numPr>
          <w:ilvl w:val="0"/>
          <w:numId w:val="3"/>
        </w:numPr>
        <w:pBdr>
          <w:top w:color="auto" w:space="0" w:sz="0" w:val="none"/>
          <w:bottom w:color="auto" w:space="0" w:sz="0" w:val="none"/>
          <w:right w:color="auto" w:space="0" w:sz="0" w:val="none"/>
          <w:between w:color="auto" w:space="0" w:sz="0" w:val="none"/>
        </w:pBdr>
        <w:shd w:fill="ffffff" w:val="clear"/>
        <w:spacing w:line="360" w:lineRule="auto"/>
        <w:ind w:left="720" w:hanging="360"/>
        <w:jc w:val="both"/>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Conversion of heavy fuel oil plants to natural gas</w:t>
      </w:r>
    </w:p>
    <w:p w:rsidR="00000000" w:rsidDel="00000000" w:rsidP="00000000" w:rsidRDefault="00000000" w:rsidRPr="00000000" w14:paraId="0000007A">
      <w:pPr>
        <w:numPr>
          <w:ilvl w:val="0"/>
          <w:numId w:val="3"/>
        </w:numPr>
        <w:pBdr>
          <w:top w:color="auto" w:space="0" w:sz="0" w:val="none"/>
          <w:bottom w:color="auto" w:space="0" w:sz="0" w:val="none"/>
          <w:right w:color="auto" w:space="0" w:sz="0" w:val="none"/>
          <w:between w:color="auto" w:space="0" w:sz="0" w:val="none"/>
        </w:pBdr>
        <w:shd w:fill="ffffff" w:val="clear"/>
        <w:spacing w:line="360" w:lineRule="auto"/>
        <w:ind w:left="720" w:hanging="360"/>
        <w:jc w:val="both"/>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New gas-fired capacity: Gandon (250–300 MW), FONSIS (500 MW tender)</w:t>
      </w:r>
    </w:p>
    <w:p w:rsidR="00000000" w:rsidDel="00000000" w:rsidP="00000000" w:rsidRDefault="00000000" w:rsidRPr="00000000" w14:paraId="0000007B">
      <w:pPr>
        <w:numPr>
          <w:ilvl w:val="0"/>
          <w:numId w:val="3"/>
        </w:numPr>
        <w:pBdr>
          <w:top w:color="auto" w:space="0" w:sz="0" w:val="none"/>
          <w:bottom w:color="auto" w:space="0" w:sz="0" w:val="none"/>
          <w:right w:color="auto" w:space="0" w:sz="0" w:val="none"/>
          <w:between w:color="auto" w:space="0" w:sz="0" w:val="none"/>
        </w:pBdr>
        <w:shd w:fill="ffffff" w:val="clear"/>
        <w:spacing w:line="360" w:lineRule="auto"/>
        <w:ind w:left="720" w:hanging="360"/>
        <w:jc w:val="both"/>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Target: Gas to make up 75% of installed capacity</w:t>
      </w:r>
    </w:p>
    <w:p w:rsidR="00000000" w:rsidDel="00000000" w:rsidP="00000000" w:rsidRDefault="00000000" w:rsidRPr="00000000" w14:paraId="0000007C">
      <w:pPr>
        <w:shd w:fill="ffffff" w:val="clear"/>
        <w:spacing w:line="360" w:lineRule="auto"/>
        <w:rPr>
          <w:rFonts w:ascii="Century Gothic" w:cs="Century Gothic" w:eastAsia="Century Gothic" w:hAnsi="Century Gothic"/>
          <w:b w:val="1"/>
          <w:bCs w:val="1"/>
          <w:sz w:val="24"/>
          <w:szCs w:val="24"/>
        </w:rPr>
      </w:pPr>
      <w:r w:rsidDel="00000000" w:rsidR="00000000" w:rsidRPr="00000000">
        <w:rPr>
          <w:rFonts w:ascii="Century Gothic" w:cs="Century Gothic" w:eastAsia="Century Gothic" w:hAnsi="Century Gothic"/>
          <w:sz w:val="24"/>
          <w:szCs w:val="24"/>
          <w:rtl w:val="0"/>
        </w:rPr>
        <w:t xml:space="preserve">3. </w:t>
      </w:r>
      <w:r w:rsidDel="00000000" w:rsidR="00000000" w:rsidRPr="00000000">
        <w:rPr>
          <w:rFonts w:ascii="Century Gothic" w:cs="Century Gothic" w:eastAsia="Century Gothic" w:hAnsi="Century Gothic"/>
          <w:b w:val="1"/>
          <w:bCs w:val="1"/>
          <w:sz w:val="24"/>
          <w:szCs w:val="24"/>
          <w:rtl w:val="0"/>
        </w:rPr>
        <w:t xml:space="preserve">Pipeline Transport &amp; Regional Integration</w:t>
      </w:r>
    </w:p>
    <w:p w:rsidR="00000000" w:rsidDel="00000000" w:rsidP="00000000" w:rsidRDefault="00000000" w:rsidRPr="00000000" w14:paraId="0000007D">
      <w:pPr>
        <w:numPr>
          <w:ilvl w:val="0"/>
          <w:numId w:val="1"/>
        </w:numPr>
        <w:pBdr>
          <w:top w:color="auto" w:space="0" w:sz="0" w:val="none"/>
          <w:bottom w:color="auto" w:space="0" w:sz="0" w:val="none"/>
          <w:right w:color="auto" w:space="0" w:sz="0" w:val="none"/>
          <w:between w:color="auto" w:space="0" w:sz="0" w:val="none"/>
        </w:pBdr>
        <w:shd w:fill="ffffff" w:val="clear"/>
        <w:spacing w:line="360" w:lineRule="auto"/>
        <w:ind w:left="720" w:hanging="360"/>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400 km national grid with connection to African Atlantic Gas Pipeline</w:t>
      </w:r>
    </w:p>
    <w:p w:rsidR="00000000" w:rsidDel="00000000" w:rsidP="00000000" w:rsidRDefault="00000000" w:rsidRPr="00000000" w14:paraId="0000007E">
      <w:pPr>
        <w:numPr>
          <w:ilvl w:val="0"/>
          <w:numId w:val="1"/>
        </w:numPr>
        <w:pBdr>
          <w:top w:color="auto" w:space="0" w:sz="0" w:val="none"/>
          <w:bottom w:color="auto" w:space="0" w:sz="0" w:val="none"/>
          <w:right w:color="auto" w:space="0" w:sz="0" w:val="none"/>
          <w:between w:color="auto" w:space="0" w:sz="0" w:val="none"/>
        </w:pBdr>
        <w:shd w:fill="ffffff" w:val="clear"/>
        <w:spacing w:line="360" w:lineRule="auto"/>
        <w:ind w:left="720" w:hanging="360"/>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Enables both domestic distribution and regional export</w:t>
      </w:r>
    </w:p>
    <w:p w:rsidR="00000000" w:rsidDel="00000000" w:rsidP="00000000" w:rsidRDefault="00000000" w:rsidRPr="00000000" w14:paraId="0000007F">
      <w:pPr>
        <w:shd w:fill="ffffff" w:val="clear"/>
        <w:spacing w:line="360" w:lineRule="auto"/>
        <w:rPr>
          <w:rFonts w:ascii="Century Gothic" w:cs="Century Gothic" w:eastAsia="Century Gothic" w:hAnsi="Century Gothic"/>
          <w:b w:val="1"/>
          <w:bCs w:val="1"/>
          <w:sz w:val="24"/>
          <w:szCs w:val="24"/>
        </w:rPr>
      </w:pPr>
      <w:r w:rsidDel="00000000" w:rsidR="00000000" w:rsidRPr="00000000">
        <w:rPr>
          <w:rFonts w:ascii="Century Gothic" w:cs="Century Gothic" w:eastAsia="Century Gothic" w:hAnsi="Century Gothic"/>
          <w:sz w:val="24"/>
          <w:szCs w:val="24"/>
          <w:rtl w:val="0"/>
        </w:rPr>
        <w:t xml:space="preserve">4. </w:t>
      </w:r>
      <w:r w:rsidDel="00000000" w:rsidR="00000000" w:rsidRPr="00000000">
        <w:rPr>
          <w:rFonts w:ascii="Century Gothic" w:cs="Century Gothic" w:eastAsia="Century Gothic" w:hAnsi="Century Gothic"/>
          <w:b w:val="1"/>
          <w:bCs w:val="1"/>
          <w:sz w:val="24"/>
          <w:szCs w:val="24"/>
          <w:rtl w:val="0"/>
        </w:rPr>
        <w:t xml:space="preserve">Gas-to-Industry (Fertilizer, Petrochemicals, Steel, Cement)</w:t>
      </w:r>
    </w:p>
    <w:p w:rsidR="00000000" w:rsidDel="00000000" w:rsidP="00000000" w:rsidRDefault="00000000" w:rsidRPr="00000000" w14:paraId="00000080">
      <w:pPr>
        <w:numPr>
          <w:ilvl w:val="0"/>
          <w:numId w:val="6"/>
        </w:numPr>
        <w:pBdr>
          <w:top w:color="auto" w:space="0" w:sz="0" w:val="none"/>
          <w:bottom w:color="auto" w:space="0" w:sz="0" w:val="none"/>
          <w:right w:color="auto" w:space="0" w:sz="0" w:val="none"/>
          <w:between w:color="auto" w:space="0" w:sz="0" w:val="none"/>
        </w:pBdr>
        <w:shd w:fill="ffffff" w:val="clear"/>
        <w:spacing w:line="360" w:lineRule="auto"/>
        <w:ind w:left="720" w:hanging="360"/>
        <w:jc w:val="both"/>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Yakaar-Teranga Phase 2 planned to support downstream industrialization</w:t>
      </w:r>
    </w:p>
    <w:p w:rsidR="00000000" w:rsidDel="00000000" w:rsidP="00000000" w:rsidRDefault="00000000" w:rsidRPr="00000000" w14:paraId="00000081">
      <w:pPr>
        <w:numPr>
          <w:ilvl w:val="0"/>
          <w:numId w:val="6"/>
        </w:numPr>
        <w:pBdr>
          <w:top w:color="auto" w:space="0" w:sz="0" w:val="none"/>
          <w:bottom w:color="auto" w:space="0" w:sz="0" w:val="none"/>
          <w:right w:color="auto" w:space="0" w:sz="0" w:val="none"/>
          <w:between w:color="auto" w:space="0" w:sz="0" w:val="none"/>
        </w:pBdr>
        <w:shd w:fill="ffffff" w:val="clear"/>
        <w:spacing w:line="360" w:lineRule="auto"/>
        <w:ind w:left="720" w:hanging="360"/>
        <w:jc w:val="both"/>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Estimated $5 billion needed for fertilizer, petrochemical, steel, and cement production</w:t>
      </w:r>
    </w:p>
    <w:p w:rsidR="00000000" w:rsidDel="00000000" w:rsidP="00000000" w:rsidRDefault="00000000" w:rsidRPr="00000000" w14:paraId="00000082">
      <w:pPr>
        <w:shd w:fill="ffffff" w:val="clear"/>
        <w:spacing w:line="360" w:lineRule="auto"/>
        <w:rPr>
          <w:rFonts w:ascii="Century Gothic" w:cs="Century Gothic" w:eastAsia="Century Gothic" w:hAnsi="Century Gothic"/>
          <w:b w:val="1"/>
          <w:bCs w:val="1"/>
          <w:sz w:val="24"/>
          <w:szCs w:val="24"/>
        </w:rPr>
      </w:pPr>
      <w:r w:rsidDel="00000000" w:rsidR="00000000" w:rsidRPr="00000000">
        <w:rPr>
          <w:rFonts w:ascii="Century Gothic" w:cs="Century Gothic" w:eastAsia="Century Gothic" w:hAnsi="Century Gothic"/>
          <w:sz w:val="24"/>
          <w:szCs w:val="24"/>
          <w:rtl w:val="0"/>
        </w:rPr>
        <w:t xml:space="preserve">5. </w:t>
      </w:r>
      <w:r w:rsidDel="00000000" w:rsidR="00000000" w:rsidRPr="00000000">
        <w:rPr>
          <w:rFonts w:ascii="Century Gothic" w:cs="Century Gothic" w:eastAsia="Century Gothic" w:hAnsi="Century Gothic"/>
          <w:b w:val="1"/>
          <w:bCs w:val="1"/>
          <w:sz w:val="24"/>
          <w:szCs w:val="24"/>
          <w:rtl w:val="0"/>
        </w:rPr>
        <w:t xml:space="preserve">Domestic Market Obligations (DMOs)</w:t>
      </w:r>
    </w:p>
    <w:p w:rsidR="00000000" w:rsidDel="00000000" w:rsidP="00000000" w:rsidRDefault="00000000" w:rsidRPr="00000000" w14:paraId="00000083">
      <w:pPr>
        <w:numPr>
          <w:ilvl w:val="0"/>
          <w:numId w:val="2"/>
        </w:numPr>
        <w:pBdr>
          <w:top w:color="auto" w:space="0" w:sz="0" w:val="none"/>
          <w:bottom w:color="auto" w:space="0" w:sz="0" w:val="none"/>
          <w:right w:color="auto" w:space="0" w:sz="0" w:val="none"/>
          <w:between w:color="auto" w:space="0" w:sz="0" w:val="none"/>
        </w:pBdr>
        <w:shd w:fill="ffffff" w:val="clear"/>
        <w:spacing w:line="360" w:lineRule="auto"/>
        <w:ind w:left="720" w:hanging="360"/>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GTA Phase 1 allocates ~20–25% of output to domestic market</w:t>
      </w:r>
    </w:p>
    <w:p w:rsidR="00000000" w:rsidDel="00000000" w:rsidP="00000000" w:rsidRDefault="00000000" w:rsidRPr="00000000" w14:paraId="00000084">
      <w:pPr>
        <w:numPr>
          <w:ilvl w:val="0"/>
          <w:numId w:val="2"/>
        </w:numPr>
        <w:pBdr>
          <w:top w:color="auto" w:space="0" w:sz="0" w:val="none"/>
          <w:bottom w:color="auto" w:space="0" w:sz="0" w:val="none"/>
          <w:right w:color="auto" w:space="0" w:sz="0" w:val="none"/>
          <w:between w:color="auto" w:space="0" w:sz="0" w:val="none"/>
        </w:pBdr>
        <w:shd w:fill="ffffff" w:val="clear"/>
        <w:spacing w:line="360" w:lineRule="auto"/>
        <w:ind w:left="720" w:hanging="360"/>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Yakaar-Teranga prioritizes domestic supply over export</w:t>
      </w:r>
    </w:p>
    <w:p w:rsidR="00000000" w:rsidDel="00000000" w:rsidP="00000000" w:rsidRDefault="00000000" w:rsidRPr="00000000" w14:paraId="00000085">
      <w:pPr>
        <w:pBdr>
          <w:top w:color="auto" w:space="0" w:sz="0" w:val="none"/>
          <w:bottom w:color="auto" w:space="0" w:sz="0" w:val="none"/>
          <w:right w:color="auto" w:space="0" w:sz="0" w:val="none"/>
          <w:between w:color="auto" w:space="0" w:sz="0" w:val="none"/>
        </w:pBdr>
        <w:shd w:fill="ffffff" w:val="clear"/>
        <w:spacing w:line="360" w:lineRule="auto"/>
        <w:ind w:left="0" w:firstLine="0"/>
        <w:rPr>
          <w:rFonts w:ascii="Century Gothic" w:cs="Century Gothic" w:eastAsia="Century Gothic" w:hAnsi="Century Gothic"/>
          <w:sz w:val="24"/>
          <w:szCs w:val="24"/>
        </w:rPr>
      </w:pPr>
      <w:r w:rsidDel="00000000" w:rsidR="00000000" w:rsidRPr="00000000">
        <w:rPr>
          <w:rtl w:val="0"/>
        </w:rPr>
      </w:r>
    </w:p>
    <w:p w:rsidR="00000000" w:rsidDel="00000000" w:rsidP="00000000" w:rsidRDefault="00000000" w:rsidRPr="00000000" w14:paraId="00000086">
      <w:pPr>
        <w:shd w:fill="ffffff" w:val="clear"/>
        <w:spacing w:line="360" w:lineRule="auto"/>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Pr>
        <w:drawing>
          <wp:inline distB="114300" distT="114300" distL="114300" distR="114300">
            <wp:extent cx="5943600" cy="5715000"/>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5943600" cy="5715000"/>
                    </a:xfrm>
                    <a:prstGeom prst="rect"/>
                    <a:ln/>
                  </pic:spPr>
                </pic:pic>
              </a:graphicData>
            </a:graphic>
          </wp:inline>
        </w:drawing>
      </w:r>
      <w:r w:rsidDel="00000000" w:rsidR="00000000" w:rsidRPr="00000000">
        <w:rPr>
          <w:rFonts w:ascii="Century Gothic" w:cs="Century Gothic" w:eastAsia="Century Gothic" w:hAnsi="Century Gothic"/>
          <w:sz w:val="24"/>
          <w:szCs w:val="24"/>
          <w:rtl w:val="0"/>
        </w:rPr>
        <w:t xml:space="preserve"> </w:t>
      </w:r>
    </w:p>
    <w:p w:rsidR="00000000" w:rsidDel="00000000" w:rsidP="00000000" w:rsidRDefault="00000000" w:rsidRPr="00000000" w14:paraId="00000087">
      <w:pPr>
        <w:shd w:fill="ffffff" w:val="clear"/>
        <w:spacing w:line="360" w:lineRule="auto"/>
        <w:rPr>
          <w:rFonts w:ascii="Century Gothic" w:cs="Century Gothic" w:eastAsia="Century Gothic" w:hAnsi="Century Gothic"/>
          <w:b w:val="1"/>
          <w:bCs w:val="1"/>
          <w:sz w:val="24"/>
          <w:szCs w:val="24"/>
        </w:rPr>
      </w:pPr>
      <w:r w:rsidDel="00000000" w:rsidR="00000000" w:rsidRPr="00000000">
        <w:rPr>
          <w:rFonts w:ascii="Century Gothic" w:cs="Century Gothic" w:eastAsia="Century Gothic" w:hAnsi="Century Gothic"/>
          <w:b w:val="1"/>
          <w:bCs w:val="1"/>
          <w:sz w:val="24"/>
          <w:szCs w:val="24"/>
          <w:rtl w:val="0"/>
        </w:rPr>
        <w:t xml:space="preserve">EXPORT AND DOMESTIC PROSPECTS</w:t>
      </w:r>
    </w:p>
    <w:p w:rsidR="00000000" w:rsidDel="00000000" w:rsidP="00000000" w:rsidRDefault="00000000" w:rsidRPr="00000000" w14:paraId="00000088">
      <w:pPr>
        <w:shd w:fill="ffffff" w:val="clear"/>
        <w:spacing w:line="360" w:lineRule="auto"/>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b w:val="1"/>
          <w:bCs w:val="1"/>
          <w:sz w:val="24"/>
          <w:szCs w:val="24"/>
          <w:rtl w:val="0"/>
        </w:rPr>
        <w:t xml:space="preserve">Export Prospects</w:t>
      </w:r>
      <w:r w:rsidDel="00000000" w:rsidR="00000000" w:rsidRPr="00000000">
        <w:rPr>
          <w:rtl w:val="0"/>
        </w:rPr>
      </w:r>
    </w:p>
    <w:tbl>
      <w:tblPr>
        <w:tblStyle w:val="Table4"/>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120"/>
        <w:gridCol w:w="3120"/>
        <w:gridCol w:w="3120"/>
        <w:tblGridChange w:id="0">
          <w:tblGrid>
            <w:gridCol w:w="3120"/>
            <w:gridCol w:w="3120"/>
            <w:gridCol w:w="3120"/>
          </w:tblGrid>
        </w:tblGridChange>
      </w:tblGrid>
      <w:tr>
        <w:trPr>
          <w:cantSplit w:val="0"/>
          <w:tblHeader w:val="0"/>
        </w:trPr>
        <w:tc>
          <w:tcPr>
            <w:shd w:fill="073763" w:val="clear"/>
            <w:tcMar>
              <w:top w:w="100.0" w:type="dxa"/>
              <w:left w:w="100.0" w:type="dxa"/>
              <w:bottom w:w="100.0" w:type="dxa"/>
              <w:right w:w="100.0" w:type="dxa"/>
            </w:tcMar>
            <w:vAlign w:val="top"/>
          </w:tcPr>
          <w:p w:rsidR="00000000" w:rsidDel="00000000" w:rsidP="00000000" w:rsidRDefault="00000000" w:rsidRPr="00000000" w14:paraId="000000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b w:val="1"/>
                <w:bCs w:val="1"/>
                <w:color w:val="ffffff"/>
                <w:sz w:val="24"/>
                <w:szCs w:val="24"/>
              </w:rPr>
            </w:pPr>
            <w:r w:rsidDel="00000000" w:rsidR="00000000" w:rsidRPr="00000000">
              <w:rPr>
                <w:rFonts w:ascii="Century Gothic" w:cs="Century Gothic" w:eastAsia="Century Gothic" w:hAnsi="Century Gothic"/>
                <w:b w:val="1"/>
                <w:bCs w:val="1"/>
                <w:color w:val="ffffff"/>
                <w:sz w:val="24"/>
                <w:szCs w:val="24"/>
                <w:rtl w:val="0"/>
              </w:rPr>
              <w:t xml:space="preserve">Phase</w:t>
            </w:r>
          </w:p>
        </w:tc>
        <w:tc>
          <w:tcPr>
            <w:shd w:fill="073763" w:val="clear"/>
            <w:tcMar>
              <w:top w:w="100.0" w:type="dxa"/>
              <w:left w:w="100.0" w:type="dxa"/>
              <w:bottom w:w="100.0" w:type="dxa"/>
              <w:right w:w="100.0" w:type="dxa"/>
            </w:tcMar>
            <w:vAlign w:val="top"/>
          </w:tcPr>
          <w:p w:rsidR="00000000" w:rsidDel="00000000" w:rsidP="00000000" w:rsidRDefault="00000000" w:rsidRPr="00000000" w14:paraId="000000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b w:val="1"/>
                <w:bCs w:val="1"/>
                <w:color w:val="ffffff"/>
                <w:sz w:val="24"/>
                <w:szCs w:val="24"/>
              </w:rPr>
            </w:pPr>
            <w:r w:rsidDel="00000000" w:rsidR="00000000" w:rsidRPr="00000000">
              <w:rPr>
                <w:rFonts w:ascii="Century Gothic" w:cs="Century Gothic" w:eastAsia="Century Gothic" w:hAnsi="Century Gothic"/>
                <w:b w:val="1"/>
                <w:bCs w:val="1"/>
                <w:color w:val="ffffff"/>
                <w:sz w:val="24"/>
                <w:szCs w:val="24"/>
                <w:rtl w:val="0"/>
              </w:rPr>
              <w:t xml:space="preserve">Status</w:t>
            </w:r>
          </w:p>
        </w:tc>
        <w:tc>
          <w:tcPr>
            <w:shd w:fill="073763" w:val="clear"/>
            <w:tcMar>
              <w:top w:w="100.0" w:type="dxa"/>
              <w:left w:w="100.0" w:type="dxa"/>
              <w:bottom w:w="100.0" w:type="dxa"/>
              <w:right w:w="100.0" w:type="dxa"/>
            </w:tcMar>
            <w:vAlign w:val="top"/>
          </w:tcPr>
          <w:p w:rsidR="00000000" w:rsidDel="00000000" w:rsidP="00000000" w:rsidRDefault="00000000" w:rsidRPr="00000000" w14:paraId="000000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b w:val="1"/>
                <w:bCs w:val="1"/>
                <w:color w:val="ffffff"/>
                <w:sz w:val="24"/>
                <w:szCs w:val="24"/>
              </w:rPr>
            </w:pPr>
            <w:r w:rsidDel="00000000" w:rsidR="00000000" w:rsidRPr="00000000">
              <w:rPr>
                <w:rFonts w:ascii="Century Gothic" w:cs="Century Gothic" w:eastAsia="Century Gothic" w:hAnsi="Century Gothic"/>
                <w:b w:val="1"/>
                <w:bCs w:val="1"/>
                <w:color w:val="ffffff"/>
                <w:sz w:val="24"/>
                <w:szCs w:val="24"/>
                <w:rtl w:val="0"/>
              </w:rPr>
              <w:t xml:space="preserve">Volume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GTA phase 1</w:t>
            </w:r>
          </w:p>
        </w:tc>
        <w:tc>
          <w:tcPr>
            <w:shd w:fill="auto" w:val="clear"/>
            <w:tcMar>
              <w:top w:w="100.0" w:type="dxa"/>
              <w:left w:w="100.0" w:type="dxa"/>
              <w:bottom w:w="100.0" w:type="dxa"/>
              <w:right w:w="100.0" w:type="dxa"/>
            </w:tcMar>
            <w:vAlign w:val="top"/>
          </w:tcPr>
          <w:p w:rsidR="00000000" w:rsidDel="00000000" w:rsidP="00000000" w:rsidRDefault="00000000" w:rsidRPr="00000000" w14:paraId="000000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Producing</w:t>
            </w:r>
          </w:p>
        </w:tc>
        <w:tc>
          <w:tcPr>
            <w:shd w:fill="auto" w:val="clear"/>
            <w:tcMar>
              <w:top w:w="100.0" w:type="dxa"/>
              <w:left w:w="100.0" w:type="dxa"/>
              <w:bottom w:w="100.0" w:type="dxa"/>
              <w:right w:w="100.0" w:type="dxa"/>
            </w:tcMar>
            <w:vAlign w:val="top"/>
          </w:tcPr>
          <w:p w:rsidR="00000000" w:rsidDel="00000000" w:rsidP="00000000" w:rsidRDefault="00000000" w:rsidRPr="00000000" w14:paraId="000000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Approximately 2.7 Mtpa LNG; fully contracted to BP via SPA</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GTA Phase 2</w:t>
            </w:r>
          </w:p>
        </w:tc>
        <w:tc>
          <w:tcPr>
            <w:shd w:fill="auto" w:val="clear"/>
            <w:tcMar>
              <w:top w:w="100.0" w:type="dxa"/>
              <w:left w:w="100.0" w:type="dxa"/>
              <w:bottom w:w="100.0" w:type="dxa"/>
              <w:right w:w="100.0" w:type="dxa"/>
            </w:tcMar>
            <w:vAlign w:val="top"/>
          </w:tcPr>
          <w:p w:rsidR="00000000" w:rsidDel="00000000" w:rsidP="00000000" w:rsidRDefault="00000000" w:rsidRPr="00000000" w14:paraId="000000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Pre-FID</w:t>
            </w:r>
          </w:p>
        </w:tc>
        <w:tc>
          <w:tcPr>
            <w:shd w:fill="auto" w:val="clear"/>
            <w:tcMar>
              <w:top w:w="100.0" w:type="dxa"/>
              <w:left w:w="100.0" w:type="dxa"/>
              <w:bottom w:w="100.0" w:type="dxa"/>
              <w:right w:w="100.0" w:type="dxa"/>
            </w:tcMar>
            <w:vAlign w:val="top"/>
          </w:tcPr>
          <w:p w:rsidR="00000000" w:rsidDel="00000000" w:rsidP="00000000" w:rsidRDefault="00000000" w:rsidRPr="00000000" w14:paraId="000000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Approximately+3.0 Mtpa; could roughly double capacity before 2030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GTA phase 3</w:t>
            </w:r>
          </w:p>
        </w:tc>
        <w:tc>
          <w:tcPr>
            <w:shd w:fill="auto" w:val="clear"/>
            <w:tcMar>
              <w:top w:w="100.0" w:type="dxa"/>
              <w:left w:w="100.0" w:type="dxa"/>
              <w:bottom w:w="100.0" w:type="dxa"/>
              <w:right w:w="100.0" w:type="dxa"/>
            </w:tcMar>
            <w:vAlign w:val="top"/>
          </w:tcPr>
          <w:p w:rsidR="00000000" w:rsidDel="00000000" w:rsidP="00000000" w:rsidRDefault="00000000" w:rsidRPr="00000000" w14:paraId="000000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Long-term</w:t>
            </w:r>
          </w:p>
        </w:tc>
        <w:tc>
          <w:tcPr>
            <w:shd w:fill="auto" w:val="clear"/>
            <w:tcMar>
              <w:top w:w="100.0" w:type="dxa"/>
              <w:left w:w="100.0" w:type="dxa"/>
              <w:bottom w:w="100.0" w:type="dxa"/>
              <w:right w:w="100.0" w:type="dxa"/>
            </w:tcMar>
            <w:vAlign w:val="top"/>
          </w:tcPr>
          <w:p w:rsidR="00000000" w:rsidDel="00000000" w:rsidP="00000000" w:rsidRDefault="00000000" w:rsidRPr="00000000" w14:paraId="000000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Up to 10 Mtpa total production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Yakaar-Teranga</w:t>
            </w:r>
          </w:p>
        </w:tc>
        <w:tc>
          <w:tcPr>
            <w:shd w:fill="auto" w:val="clear"/>
            <w:tcMar>
              <w:top w:w="100.0" w:type="dxa"/>
              <w:left w:w="100.0" w:type="dxa"/>
              <w:bottom w:w="100.0" w:type="dxa"/>
              <w:right w:w="100.0" w:type="dxa"/>
            </w:tcMar>
            <w:vAlign w:val="top"/>
          </w:tcPr>
          <w:p w:rsidR="00000000" w:rsidDel="00000000" w:rsidP="00000000" w:rsidRDefault="00000000" w:rsidRPr="00000000" w14:paraId="000000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Planning</w:t>
            </w:r>
          </w:p>
        </w:tc>
        <w:tc>
          <w:tcPr>
            <w:shd w:fill="auto" w:val="clear"/>
            <w:tcMar>
              <w:top w:w="100.0" w:type="dxa"/>
              <w:left w:w="100.0" w:type="dxa"/>
              <w:bottom w:w="100.0" w:type="dxa"/>
              <w:right w:w="100.0" w:type="dxa"/>
            </w:tcMar>
            <w:vAlign w:val="top"/>
          </w:tcPr>
          <w:p w:rsidR="00000000" w:rsidDel="00000000" w:rsidP="00000000" w:rsidRDefault="00000000" w:rsidRPr="00000000" w14:paraId="000000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Export optionality retained, but domestic priority dominates</w:t>
            </w:r>
          </w:p>
        </w:tc>
      </w:tr>
    </w:tbl>
    <w:p w:rsidR="00000000" w:rsidDel="00000000" w:rsidP="00000000" w:rsidRDefault="00000000" w:rsidRPr="00000000" w14:paraId="00000098">
      <w:pPr>
        <w:pBdr>
          <w:top w:color="auto" w:space="0" w:sz="0" w:val="none"/>
          <w:bottom w:color="auto" w:space="0" w:sz="0" w:val="none"/>
          <w:right w:color="auto" w:space="0" w:sz="0" w:val="none"/>
          <w:between w:color="auto" w:space="0" w:sz="0" w:val="none"/>
        </w:pBdr>
        <w:shd w:fill="ffffff" w:val="clear"/>
        <w:spacing w:line="360" w:lineRule="auto"/>
        <w:ind w:left="0" w:firstLine="0"/>
        <w:rPr>
          <w:rFonts w:ascii="Century Gothic" w:cs="Century Gothic" w:eastAsia="Century Gothic" w:hAnsi="Century Gothic"/>
          <w:sz w:val="24"/>
          <w:szCs w:val="24"/>
        </w:rPr>
      </w:pPr>
      <w:r w:rsidDel="00000000" w:rsidR="00000000" w:rsidRPr="00000000">
        <w:rPr>
          <w:rtl w:val="0"/>
        </w:rPr>
      </w:r>
    </w:p>
    <w:p w:rsidR="00000000" w:rsidDel="00000000" w:rsidP="00000000" w:rsidRDefault="00000000" w:rsidRPr="00000000" w14:paraId="00000099">
      <w:pPr>
        <w:shd w:fill="ffffff" w:val="clear"/>
        <w:spacing w:line="360" w:lineRule="auto"/>
        <w:rPr>
          <w:rFonts w:ascii="Century Gothic" w:cs="Century Gothic" w:eastAsia="Century Gothic" w:hAnsi="Century Gothic"/>
          <w:b w:val="1"/>
          <w:bCs w:val="1"/>
          <w:sz w:val="24"/>
          <w:szCs w:val="24"/>
        </w:rPr>
      </w:pPr>
      <w:r w:rsidDel="00000000" w:rsidR="00000000" w:rsidRPr="00000000">
        <w:rPr>
          <w:rFonts w:ascii="Century Gothic" w:cs="Century Gothic" w:eastAsia="Century Gothic" w:hAnsi="Century Gothic"/>
          <w:b w:val="1"/>
          <w:bCs w:val="1"/>
          <w:sz w:val="24"/>
          <w:szCs w:val="24"/>
          <w:rtl w:val="0"/>
        </w:rPr>
        <w:t xml:space="preserve">Risk Factors</w:t>
      </w:r>
    </w:p>
    <w:p w:rsidR="00000000" w:rsidDel="00000000" w:rsidP="00000000" w:rsidRDefault="00000000" w:rsidRPr="00000000" w14:paraId="0000009A">
      <w:pPr>
        <w:numPr>
          <w:ilvl w:val="0"/>
          <w:numId w:val="4"/>
        </w:numPr>
        <w:pBdr>
          <w:top w:color="auto" w:space="0" w:sz="0" w:val="none"/>
          <w:bottom w:color="auto" w:space="0" w:sz="0" w:val="none"/>
          <w:right w:color="auto" w:space="0" w:sz="0" w:val="none"/>
          <w:between w:color="auto" w:space="0" w:sz="0" w:val="none"/>
        </w:pBdr>
        <w:shd w:fill="ffffff" w:val="clear"/>
        <w:spacing w:line="360" w:lineRule="auto"/>
        <w:ind w:left="720" w:hanging="360"/>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Global LNG price volatility and oversupply.</w:t>
      </w:r>
    </w:p>
    <w:p w:rsidR="00000000" w:rsidDel="00000000" w:rsidP="00000000" w:rsidRDefault="00000000" w:rsidRPr="00000000" w14:paraId="0000009B">
      <w:pPr>
        <w:numPr>
          <w:ilvl w:val="0"/>
          <w:numId w:val="4"/>
        </w:numPr>
        <w:pBdr>
          <w:top w:color="auto" w:space="0" w:sz="0" w:val="none"/>
          <w:bottom w:color="auto" w:space="0" w:sz="0" w:val="none"/>
          <w:right w:color="auto" w:space="0" w:sz="0" w:val="none"/>
          <w:between w:color="auto" w:space="0" w:sz="0" w:val="none"/>
        </w:pBdr>
        <w:shd w:fill="ffffff" w:val="clear"/>
        <w:spacing w:line="360" w:lineRule="auto"/>
        <w:ind w:left="720" w:hanging="360"/>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State capacity constraints following Yakaar-Teranga nationalization.</w:t>
      </w:r>
    </w:p>
    <w:p w:rsidR="00000000" w:rsidDel="00000000" w:rsidP="00000000" w:rsidRDefault="00000000" w:rsidRPr="00000000" w14:paraId="0000009C">
      <w:pPr>
        <w:numPr>
          <w:ilvl w:val="0"/>
          <w:numId w:val="4"/>
        </w:numPr>
        <w:pBdr>
          <w:top w:color="auto" w:space="0" w:sz="0" w:val="none"/>
          <w:bottom w:color="auto" w:space="0" w:sz="0" w:val="none"/>
          <w:right w:color="auto" w:space="0" w:sz="0" w:val="none"/>
          <w:between w:color="auto" w:space="0" w:sz="0" w:val="none"/>
        </w:pBdr>
        <w:shd w:fill="ffffff" w:val="clear"/>
        <w:spacing w:line="360" w:lineRule="auto"/>
        <w:ind w:left="720" w:hanging="360"/>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Security risks in the Sahel affecting cross-border infrastructure.</w:t>
      </w:r>
    </w:p>
    <w:p w:rsidR="00000000" w:rsidDel="00000000" w:rsidP="00000000" w:rsidRDefault="00000000" w:rsidRPr="00000000" w14:paraId="0000009D">
      <w:pPr>
        <w:numPr>
          <w:ilvl w:val="0"/>
          <w:numId w:val="4"/>
        </w:numPr>
        <w:pBdr>
          <w:top w:color="auto" w:space="0" w:sz="0" w:val="none"/>
          <w:bottom w:color="auto" w:space="0" w:sz="0" w:val="none"/>
          <w:right w:color="auto" w:space="0" w:sz="0" w:val="none"/>
          <w:between w:color="auto" w:space="0" w:sz="0" w:val="none"/>
        </w:pBdr>
        <w:shd w:fill="ffffff" w:val="clear"/>
        <w:spacing w:line="360" w:lineRule="auto"/>
        <w:ind w:left="720" w:hanging="360"/>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Domestic market pricing below international netback levels.</w:t>
      </w:r>
    </w:p>
    <w:p w:rsidR="00000000" w:rsidDel="00000000" w:rsidP="00000000" w:rsidRDefault="00000000" w:rsidRPr="00000000" w14:paraId="0000009E">
      <w:pPr>
        <w:pStyle w:val="Heading1"/>
        <w:shd w:fill="ffffff" w:val="clear"/>
        <w:spacing w:line="360" w:lineRule="auto"/>
        <w:rPr>
          <w:rFonts w:ascii="Century Gothic" w:cs="Century Gothic" w:eastAsia="Century Gothic" w:hAnsi="Century Gothic"/>
          <w:b w:val="1"/>
          <w:bCs w:val="1"/>
        </w:rPr>
      </w:pPr>
      <w:bookmarkStart w:colFirst="0" w:colLast="0" w:name="_n3rlf7jn4x5a" w:id="6"/>
      <w:bookmarkEnd w:id="6"/>
      <w:r w:rsidDel="00000000" w:rsidR="00000000" w:rsidRPr="00000000">
        <w:rPr>
          <w:rFonts w:ascii="Century Gothic" w:cs="Century Gothic" w:eastAsia="Century Gothic" w:hAnsi="Century Gothic"/>
          <w:b w:val="1"/>
          <w:bCs w:val="1"/>
          <w:rtl w:val="0"/>
        </w:rPr>
        <w:t xml:space="preserve">CONCLUSION</w:t>
      </w:r>
      <w:r w:rsidDel="00000000" w:rsidR="00000000" w:rsidRPr="00000000">
        <w:rPr>
          <w:rtl w:val="0"/>
        </w:rPr>
      </w:r>
    </w:p>
    <w:p w:rsidR="00000000" w:rsidDel="00000000" w:rsidP="00000000" w:rsidRDefault="00000000" w:rsidRPr="00000000" w14:paraId="0000009F">
      <w:pPr>
        <w:shd w:fill="ffffff" w:val="clear"/>
        <w:spacing w:line="360" w:lineRule="auto"/>
        <w:jc w:val="both"/>
        <w:rPr>
          <w:i w:val="1"/>
          <w:iCs w:val="1"/>
        </w:rPr>
      </w:pPr>
      <w:r w:rsidDel="00000000" w:rsidR="00000000" w:rsidRPr="00000000">
        <w:rPr>
          <w:rFonts w:ascii="Century Gothic" w:cs="Century Gothic" w:eastAsia="Century Gothic" w:hAnsi="Century Gothic"/>
          <w:sz w:val="24"/>
          <w:szCs w:val="24"/>
          <w:rtl w:val="0"/>
        </w:rPr>
        <w:t xml:space="preserve">Senegal's gas strategy represents a deliberate attempt to avoid the enclave economy pattern common to many first-generation hydrocarbon producers, where offshore wealth is extracted and exported with limited benefit to the domestic economy. By pairing GTA and Sangomar's upstream development with a purpose-built national pipeline network, binding Domestic Market Obligations, and an explicit gas-to-power target, the government has structured its policy framework to capture value at home before surplus gas is monetized abroad.</w:t>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entury Gothic">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Bdr>
        <w:top w:color="auto" w:space="0" w:sz="0" w:val="none"/>
        <w:left w:color="auto" w:space="0" w:sz="0" w:val="none"/>
        <w:bottom w:color="auto" w:space="0" w:sz="0" w:val="none"/>
        <w:right w:color="auto" w:space="0" w:sz="0" w:val="none"/>
        <w:between w:color="auto" w:space="0" w:sz="0" w:val="none"/>
      </w:pBdr>
      <w:shd w:fill="ffffff" w:val="clear"/>
      <w:spacing w:after="120" w:before="400" w:line="360" w:lineRule="auto"/>
    </w:pPr>
    <w:rPr>
      <w:sz w:val="28"/>
      <w:szCs w:val="28"/>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blPr>
  </w:style>
  <w:style w:type="table" w:styleId="Table2">
    <w:basedOn w:val="TableNormal"/>
    <w:tblPr>
      <w:tblStyleRowBandSize w:val="1"/>
      <w:tblStyleColBandSize w:val="1"/>
    </w:tblPr>
  </w:style>
  <w:style w:type="table" w:styleId="Table3">
    <w:basedOn w:val="TableNormal"/>
    <w:tblPr>
      <w:tblStyleRowBandSize w:val="1"/>
      <w:tblStyleColBandSize w:val="1"/>
      <w:tblCellMar/>
    </w:tblPr>
  </w:style>
  <w:style w:type="table" w:styleId="Table4">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CenturyGothic-regular.ttf"/><Relationship Id="rId2" Type="http://schemas.openxmlformats.org/officeDocument/2006/relationships/font" Target="fonts/CenturyGothic-bold.ttf"/><Relationship Id="rId3" Type="http://schemas.openxmlformats.org/officeDocument/2006/relationships/font" Target="fonts/CenturyGothic-italic.ttf"/><Relationship Id="rId4" Type="http://schemas.openxmlformats.org/officeDocument/2006/relationships/font" Target="fonts/CenturyGothic-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