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Century Gothic" w:cs="Century Gothic" w:eastAsia="Century Gothic" w:hAnsi="Century Gothic"/>
          <w:b w:val="1"/>
          <w:bCs w:val="1"/>
          <w:sz w:val="24"/>
          <w:szCs w:val="24"/>
        </w:rPr>
      </w:pPr>
      <w:bookmarkStart w:colFirst="0" w:colLast="0" w:name="_mt8iuax24vpi" w:id="0"/>
      <w:bookmarkEnd w:id="0"/>
      <w:r w:rsidDel="00000000" w:rsidR="00000000" w:rsidRPr="00000000">
        <w:rPr>
          <w:rFonts w:ascii="Century Gothic" w:cs="Century Gothic" w:eastAsia="Century Gothic" w:hAnsi="Century Gothic"/>
          <w:b w:val="1"/>
          <w:bCs w:val="1"/>
          <w:sz w:val="48"/>
          <w:szCs w:val="48"/>
          <w:rtl w:val="0"/>
        </w:rPr>
        <w:t xml:space="preserve">Senegal LNG Export &amp; Gas Monetization</w:t>
      </w:r>
      <w:r w:rsidDel="00000000" w:rsidR="00000000" w:rsidRPr="00000000">
        <w:rPr>
          <w:rtl w:val="0"/>
        </w:rPr>
      </w:r>
    </w:p>
    <w:p w:rsidR="00000000" w:rsidDel="00000000" w:rsidP="00000000" w:rsidRDefault="00000000" w:rsidRPr="00000000" w14:paraId="00000002">
      <w:pPr>
        <w:pStyle w:val="Heading1"/>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Century Gothic" w:cs="Century Gothic" w:eastAsia="Century Gothic" w:hAnsi="Century Gothic"/>
          <w:b w:val="1"/>
          <w:bCs w:val="1"/>
          <w:sz w:val="28"/>
          <w:szCs w:val="28"/>
        </w:rPr>
      </w:pPr>
      <w:bookmarkStart w:colFirst="0" w:colLast="0" w:name="_p8yy5uc15xze" w:id="1"/>
      <w:bookmarkEnd w:id="1"/>
      <w:r w:rsidDel="00000000" w:rsidR="00000000" w:rsidRPr="00000000">
        <w:rPr>
          <w:rFonts w:ascii="Century Gothic" w:cs="Century Gothic" w:eastAsia="Century Gothic" w:hAnsi="Century Gothic"/>
          <w:b w:val="1"/>
          <w:bCs w:val="1"/>
          <w:sz w:val="28"/>
          <w:szCs w:val="28"/>
          <w:rtl w:val="0"/>
        </w:rPr>
        <w:t xml:space="preserve">Executive Summary</w:t>
      </w:r>
    </w:p>
    <w:p w:rsidR="00000000" w:rsidDel="00000000" w:rsidP="00000000" w:rsidRDefault="00000000" w:rsidRPr="00000000" w14:paraId="00000003">
      <w:pPr>
        <w:keepLines w:val="0"/>
        <w:shd w:fill="ffffff" w:val="clear"/>
        <w:spacing w:after="0" w:before="0" w:line="360"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Senegal has emerged as one of Africa's most promising new hydrocarbon producers, transitioning from a net energy importer to an LNG exporter in under two years. The Greater Tortue Ahmeyim (GTA) Phase 1 project, a $4.8 billion cross-border development between Senegal and Mauritania, achieved first gas in December 2024, first LNG in February 2025, and is now ramping toward full commercial operations. With 2026 exports projected to nearly double to 36 LNG cargoes (~2.7 mtpa), Senegal is positioning itself as West Africa's newest energy hub. Simultaneously, the government is pursuing an ambitious domestic gas monetization agenda centered on the Yakaar-Teranga field (25 Tcf), which has shifted from an export-focused LNG project to a domestic-energy-first strategy under state-owned Petrosen. </w:t>
      </w:r>
    </w:p>
    <w:p w:rsidR="00000000" w:rsidDel="00000000" w:rsidP="00000000" w:rsidRDefault="00000000" w:rsidRPr="00000000" w14:paraId="00000004">
      <w:pPr>
        <w:pStyle w:val="Heading1"/>
        <w:shd w:fill="ffffff" w:val="clear"/>
        <w:spacing w:line="360" w:lineRule="auto"/>
        <w:rPr>
          <w:rFonts w:ascii="Century Gothic" w:cs="Century Gothic" w:eastAsia="Century Gothic" w:hAnsi="Century Gothic"/>
          <w:b w:val="1"/>
          <w:bCs w:val="1"/>
          <w:sz w:val="28"/>
          <w:szCs w:val="28"/>
        </w:rPr>
      </w:pPr>
      <w:bookmarkStart w:colFirst="0" w:colLast="0" w:name="_757czau7wt17" w:id="2"/>
      <w:bookmarkEnd w:id="2"/>
      <w:r w:rsidDel="00000000" w:rsidR="00000000" w:rsidRPr="00000000">
        <w:rPr>
          <w:rFonts w:ascii="Century Gothic" w:cs="Century Gothic" w:eastAsia="Century Gothic" w:hAnsi="Century Gothic"/>
          <w:b w:val="1"/>
          <w:bCs w:val="1"/>
          <w:sz w:val="28"/>
          <w:szCs w:val="28"/>
          <w:rtl w:val="0"/>
        </w:rPr>
        <w:t xml:space="preserve">Country Natural Gas Reserve</w:t>
      </w:r>
    </w:p>
    <w:p w:rsidR="00000000" w:rsidDel="00000000" w:rsidP="00000000" w:rsidRDefault="00000000" w:rsidRPr="00000000" w14:paraId="00000005">
      <w:pPr>
        <w:keepLines w:val="0"/>
        <w:shd w:fill="ffffff" w:val="clear"/>
        <w:spacing w:after="0" w:before="0" w:line="360"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Senegal's offshore gas endowment is substantial and growing, with multiple discoveries across the MSGBC Basin (Mauritania-Senegal-Guinea Bissau-Conakry). The Tortue field alone contains an estimated 15 Tcf of recoverable gas resource potential, with the broader basin thought to contain up to 100 Tcf of gas.</w:t>
      </w:r>
    </w:p>
    <w:p w:rsidR="00000000" w:rsidDel="00000000" w:rsidP="00000000" w:rsidRDefault="00000000" w:rsidRPr="00000000" w14:paraId="00000006">
      <w:pPr>
        <w:keepLines w:val="0"/>
        <w:shd w:fill="ffffff" w:val="clear"/>
        <w:spacing w:after="0" w:before="0" w:line="360"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The Yakaar-Teranga discovery ( extending ~200 km from Mauritania through the GTA area into Senegal), confirmed by Kosmos Energy and BP in 2019, represents Senegal's largest single gas resource at approximately 25 Tcf.</w:t>
      </w:r>
    </w:p>
    <w:tbl>
      <w:tblPr>
        <w:tblStyle w:val="Table1"/>
        <w:tblW w:w="94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20"/>
        <w:gridCol w:w="2835"/>
        <w:gridCol w:w="2280"/>
        <w:gridCol w:w="2430"/>
        <w:tblGridChange w:id="0">
          <w:tblGrid>
            <w:gridCol w:w="1920"/>
            <w:gridCol w:w="2835"/>
            <w:gridCol w:w="2280"/>
            <w:gridCol w:w="2430"/>
          </w:tblGrid>
        </w:tblGridChange>
      </w:tblGrid>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shd w:fill="073763" w:val="clear"/>
            <w:tcMar>
              <w:top w:w="40.0" w:type="dxa"/>
              <w:left w:w="40.0" w:type="dxa"/>
              <w:bottom w:w="40.0" w:type="dxa"/>
              <w:right w:w="40.0" w:type="dxa"/>
            </w:tcMar>
            <w:vAlign w:val="bottom"/>
          </w:tcPr>
          <w:p w:rsidR="00000000" w:rsidDel="00000000" w:rsidP="00000000" w:rsidRDefault="00000000" w:rsidRPr="00000000" w14:paraId="00000007">
            <w:pPr>
              <w:keepLines w:val="0"/>
              <w:widowControl w:val="0"/>
              <w:spacing w:after="0" w:before="0" w:line="360" w:lineRule="auto"/>
              <w:rPr>
                <w:rFonts w:ascii="Century Gothic" w:cs="Century Gothic" w:eastAsia="Century Gothic" w:hAnsi="Century Gothic"/>
                <w:b w:val="1"/>
                <w:bCs w:val="1"/>
                <w:color w:val="ffffff"/>
                <w:sz w:val="24"/>
                <w:szCs w:val="24"/>
                <w:highlight w:val="black"/>
              </w:rPr>
            </w:pPr>
            <w:r w:rsidDel="00000000" w:rsidR="00000000" w:rsidRPr="00000000">
              <w:rPr>
                <w:rFonts w:ascii="Century Gothic" w:cs="Century Gothic" w:eastAsia="Century Gothic" w:hAnsi="Century Gothic"/>
                <w:b w:val="1"/>
                <w:bCs w:val="1"/>
                <w:color w:val="ffffff"/>
                <w:sz w:val="24"/>
                <w:szCs w:val="24"/>
                <w:rtl w:val="0"/>
              </w:rPr>
              <w:t xml:space="preserve">Field</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shd w:fill="073763" w:val="clear"/>
            <w:tcMar>
              <w:top w:w="40.0" w:type="dxa"/>
              <w:left w:w="40.0" w:type="dxa"/>
              <w:bottom w:w="40.0" w:type="dxa"/>
              <w:right w:w="40.0" w:type="dxa"/>
            </w:tcMar>
            <w:vAlign w:val="bottom"/>
          </w:tcPr>
          <w:p w:rsidR="00000000" w:rsidDel="00000000" w:rsidP="00000000" w:rsidRDefault="00000000" w:rsidRPr="00000000" w14:paraId="00000008">
            <w:pPr>
              <w:keepLines w:val="0"/>
              <w:widowControl w:val="0"/>
              <w:spacing w:after="0" w:before="0"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Estimated Reserves</w:t>
            </w:r>
          </w:p>
        </w:tc>
        <w:tc>
          <w:tcPr>
            <w:tcBorders>
              <w:top w:color="000000" w:space="0" w:sz="4" w:val="single"/>
              <w:left w:color="cccccc" w:space="0" w:sz="4" w:val="single"/>
              <w:bottom w:color="000000" w:space="0" w:sz="4" w:val="single"/>
              <w:right w:color="000000" w:space="0" w:sz="4" w:val="single"/>
            </w:tcBorders>
            <w:shd w:fill="073763" w:val="clear"/>
            <w:tcMar>
              <w:top w:w="40.0" w:type="dxa"/>
              <w:left w:w="40.0" w:type="dxa"/>
              <w:bottom w:w="40.0" w:type="dxa"/>
              <w:right w:w="40.0" w:type="dxa"/>
            </w:tcMar>
            <w:vAlign w:val="bottom"/>
          </w:tcPr>
          <w:p w:rsidR="00000000" w:rsidDel="00000000" w:rsidP="00000000" w:rsidRDefault="00000000" w:rsidRPr="00000000" w14:paraId="00000009">
            <w:pPr>
              <w:keepLines w:val="0"/>
              <w:widowControl w:val="0"/>
              <w:spacing w:after="0" w:before="0"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Status</w:t>
            </w:r>
          </w:p>
        </w:tc>
        <w:tc>
          <w:tcPr>
            <w:tcBorders>
              <w:top w:color="000000" w:space="0" w:sz="4" w:val="single"/>
              <w:left w:color="cccccc" w:space="0" w:sz="4" w:val="single"/>
              <w:bottom w:color="000000" w:space="0" w:sz="4" w:val="single"/>
              <w:right w:color="000000" w:space="0" w:sz="4" w:val="single"/>
            </w:tcBorders>
            <w:shd w:fill="073763" w:val="clear"/>
            <w:tcMar>
              <w:top w:w="40.0" w:type="dxa"/>
              <w:left w:w="40.0" w:type="dxa"/>
              <w:bottom w:w="40.0" w:type="dxa"/>
              <w:right w:w="40.0" w:type="dxa"/>
            </w:tcMar>
            <w:vAlign w:val="bottom"/>
          </w:tcPr>
          <w:p w:rsidR="00000000" w:rsidDel="00000000" w:rsidP="00000000" w:rsidRDefault="00000000" w:rsidRPr="00000000" w14:paraId="0000000A">
            <w:pPr>
              <w:keepLines w:val="0"/>
              <w:widowControl w:val="0"/>
              <w:spacing w:after="0" w:before="0"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Primary Use</w:t>
            </w:r>
          </w:p>
        </w:tc>
      </w:tr>
      <w:tr>
        <w:trPr>
          <w:cantSplit w:val="0"/>
          <w:trHeight w:val="100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0B">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Greater Tortue Ahmeyim</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0C">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15 Tcf recoverable (50% Senegal share)</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0D">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Producing (Phase 1)</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0.0" w:type="dxa"/>
              <w:bottom w:w="40.0" w:type="dxa"/>
              <w:right w:w="0.0" w:type="dxa"/>
            </w:tcMar>
            <w:vAlign w:val="top"/>
          </w:tcPr>
          <w:p w:rsidR="00000000" w:rsidDel="00000000" w:rsidP="00000000" w:rsidRDefault="00000000" w:rsidRPr="00000000" w14:paraId="0000000E">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LNG Export + Domestic</w:t>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0F">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Yakaar-Teranga</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0">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25 Tcf recoverable</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1">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Under State Development</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0.0" w:type="dxa"/>
              <w:bottom w:w="40.0" w:type="dxa"/>
              <w:right w:w="0.0" w:type="dxa"/>
            </w:tcMar>
            <w:vAlign w:val="top"/>
          </w:tcPr>
          <w:p w:rsidR="00000000" w:rsidDel="00000000" w:rsidP="00000000" w:rsidRDefault="00000000" w:rsidRPr="00000000" w14:paraId="00000012">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Domestic Priority</w:t>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3">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Sangomar (Gas)</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4">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Approximately 4 Tcf</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5">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Producing (Oil-first)</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0.0" w:type="dxa"/>
              <w:bottom w:w="40.0" w:type="dxa"/>
              <w:right w:w="0.0" w:type="dxa"/>
            </w:tcMar>
            <w:vAlign w:val="top"/>
          </w:tcPr>
          <w:p w:rsidR="00000000" w:rsidDel="00000000" w:rsidP="00000000" w:rsidRDefault="00000000" w:rsidRPr="00000000" w14:paraId="00000016">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Associated Gas</w:t>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7">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Other Prospects</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8">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Approximately 10 Tcf (estimated)</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9">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Exploration</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A">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TBD</w:t>
            </w:r>
          </w:p>
        </w:tc>
      </w:tr>
    </w:tbl>
    <w:p w:rsidR="00000000" w:rsidDel="00000000" w:rsidP="00000000" w:rsidRDefault="00000000" w:rsidRPr="00000000" w14:paraId="0000001B">
      <w:pPr>
        <w:keepLines w:val="0"/>
        <w:spacing w:after="0" w:before="0" w:line="360" w:lineRule="auto"/>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1C">
      <w:pPr>
        <w:spacing w:line="360" w:lineRule="auto"/>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Senegal’s Gas Business Operators</w:t>
      </w:r>
    </w:p>
    <w:tbl>
      <w:tblPr>
        <w:tblStyle w:val="Table2"/>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95"/>
        <w:gridCol w:w="1275"/>
        <w:gridCol w:w="2430"/>
        <w:gridCol w:w="3435"/>
        <w:tblGridChange w:id="0">
          <w:tblGrid>
            <w:gridCol w:w="1995"/>
            <w:gridCol w:w="1275"/>
            <w:gridCol w:w="2430"/>
            <w:gridCol w:w="3435"/>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073763" w:val="clear"/>
            <w:tcMar>
              <w:top w:w="40.0" w:type="dxa"/>
              <w:left w:w="40.0" w:type="dxa"/>
              <w:bottom w:w="40.0" w:type="dxa"/>
              <w:right w:w="40.0" w:type="dxa"/>
            </w:tcMar>
            <w:vAlign w:val="bottom"/>
          </w:tcPr>
          <w:p w:rsidR="00000000" w:rsidDel="00000000" w:rsidP="00000000" w:rsidRDefault="00000000" w:rsidRPr="00000000" w14:paraId="0000001D">
            <w:pPr>
              <w:widowControl w:val="0"/>
              <w:spacing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Company/Entity</w:t>
            </w:r>
          </w:p>
        </w:tc>
        <w:tc>
          <w:tcPr>
            <w:tcBorders>
              <w:top w:color="000000" w:space="0" w:sz="4" w:val="single"/>
              <w:left w:color="cccccc" w:space="0" w:sz="4" w:val="single"/>
              <w:bottom w:color="000000" w:space="0" w:sz="4" w:val="single"/>
              <w:right w:color="000000" w:space="0" w:sz="4" w:val="single"/>
            </w:tcBorders>
            <w:shd w:fill="073763" w:val="clear"/>
            <w:tcMar>
              <w:top w:w="40.0" w:type="dxa"/>
              <w:left w:w="40.0" w:type="dxa"/>
              <w:bottom w:w="40.0" w:type="dxa"/>
              <w:right w:w="40.0" w:type="dxa"/>
            </w:tcMar>
            <w:vAlign w:val="bottom"/>
          </w:tcPr>
          <w:p w:rsidR="00000000" w:rsidDel="00000000" w:rsidP="00000000" w:rsidRDefault="00000000" w:rsidRPr="00000000" w14:paraId="0000001E">
            <w:pPr>
              <w:widowControl w:val="0"/>
              <w:spacing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Country</w:t>
            </w:r>
          </w:p>
        </w:tc>
        <w:tc>
          <w:tcPr>
            <w:tcBorders>
              <w:top w:color="000000" w:space="0" w:sz="4" w:val="single"/>
              <w:left w:color="cccccc" w:space="0" w:sz="4" w:val="single"/>
              <w:bottom w:color="000000" w:space="0" w:sz="4" w:val="single"/>
              <w:right w:color="000000" w:space="0" w:sz="4" w:val="single"/>
            </w:tcBorders>
            <w:shd w:fill="073763" w:val="clear"/>
            <w:tcMar>
              <w:top w:w="40.0" w:type="dxa"/>
              <w:left w:w="40.0" w:type="dxa"/>
              <w:bottom w:w="40.0" w:type="dxa"/>
              <w:right w:w="40.0" w:type="dxa"/>
            </w:tcMar>
            <w:vAlign w:val="bottom"/>
          </w:tcPr>
          <w:p w:rsidR="00000000" w:rsidDel="00000000" w:rsidP="00000000" w:rsidRDefault="00000000" w:rsidRPr="00000000" w14:paraId="0000001F">
            <w:pPr>
              <w:widowControl w:val="0"/>
              <w:spacing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Involvement</w:t>
            </w:r>
          </w:p>
        </w:tc>
        <w:tc>
          <w:tcPr>
            <w:tcBorders>
              <w:top w:color="000000" w:space="0" w:sz="4" w:val="single"/>
              <w:left w:color="cccccc" w:space="0" w:sz="4" w:val="single"/>
              <w:bottom w:color="000000" w:space="0" w:sz="4" w:val="single"/>
              <w:right w:color="000000" w:space="0" w:sz="4" w:val="single"/>
            </w:tcBorders>
            <w:shd w:fill="073763" w:val="clear"/>
            <w:tcMar>
              <w:top w:w="40.0" w:type="dxa"/>
              <w:left w:w="40.0" w:type="dxa"/>
              <w:bottom w:w="40.0" w:type="dxa"/>
              <w:right w:w="40.0" w:type="dxa"/>
            </w:tcMar>
            <w:vAlign w:val="bottom"/>
          </w:tcPr>
          <w:p w:rsidR="00000000" w:rsidDel="00000000" w:rsidP="00000000" w:rsidRDefault="00000000" w:rsidRPr="00000000" w14:paraId="00000020">
            <w:pPr>
              <w:widowControl w:val="0"/>
              <w:spacing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Contribution</w:t>
            </w:r>
          </w:p>
        </w:tc>
      </w:tr>
      <w:tr>
        <w:trPr>
          <w:cantSplit w:val="0"/>
          <w:trHeight w:val="840"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1">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BP</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22">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UK</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23">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GTA Operator (56%), LNG Buyer</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0.0" w:type="dxa"/>
              <w:bottom w:w="40.0" w:type="dxa"/>
              <w:right w:w="0.0" w:type="dxa"/>
            </w:tcMar>
            <w:vAlign w:val="top"/>
          </w:tcPr>
          <w:p w:rsidR="00000000" w:rsidDel="00000000" w:rsidP="00000000" w:rsidRDefault="00000000" w:rsidRPr="00000000" w14:paraId="00000024">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$4.8B project leadership, FLNG technology</w:t>
            </w:r>
          </w:p>
        </w:tc>
      </w:tr>
      <w:tr>
        <w:trPr>
          <w:cantSplit w:val="0"/>
          <w:trHeight w:val="109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5">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Kosmos Energy</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26">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USA</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27">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GTA (27%), Former Yakaar Operator</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0.0" w:type="dxa"/>
              <w:bottom w:w="40.0" w:type="dxa"/>
              <w:right w:w="0.0" w:type="dxa"/>
            </w:tcMar>
            <w:vAlign w:val="top"/>
          </w:tcPr>
          <w:p w:rsidR="00000000" w:rsidDel="00000000" w:rsidP="00000000" w:rsidRDefault="00000000" w:rsidRPr="00000000" w14:paraId="00000028">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Deepwater exploration expertise</w:t>
            </w:r>
          </w:p>
        </w:tc>
      </w:tr>
      <w:tr>
        <w:trPr>
          <w:cantSplit w:val="0"/>
          <w:trHeight w:val="840"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9">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Woodside Energy</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2A">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Australia</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2B">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Sangomar Operator (68%)</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0.0" w:type="dxa"/>
              <w:bottom w:w="40.0" w:type="dxa"/>
              <w:right w:w="0.0" w:type="dxa"/>
            </w:tcMar>
            <w:vAlign w:val="top"/>
          </w:tcPr>
          <w:p w:rsidR="00000000" w:rsidDel="00000000" w:rsidP="00000000" w:rsidRDefault="00000000" w:rsidRPr="00000000" w14:paraId="0000002C">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FPSO technology, offshore development</w:t>
            </w:r>
          </w:p>
        </w:tc>
      </w:tr>
      <w:tr>
        <w:trPr>
          <w:cantSplit w:val="0"/>
          <w:trHeight w:val="840"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D">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MCC (USA)</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2E">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USA</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2F">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$550M+ energy compact</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0.0" w:type="dxa"/>
              <w:bottom w:w="40.0" w:type="dxa"/>
              <w:right w:w="0.0" w:type="dxa"/>
            </w:tcMar>
            <w:vAlign w:val="top"/>
          </w:tcPr>
          <w:p w:rsidR="00000000" w:rsidDel="00000000" w:rsidP="00000000" w:rsidRDefault="00000000" w:rsidRPr="00000000" w14:paraId="00000030">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Grid modernization, institutional support</w:t>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1">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FONSIS</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32">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Senegal</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33">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Sovereign Wealth Fund</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0.0" w:type="dxa"/>
              <w:bottom w:w="40.0" w:type="dxa"/>
              <w:right w:w="0.0" w:type="dxa"/>
            </w:tcMar>
            <w:vAlign w:val="top"/>
          </w:tcPr>
          <w:p w:rsidR="00000000" w:rsidDel="00000000" w:rsidP="00000000" w:rsidRDefault="00000000" w:rsidRPr="00000000" w14:paraId="00000034">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Domestic infrastructure financing</w:t>
            </w:r>
          </w:p>
        </w:tc>
      </w:tr>
    </w:tbl>
    <w:p w:rsidR="00000000" w:rsidDel="00000000" w:rsidP="00000000" w:rsidRDefault="00000000" w:rsidRPr="00000000" w14:paraId="00000035">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36">
      <w:pPr>
        <w:pStyle w:val="Heading1"/>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Century Gothic" w:cs="Century Gothic" w:eastAsia="Century Gothic" w:hAnsi="Century Gothic"/>
          <w:b w:val="1"/>
          <w:bCs w:val="1"/>
          <w:sz w:val="28"/>
          <w:szCs w:val="28"/>
        </w:rPr>
      </w:pPr>
      <w:bookmarkStart w:colFirst="0" w:colLast="0" w:name="_lvb2tviak1b5" w:id="3"/>
      <w:bookmarkEnd w:id="3"/>
      <w:r w:rsidDel="00000000" w:rsidR="00000000" w:rsidRPr="00000000">
        <w:rPr>
          <w:rFonts w:ascii="Century Gothic" w:cs="Century Gothic" w:eastAsia="Century Gothic" w:hAnsi="Century Gothic"/>
          <w:b w:val="1"/>
          <w:bCs w:val="1"/>
          <w:sz w:val="28"/>
          <w:szCs w:val="28"/>
          <w:rtl w:val="0"/>
        </w:rPr>
        <w:t xml:space="preserve">Senegal's Demand and Supply Dynamics</w:t>
      </w:r>
    </w:p>
    <w:p w:rsidR="00000000" w:rsidDel="00000000" w:rsidP="00000000" w:rsidRDefault="00000000" w:rsidRPr="00000000" w14:paraId="00000037">
      <w:pPr>
        <w:keepNext w:val="0"/>
        <w:keepLines w:val="0"/>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ind w:left="720" w:hanging="360"/>
        <w:rPr>
          <w:rFonts w:ascii="Century Gothic" w:cs="Century Gothic" w:eastAsia="Century Gothic" w:hAnsi="Century Gothic"/>
          <w:b w:val="1"/>
          <w:bCs w:val="1"/>
          <w:sz w:val="24"/>
          <w:szCs w:val="24"/>
          <w:u w:val="none"/>
        </w:rPr>
      </w:pPr>
      <w:r w:rsidDel="00000000" w:rsidR="00000000" w:rsidRPr="00000000">
        <w:rPr>
          <w:rFonts w:ascii="Century Gothic" w:cs="Century Gothic" w:eastAsia="Century Gothic" w:hAnsi="Century Gothic"/>
          <w:b w:val="1"/>
          <w:bCs w:val="1"/>
          <w:sz w:val="24"/>
          <w:szCs w:val="24"/>
          <w:rtl w:val="0"/>
        </w:rPr>
        <w:t xml:space="preserve">Electricity Demand Surge</w:t>
      </w:r>
    </w:p>
    <w:p w:rsidR="00000000" w:rsidDel="00000000" w:rsidP="00000000" w:rsidRDefault="00000000" w:rsidRPr="00000000" w14:paraId="00000038">
      <w:pPr>
        <w:keepLines w:val="0"/>
        <w:shd w:fill="ffffff" w:val="clear"/>
        <w:spacing w:after="0" w:before="0" w:line="360"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Senegal's electricity demand is accelerating rapidly. Consumption rose 22% year-on-year in 2025, and the IEA projects approximately 8% annual growth through 2030. Senegal currently has some of Africa's highest generation costs (34–38 ¢/kWh) due to dependence on imported liquid fuels for approximately 90% of power generation. </w:t>
      </w:r>
    </w:p>
    <w:tbl>
      <w:tblPr>
        <w:tblStyle w:val="Table3"/>
        <w:tblW w:w="94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80"/>
        <w:gridCol w:w="1470"/>
        <w:gridCol w:w="2145"/>
        <w:gridCol w:w="2970"/>
        <w:tblGridChange w:id="0">
          <w:tblGrid>
            <w:gridCol w:w="2880"/>
            <w:gridCol w:w="1470"/>
            <w:gridCol w:w="2145"/>
            <w:gridCol w:w="2970"/>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073763" w:val="clear"/>
            <w:tcMar>
              <w:top w:w="40.0" w:type="dxa"/>
              <w:left w:w="40.0" w:type="dxa"/>
              <w:bottom w:w="40.0" w:type="dxa"/>
              <w:right w:w="40.0" w:type="dxa"/>
            </w:tcMar>
            <w:vAlign w:val="bottom"/>
          </w:tcPr>
          <w:p w:rsidR="00000000" w:rsidDel="00000000" w:rsidP="00000000" w:rsidRDefault="00000000" w:rsidRPr="00000000" w14:paraId="00000039">
            <w:pPr>
              <w:keepLines w:val="0"/>
              <w:widowControl w:val="0"/>
              <w:spacing w:after="0" w:before="0"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Metric</w:t>
            </w:r>
          </w:p>
        </w:tc>
        <w:tc>
          <w:tcPr>
            <w:tcBorders>
              <w:top w:color="000000" w:space="0" w:sz="4" w:val="single"/>
              <w:left w:color="cccccc" w:space="0" w:sz="4" w:val="single"/>
              <w:bottom w:color="000000" w:space="0" w:sz="4" w:val="single"/>
              <w:right w:color="000000" w:space="0" w:sz="4" w:val="single"/>
            </w:tcBorders>
            <w:shd w:fill="073763" w:val="clear"/>
            <w:tcMar>
              <w:top w:w="40.0" w:type="dxa"/>
              <w:left w:w="40.0" w:type="dxa"/>
              <w:bottom w:w="40.0" w:type="dxa"/>
              <w:right w:w="40.0" w:type="dxa"/>
            </w:tcMar>
            <w:vAlign w:val="bottom"/>
          </w:tcPr>
          <w:p w:rsidR="00000000" w:rsidDel="00000000" w:rsidP="00000000" w:rsidRDefault="00000000" w:rsidRPr="00000000" w14:paraId="0000003A">
            <w:pPr>
              <w:keepLines w:val="0"/>
              <w:widowControl w:val="0"/>
              <w:spacing w:after="0" w:before="0"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2024</w:t>
            </w:r>
          </w:p>
        </w:tc>
        <w:tc>
          <w:tcPr>
            <w:tcBorders>
              <w:top w:color="000000" w:space="0" w:sz="4" w:val="single"/>
              <w:left w:color="cccccc" w:space="0" w:sz="4" w:val="single"/>
              <w:bottom w:color="000000" w:space="0" w:sz="4" w:val="single"/>
              <w:right w:color="000000" w:space="0" w:sz="4" w:val="single"/>
            </w:tcBorders>
            <w:shd w:fill="073763" w:val="clear"/>
            <w:tcMar>
              <w:top w:w="40.0" w:type="dxa"/>
              <w:left w:w="40.0" w:type="dxa"/>
              <w:bottom w:w="40.0" w:type="dxa"/>
              <w:right w:w="40.0" w:type="dxa"/>
            </w:tcMar>
            <w:vAlign w:val="bottom"/>
          </w:tcPr>
          <w:p w:rsidR="00000000" w:rsidDel="00000000" w:rsidP="00000000" w:rsidRDefault="00000000" w:rsidRPr="00000000" w14:paraId="0000003B">
            <w:pPr>
              <w:keepLines w:val="0"/>
              <w:widowControl w:val="0"/>
              <w:spacing w:after="0" w:before="0"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2025</w:t>
            </w:r>
          </w:p>
        </w:tc>
        <w:tc>
          <w:tcPr>
            <w:tcBorders>
              <w:top w:color="000000" w:space="0" w:sz="4" w:val="single"/>
              <w:left w:color="cccccc" w:space="0" w:sz="4" w:val="single"/>
              <w:bottom w:color="000000" w:space="0" w:sz="4" w:val="single"/>
              <w:right w:color="000000" w:space="0" w:sz="4" w:val="single"/>
            </w:tcBorders>
            <w:shd w:fill="073763" w:val="clear"/>
            <w:tcMar>
              <w:top w:w="40.0" w:type="dxa"/>
              <w:left w:w="40.0" w:type="dxa"/>
              <w:bottom w:w="40.0" w:type="dxa"/>
              <w:right w:w="40.0" w:type="dxa"/>
            </w:tcMar>
            <w:vAlign w:val="bottom"/>
          </w:tcPr>
          <w:p w:rsidR="00000000" w:rsidDel="00000000" w:rsidP="00000000" w:rsidRDefault="00000000" w:rsidRPr="00000000" w14:paraId="0000003C">
            <w:pPr>
              <w:keepLines w:val="0"/>
              <w:widowControl w:val="0"/>
              <w:spacing w:after="0" w:before="0"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2030 (Proj)</w:t>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3D">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Electricity Access</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3E">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84%</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3F">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~86%</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0.0" w:type="dxa"/>
              <w:bottom w:w="40.0" w:type="dxa"/>
              <w:right w:w="0.0" w:type="dxa"/>
            </w:tcMar>
            <w:vAlign w:val="top"/>
          </w:tcPr>
          <w:p w:rsidR="00000000" w:rsidDel="00000000" w:rsidP="00000000" w:rsidRDefault="00000000" w:rsidRPr="00000000" w14:paraId="00000040">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Universal (100%)</w:t>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41">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Installed Capacity</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42">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~1.8 GW</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43">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~1.9 GW</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44">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~3.0 GW</w:t>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45">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Gas Share in Generation</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46">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~25%</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47">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~26%</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48">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~30%</w:t>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49">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Renewables Share</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4A">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~20%</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4B">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~21%</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4C">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~22%</w:t>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4D">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Heavy Fuel Oil Share</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4E">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~44%</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4F">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~43%</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50">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~20%</w:t>
            </w:r>
          </w:p>
        </w:tc>
      </w:tr>
    </w:tbl>
    <w:p w:rsidR="00000000" w:rsidDel="00000000" w:rsidP="00000000" w:rsidRDefault="00000000" w:rsidRPr="00000000" w14:paraId="00000051">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52">
      <w:pPr>
        <w:pStyle w:val="Heading1"/>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Century Gothic" w:cs="Century Gothic" w:eastAsia="Century Gothic" w:hAnsi="Century Gothic"/>
          <w:b w:val="1"/>
          <w:bCs w:val="1"/>
          <w:sz w:val="28"/>
          <w:szCs w:val="28"/>
        </w:rPr>
      </w:pPr>
      <w:bookmarkStart w:colFirst="0" w:colLast="0" w:name="_lfav02rpszzn" w:id="4"/>
      <w:bookmarkEnd w:id="4"/>
      <w:r w:rsidDel="00000000" w:rsidR="00000000" w:rsidRPr="00000000">
        <w:rPr>
          <w:rFonts w:ascii="Century Gothic" w:cs="Century Gothic" w:eastAsia="Century Gothic" w:hAnsi="Century Gothic"/>
          <w:b w:val="1"/>
          <w:bCs w:val="1"/>
          <w:sz w:val="28"/>
          <w:szCs w:val="28"/>
          <w:rtl w:val="0"/>
        </w:rPr>
        <w:t xml:space="preserve">Infrastructure</w:t>
      </w:r>
      <w:r w:rsidDel="00000000" w:rsidR="00000000" w:rsidRPr="00000000">
        <w:rPr>
          <w:rFonts w:ascii="Century Gothic" w:cs="Century Gothic" w:eastAsia="Century Gothic" w:hAnsi="Century Gothic"/>
          <w:sz w:val="28"/>
          <w:szCs w:val="28"/>
          <w:rtl w:val="0"/>
        </w:rPr>
        <w:t xml:space="preserve"> </w:t>
      </w:r>
      <w:r w:rsidDel="00000000" w:rsidR="00000000" w:rsidRPr="00000000">
        <w:rPr>
          <w:rFonts w:ascii="Century Gothic" w:cs="Century Gothic" w:eastAsia="Century Gothic" w:hAnsi="Century Gothic"/>
          <w:b w:val="1"/>
          <w:bCs w:val="1"/>
          <w:sz w:val="28"/>
          <w:szCs w:val="28"/>
          <w:rtl w:val="0"/>
        </w:rPr>
        <w:t xml:space="preserve">and</w:t>
      </w:r>
      <w:r w:rsidDel="00000000" w:rsidR="00000000" w:rsidRPr="00000000">
        <w:rPr>
          <w:rFonts w:ascii="Century Gothic" w:cs="Century Gothic" w:eastAsia="Century Gothic" w:hAnsi="Century Gothic"/>
          <w:sz w:val="28"/>
          <w:szCs w:val="28"/>
          <w:rtl w:val="0"/>
        </w:rPr>
        <w:t xml:space="preserve"> </w:t>
      </w:r>
      <w:r w:rsidDel="00000000" w:rsidR="00000000" w:rsidRPr="00000000">
        <w:rPr>
          <w:rFonts w:ascii="Century Gothic" w:cs="Century Gothic" w:eastAsia="Century Gothic" w:hAnsi="Century Gothic"/>
          <w:b w:val="1"/>
          <w:bCs w:val="1"/>
          <w:sz w:val="28"/>
          <w:szCs w:val="28"/>
          <w:rtl w:val="0"/>
        </w:rPr>
        <w:t xml:space="preserve">Pipeline Network</w:t>
      </w:r>
    </w:p>
    <w:p w:rsidR="00000000" w:rsidDel="00000000" w:rsidP="00000000" w:rsidRDefault="00000000" w:rsidRPr="00000000" w14:paraId="00000053">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Senegal is building a 400-kilometer national gas pipeline network (Réseau Gazier du Sénégal) to connect offshore fields to domestic demand centers.</w:t>
      </w:r>
    </w:p>
    <w:p w:rsidR="00000000" w:rsidDel="00000000" w:rsidP="00000000" w:rsidRDefault="00000000" w:rsidRPr="00000000" w14:paraId="00000054">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RGS Pipeline Segments</w:t>
      </w:r>
      <w:r w:rsidDel="00000000" w:rsidR="00000000" w:rsidRPr="00000000">
        <w:rPr>
          <w:rtl w:val="0"/>
        </w:rPr>
      </w:r>
    </w:p>
    <w:tbl>
      <w:tblPr>
        <w:tblStyle w:val="Table4"/>
        <w:tblW w:w="92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1500"/>
        <w:gridCol w:w="1500"/>
        <w:gridCol w:w="1800"/>
        <w:gridCol w:w="2940"/>
        <w:tblGridChange w:id="0">
          <w:tblGrid>
            <w:gridCol w:w="1500"/>
            <w:gridCol w:w="1500"/>
            <w:gridCol w:w="1500"/>
            <w:gridCol w:w="1800"/>
            <w:gridCol w:w="2940"/>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073763" w:val="clear"/>
            <w:tcMar>
              <w:top w:w="40.0" w:type="dxa"/>
              <w:left w:w="40.0" w:type="dxa"/>
              <w:bottom w:w="40.0" w:type="dxa"/>
              <w:right w:w="40.0" w:type="dxa"/>
            </w:tcMar>
            <w:vAlign w:val="bottom"/>
          </w:tcPr>
          <w:p w:rsidR="00000000" w:rsidDel="00000000" w:rsidP="00000000" w:rsidRDefault="00000000" w:rsidRPr="00000000" w14:paraId="00000055">
            <w:pPr>
              <w:widowControl w:val="0"/>
              <w:spacing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Segment</w:t>
            </w:r>
          </w:p>
        </w:tc>
        <w:tc>
          <w:tcPr>
            <w:tcBorders>
              <w:top w:color="000000" w:space="0" w:sz="4" w:val="single"/>
              <w:left w:color="cccccc" w:space="0" w:sz="4" w:val="single"/>
              <w:bottom w:color="000000" w:space="0" w:sz="4" w:val="single"/>
              <w:right w:color="000000" w:space="0" w:sz="4" w:val="single"/>
            </w:tcBorders>
            <w:shd w:fill="073763" w:val="clear"/>
            <w:tcMar>
              <w:top w:w="40.0" w:type="dxa"/>
              <w:left w:w="40.0" w:type="dxa"/>
              <w:bottom w:w="40.0" w:type="dxa"/>
              <w:right w:w="40.0" w:type="dxa"/>
            </w:tcMar>
            <w:vAlign w:val="bottom"/>
          </w:tcPr>
          <w:p w:rsidR="00000000" w:rsidDel="00000000" w:rsidP="00000000" w:rsidRDefault="00000000" w:rsidRPr="00000000" w14:paraId="00000056">
            <w:pPr>
              <w:widowControl w:val="0"/>
              <w:spacing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Length</w:t>
            </w:r>
          </w:p>
        </w:tc>
        <w:tc>
          <w:tcPr>
            <w:tcBorders>
              <w:top w:color="000000" w:space="0" w:sz="4" w:val="single"/>
              <w:left w:color="cccccc" w:space="0" w:sz="4" w:val="single"/>
              <w:bottom w:color="000000" w:space="0" w:sz="4" w:val="single"/>
              <w:right w:color="000000" w:space="0" w:sz="4" w:val="single"/>
            </w:tcBorders>
            <w:shd w:fill="073763" w:val="clear"/>
            <w:tcMar>
              <w:top w:w="40.0" w:type="dxa"/>
              <w:left w:w="40.0" w:type="dxa"/>
              <w:bottom w:w="40.0" w:type="dxa"/>
              <w:right w:w="40.0" w:type="dxa"/>
            </w:tcMar>
            <w:vAlign w:val="bottom"/>
          </w:tcPr>
          <w:p w:rsidR="00000000" w:rsidDel="00000000" w:rsidP="00000000" w:rsidRDefault="00000000" w:rsidRPr="00000000" w14:paraId="00000057">
            <w:pPr>
              <w:widowControl w:val="0"/>
              <w:spacing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Capacity</w:t>
            </w:r>
          </w:p>
        </w:tc>
        <w:tc>
          <w:tcPr>
            <w:tcBorders>
              <w:top w:color="000000" w:space="0" w:sz="4" w:val="single"/>
              <w:left w:color="cccccc" w:space="0" w:sz="4" w:val="single"/>
              <w:bottom w:color="000000" w:space="0" w:sz="4" w:val="single"/>
              <w:right w:color="000000" w:space="0" w:sz="4" w:val="single"/>
            </w:tcBorders>
            <w:shd w:fill="073763" w:val="clear"/>
            <w:tcMar>
              <w:top w:w="40.0" w:type="dxa"/>
              <w:left w:w="40.0" w:type="dxa"/>
              <w:bottom w:w="40.0" w:type="dxa"/>
              <w:right w:w="40.0" w:type="dxa"/>
            </w:tcMar>
            <w:vAlign w:val="bottom"/>
          </w:tcPr>
          <w:p w:rsidR="00000000" w:rsidDel="00000000" w:rsidP="00000000" w:rsidRDefault="00000000" w:rsidRPr="00000000" w14:paraId="00000058">
            <w:pPr>
              <w:widowControl w:val="0"/>
              <w:spacing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Est. Cost</w:t>
            </w:r>
          </w:p>
        </w:tc>
        <w:tc>
          <w:tcPr>
            <w:tcBorders>
              <w:top w:color="000000" w:space="0" w:sz="4" w:val="single"/>
              <w:left w:color="cccccc" w:space="0" w:sz="4" w:val="single"/>
              <w:bottom w:color="000000" w:space="0" w:sz="4" w:val="single"/>
              <w:right w:color="000000" w:space="0" w:sz="4" w:val="single"/>
            </w:tcBorders>
            <w:shd w:fill="073763" w:val="clear"/>
            <w:tcMar>
              <w:top w:w="40.0" w:type="dxa"/>
              <w:left w:w="40.0" w:type="dxa"/>
              <w:bottom w:w="40.0" w:type="dxa"/>
              <w:right w:w="40.0" w:type="dxa"/>
            </w:tcMar>
            <w:vAlign w:val="bottom"/>
          </w:tcPr>
          <w:p w:rsidR="00000000" w:rsidDel="00000000" w:rsidP="00000000" w:rsidRDefault="00000000" w:rsidRPr="00000000" w14:paraId="00000059">
            <w:pPr>
              <w:widowControl w:val="0"/>
              <w:spacing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Route</w:t>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A">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Northern</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5B">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85 km</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5C">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300 MMscf/d</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5D">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€275M ($298M)</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0.0" w:type="dxa"/>
              <w:bottom w:w="40.0" w:type="dxa"/>
              <w:right w:w="0.0" w:type="dxa"/>
            </w:tcMar>
            <w:vAlign w:val="top"/>
          </w:tcPr>
          <w:p w:rsidR="00000000" w:rsidDel="00000000" w:rsidP="00000000" w:rsidRDefault="00000000" w:rsidRPr="00000000" w14:paraId="0000005E">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GTA Hub → Gandon Power Plant</w:t>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F">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Green</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60">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110 km</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61">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300 MMscf/d</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62">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€183M ($198M)</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0.0" w:type="dxa"/>
              <w:bottom w:w="40.0" w:type="dxa"/>
              <w:right w:w="0.0" w:type="dxa"/>
            </w:tcMar>
            <w:vAlign w:val="top"/>
          </w:tcPr>
          <w:p w:rsidR="00000000" w:rsidDel="00000000" w:rsidP="00000000" w:rsidRDefault="00000000" w:rsidRPr="00000000" w14:paraId="00000063">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Northern-Southern Interconnect</w:t>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4">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Blue</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65">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100 km</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66">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713 MMscf/d</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67">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€214M ($232M)</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0.0" w:type="dxa"/>
              <w:bottom w:w="40.0" w:type="dxa"/>
              <w:right w:w="0.0" w:type="dxa"/>
            </w:tcMar>
            <w:vAlign w:val="top"/>
          </w:tcPr>
          <w:p w:rsidR="00000000" w:rsidDel="00000000" w:rsidP="00000000" w:rsidRDefault="00000000" w:rsidRPr="00000000" w14:paraId="00000068">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Mboro → Cap des Biches</w:t>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9">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Orange</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6A">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45 km</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6B">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300 MMscf/d</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6C">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€153M ($166M)</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0.0" w:type="dxa"/>
              <w:bottom w:w="40.0" w:type="dxa"/>
              <w:right w:w="0.0" w:type="dxa"/>
            </w:tcMar>
            <w:vAlign w:val="top"/>
          </w:tcPr>
          <w:p w:rsidR="00000000" w:rsidDel="00000000" w:rsidP="00000000" w:rsidRDefault="00000000" w:rsidRPr="00000000" w14:paraId="0000006D">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Sendou → Malicounda</w:t>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E">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Red</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6F">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17 km</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70">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150 MMscf/d</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71">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€150M ($163M)</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72">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Branch Line</w:t>
            </w:r>
          </w:p>
        </w:tc>
      </w:tr>
    </w:tbl>
    <w:p w:rsidR="00000000" w:rsidDel="00000000" w:rsidP="00000000" w:rsidRDefault="00000000" w:rsidRPr="00000000" w14:paraId="00000073">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74">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Key Infrastructure Milestones</w:t>
      </w:r>
    </w:p>
    <w:p w:rsidR="00000000" w:rsidDel="00000000" w:rsidP="00000000" w:rsidRDefault="00000000" w:rsidRPr="00000000" w14:paraId="00000075">
      <w:pPr>
        <w:keepNext w:val="0"/>
        <w:keepLines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b w:val="1"/>
          <w:bCs w:val="1"/>
          <w:sz w:val="24"/>
          <w:szCs w:val="24"/>
          <w:rtl w:val="0"/>
        </w:rPr>
        <w:t xml:space="preserve">May 2026:</w:t>
      </w:r>
      <w:r w:rsidDel="00000000" w:rsidR="00000000" w:rsidRPr="00000000">
        <w:rPr>
          <w:rFonts w:ascii="Century Gothic" w:cs="Century Gothic" w:eastAsia="Century Gothic" w:hAnsi="Century Gothic"/>
          <w:sz w:val="24"/>
          <w:szCs w:val="24"/>
          <w:rtl w:val="0"/>
        </w:rPr>
        <w:t xml:space="preserve"> CRD approves GTA-Gandon pipeline construction start</w:t>
      </w:r>
    </w:p>
    <w:p w:rsidR="00000000" w:rsidDel="00000000" w:rsidP="00000000" w:rsidRDefault="00000000" w:rsidRPr="00000000" w14:paraId="00000076">
      <w:pPr>
        <w:keepNext w:val="0"/>
        <w:keepLines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b w:val="1"/>
          <w:bCs w:val="1"/>
          <w:sz w:val="24"/>
          <w:szCs w:val="24"/>
          <w:rtl w:val="0"/>
        </w:rPr>
        <w:t xml:space="preserve">2027</w:t>
      </w:r>
      <w:r w:rsidDel="00000000" w:rsidR="00000000" w:rsidRPr="00000000">
        <w:rPr>
          <w:rFonts w:ascii="Century Gothic" w:cs="Century Gothic" w:eastAsia="Century Gothic" w:hAnsi="Century Gothic"/>
          <w:sz w:val="24"/>
          <w:szCs w:val="24"/>
          <w:rtl w:val="0"/>
        </w:rPr>
        <w:t xml:space="preserve">: National gas pipeline inauguration target</w:t>
      </w:r>
    </w:p>
    <w:p w:rsidR="00000000" w:rsidDel="00000000" w:rsidP="00000000" w:rsidRDefault="00000000" w:rsidRPr="00000000" w14:paraId="00000077">
      <w:pPr>
        <w:keepNext w:val="0"/>
        <w:keepLines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b w:val="1"/>
          <w:bCs w:val="1"/>
          <w:sz w:val="24"/>
          <w:szCs w:val="24"/>
          <w:rtl w:val="0"/>
        </w:rPr>
        <w:t xml:space="preserve">Connection to WAGP:</w:t>
      </w:r>
      <w:r w:rsidDel="00000000" w:rsidR="00000000" w:rsidRPr="00000000">
        <w:rPr>
          <w:rFonts w:ascii="Century Gothic" w:cs="Century Gothic" w:eastAsia="Century Gothic" w:hAnsi="Century Gothic"/>
          <w:sz w:val="24"/>
          <w:szCs w:val="24"/>
          <w:rtl w:val="0"/>
        </w:rPr>
        <w:t xml:space="preserve"> Designed to link with the 5,700 km African Atlantic Gas Pipeline</w:t>
      </w:r>
    </w:p>
    <w:p w:rsidR="00000000" w:rsidDel="00000000" w:rsidP="00000000" w:rsidRDefault="00000000" w:rsidRPr="00000000" w14:paraId="00000078">
      <w:pPr>
        <w:pStyle w:val="Heading1"/>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Century Gothic" w:cs="Century Gothic" w:eastAsia="Century Gothic" w:hAnsi="Century Gothic"/>
          <w:b w:val="1"/>
          <w:bCs w:val="1"/>
          <w:sz w:val="28"/>
          <w:szCs w:val="28"/>
        </w:rPr>
      </w:pPr>
      <w:bookmarkStart w:colFirst="0" w:colLast="0" w:name="_c17ohltigxs9" w:id="5"/>
      <w:bookmarkEnd w:id="5"/>
      <w:r w:rsidDel="00000000" w:rsidR="00000000" w:rsidRPr="00000000">
        <w:rPr>
          <w:rFonts w:ascii="Century Gothic" w:cs="Century Gothic" w:eastAsia="Century Gothic" w:hAnsi="Century Gothic"/>
          <w:b w:val="1"/>
          <w:bCs w:val="1"/>
          <w:sz w:val="28"/>
          <w:szCs w:val="28"/>
          <w:rtl w:val="0"/>
        </w:rPr>
        <w:t xml:space="preserve">Senegal's Gas Monetization Technologies</w:t>
      </w:r>
    </w:p>
    <w:p w:rsidR="00000000" w:rsidDel="00000000" w:rsidP="00000000" w:rsidRDefault="00000000" w:rsidRPr="00000000" w14:paraId="00000079">
      <w:pPr>
        <w:keepNext w:val="0"/>
        <w:keepLines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ind w:left="720" w:hanging="360"/>
        <w:rPr>
          <w:rFonts w:ascii="Century Gothic" w:cs="Century Gothic" w:eastAsia="Century Gothic" w:hAnsi="Century Gothic"/>
          <w:b w:val="1"/>
          <w:bCs w:val="1"/>
          <w:sz w:val="24"/>
          <w:szCs w:val="24"/>
          <w:u w:val="none"/>
        </w:rPr>
      </w:pPr>
      <w:r w:rsidDel="00000000" w:rsidR="00000000" w:rsidRPr="00000000">
        <w:rPr>
          <w:rFonts w:ascii="Century Gothic" w:cs="Century Gothic" w:eastAsia="Century Gothic" w:hAnsi="Century Gothic"/>
          <w:b w:val="1"/>
          <w:bCs w:val="1"/>
          <w:sz w:val="24"/>
          <w:szCs w:val="24"/>
          <w:rtl w:val="0"/>
        </w:rPr>
        <w:t xml:space="preserve">Current Technologies Deployed</w:t>
      </w:r>
      <w:r w:rsidDel="00000000" w:rsidR="00000000" w:rsidRPr="00000000">
        <w:rPr>
          <w:rtl w:val="0"/>
        </w:rPr>
      </w:r>
    </w:p>
    <w:tbl>
      <w:tblPr>
        <w:tblStyle w:val="Table5"/>
        <w:tblW w:w="91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95"/>
        <w:gridCol w:w="2280"/>
        <w:gridCol w:w="3015"/>
        <w:gridCol w:w="1815"/>
        <w:tblGridChange w:id="0">
          <w:tblGrid>
            <w:gridCol w:w="1995"/>
            <w:gridCol w:w="2280"/>
            <w:gridCol w:w="3015"/>
            <w:gridCol w:w="1815"/>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073763" w:val="clear"/>
            <w:tcMar>
              <w:top w:w="40.0" w:type="dxa"/>
              <w:left w:w="40.0" w:type="dxa"/>
              <w:bottom w:w="40.0" w:type="dxa"/>
              <w:right w:w="40.0" w:type="dxa"/>
            </w:tcMar>
            <w:vAlign w:val="bottom"/>
          </w:tcPr>
          <w:p w:rsidR="00000000" w:rsidDel="00000000" w:rsidP="00000000" w:rsidRDefault="00000000" w:rsidRPr="00000000" w14:paraId="0000007A">
            <w:pPr>
              <w:widowControl w:val="0"/>
              <w:spacing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Technology</w:t>
            </w:r>
          </w:p>
        </w:tc>
        <w:tc>
          <w:tcPr>
            <w:tcBorders>
              <w:top w:color="000000" w:space="0" w:sz="4" w:val="single"/>
              <w:left w:color="cccccc" w:space="0" w:sz="4" w:val="single"/>
              <w:bottom w:color="000000" w:space="0" w:sz="4" w:val="single"/>
              <w:right w:color="000000" w:space="0" w:sz="4" w:val="single"/>
            </w:tcBorders>
            <w:shd w:fill="073763" w:val="clear"/>
            <w:tcMar>
              <w:top w:w="40.0" w:type="dxa"/>
              <w:left w:w="40.0" w:type="dxa"/>
              <w:bottom w:w="40.0" w:type="dxa"/>
              <w:right w:w="40.0" w:type="dxa"/>
            </w:tcMar>
            <w:vAlign w:val="bottom"/>
          </w:tcPr>
          <w:p w:rsidR="00000000" w:rsidDel="00000000" w:rsidP="00000000" w:rsidRDefault="00000000" w:rsidRPr="00000000" w14:paraId="0000007B">
            <w:pPr>
              <w:widowControl w:val="0"/>
              <w:spacing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Application</w:t>
            </w:r>
          </w:p>
        </w:tc>
        <w:tc>
          <w:tcPr>
            <w:tcBorders>
              <w:top w:color="000000" w:space="0" w:sz="4" w:val="single"/>
              <w:left w:color="cccccc" w:space="0" w:sz="4" w:val="single"/>
              <w:bottom w:color="000000" w:space="0" w:sz="4" w:val="single"/>
              <w:right w:color="000000" w:space="0" w:sz="4" w:val="single"/>
            </w:tcBorders>
            <w:shd w:fill="073763" w:val="clear"/>
            <w:tcMar>
              <w:top w:w="40.0" w:type="dxa"/>
              <w:left w:w="40.0" w:type="dxa"/>
              <w:bottom w:w="40.0" w:type="dxa"/>
              <w:right w:w="40.0" w:type="dxa"/>
            </w:tcMar>
            <w:vAlign w:val="bottom"/>
          </w:tcPr>
          <w:p w:rsidR="00000000" w:rsidDel="00000000" w:rsidP="00000000" w:rsidRDefault="00000000" w:rsidRPr="00000000" w14:paraId="0000007C">
            <w:pPr>
              <w:widowControl w:val="0"/>
              <w:spacing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Project</w:t>
            </w:r>
          </w:p>
        </w:tc>
        <w:tc>
          <w:tcPr>
            <w:tcBorders>
              <w:top w:color="000000" w:space="0" w:sz="4" w:val="single"/>
              <w:left w:color="cccccc" w:space="0" w:sz="4" w:val="single"/>
              <w:bottom w:color="000000" w:space="0" w:sz="4" w:val="single"/>
              <w:right w:color="000000" w:space="0" w:sz="4" w:val="single"/>
            </w:tcBorders>
            <w:shd w:fill="073763" w:val="clear"/>
            <w:tcMar>
              <w:top w:w="40.0" w:type="dxa"/>
              <w:left w:w="40.0" w:type="dxa"/>
              <w:bottom w:w="40.0" w:type="dxa"/>
              <w:right w:w="40.0" w:type="dxa"/>
            </w:tcMar>
            <w:vAlign w:val="bottom"/>
          </w:tcPr>
          <w:p w:rsidR="00000000" w:rsidDel="00000000" w:rsidP="00000000" w:rsidRDefault="00000000" w:rsidRPr="00000000" w14:paraId="0000007D">
            <w:pPr>
              <w:widowControl w:val="0"/>
              <w:spacing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Status</w:t>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7E">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FLNG (Floating LNG)</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7F">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Offshore liquefaction</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80">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GTA Phase 1 (Gimi vessel)</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81">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Operating</w:t>
            </w:r>
          </w:p>
        </w:tc>
      </w:tr>
      <w:tr>
        <w:trPr>
          <w:cantSplit w:val="0"/>
          <w:trHeight w:val="840"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2">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FPSO</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83">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Gas pre-treatment</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84">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GTA (80 km subsea tie-back)</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85">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Operating</w:t>
            </w:r>
          </w:p>
        </w:tc>
      </w:tr>
      <w:tr>
        <w:trPr>
          <w:cantSplit w:val="0"/>
          <w:trHeight w:val="76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6">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Subsea Production System</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87">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Deepwater extraction</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88">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GTA (2,800m depth)</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89">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Operating</w:t>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A">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Hub Terminal/Breakwater</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8B">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LNG carrier shelter</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8C">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GTA nearshore</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8D">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Operating</w:t>
            </w:r>
          </w:p>
        </w:tc>
      </w:tr>
    </w:tbl>
    <w:p w:rsidR="00000000" w:rsidDel="00000000" w:rsidP="00000000" w:rsidRDefault="00000000" w:rsidRPr="00000000" w14:paraId="0000008E">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8F">
      <w:pPr>
        <w:keepNext w:val="0"/>
        <w:keepLines w:val="0"/>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ind w:left="720" w:hanging="360"/>
        <w:rPr>
          <w:rFonts w:ascii="Century Gothic" w:cs="Century Gothic" w:eastAsia="Century Gothic" w:hAnsi="Century Gothic"/>
          <w:b w:val="1"/>
          <w:bCs w:val="1"/>
          <w:sz w:val="24"/>
          <w:szCs w:val="24"/>
          <w:u w:val="none"/>
        </w:rPr>
      </w:pPr>
      <w:r w:rsidDel="00000000" w:rsidR="00000000" w:rsidRPr="00000000">
        <w:rPr>
          <w:rFonts w:ascii="Century Gothic" w:cs="Century Gothic" w:eastAsia="Century Gothic" w:hAnsi="Century Gothic"/>
          <w:b w:val="1"/>
          <w:bCs w:val="1"/>
          <w:sz w:val="24"/>
          <w:szCs w:val="24"/>
          <w:rtl w:val="0"/>
        </w:rPr>
        <w:t xml:space="preserve">Emerging/Planned Technologies</w:t>
      </w:r>
      <w:r w:rsidDel="00000000" w:rsidR="00000000" w:rsidRPr="00000000">
        <w:rPr>
          <w:rtl w:val="0"/>
        </w:rPr>
      </w:r>
    </w:p>
    <w:tbl>
      <w:tblPr>
        <w:tblStyle w:val="Table6"/>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05"/>
        <w:gridCol w:w="3870"/>
        <w:gridCol w:w="3180"/>
        <w:tblGridChange w:id="0">
          <w:tblGrid>
            <w:gridCol w:w="2205"/>
            <w:gridCol w:w="3870"/>
            <w:gridCol w:w="3180"/>
          </w:tblGrid>
        </w:tblGridChange>
      </w:tblGrid>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shd w:fill="073763" w:val="clear"/>
            <w:tcMar>
              <w:top w:w="40.0" w:type="dxa"/>
              <w:left w:w="40.0" w:type="dxa"/>
              <w:bottom w:w="40.0" w:type="dxa"/>
              <w:right w:w="40.0" w:type="dxa"/>
            </w:tcMar>
            <w:vAlign w:val="bottom"/>
          </w:tcPr>
          <w:p w:rsidR="00000000" w:rsidDel="00000000" w:rsidP="00000000" w:rsidRDefault="00000000" w:rsidRPr="00000000" w14:paraId="00000090">
            <w:pPr>
              <w:keepLines w:val="0"/>
              <w:widowControl w:val="0"/>
              <w:spacing w:after="0" w:before="0"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Technology</w:t>
            </w:r>
          </w:p>
        </w:tc>
        <w:tc>
          <w:tcPr>
            <w:tcBorders>
              <w:top w:color="000000" w:space="0" w:sz="4" w:val="single"/>
              <w:left w:color="cccccc" w:space="0" w:sz="4" w:val="single"/>
              <w:bottom w:color="000000" w:space="0" w:sz="4" w:val="single"/>
              <w:right w:color="000000" w:space="0" w:sz="4" w:val="single"/>
            </w:tcBorders>
            <w:shd w:fill="073763" w:val="clear"/>
            <w:tcMar>
              <w:top w:w="40.0" w:type="dxa"/>
              <w:left w:w="40.0" w:type="dxa"/>
              <w:bottom w:w="40.0" w:type="dxa"/>
              <w:right w:w="40.0" w:type="dxa"/>
            </w:tcMar>
            <w:vAlign w:val="bottom"/>
          </w:tcPr>
          <w:p w:rsidR="00000000" w:rsidDel="00000000" w:rsidP="00000000" w:rsidRDefault="00000000" w:rsidRPr="00000000" w14:paraId="00000091">
            <w:pPr>
              <w:keepLines w:val="0"/>
              <w:widowControl w:val="0"/>
              <w:spacing w:after="0" w:before="0"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Planned Application</w:t>
            </w:r>
          </w:p>
        </w:tc>
        <w:tc>
          <w:tcPr>
            <w:tcBorders>
              <w:top w:color="000000" w:space="0" w:sz="4" w:val="single"/>
              <w:left w:color="cccccc" w:space="0" w:sz="4" w:val="single"/>
              <w:bottom w:color="000000" w:space="0" w:sz="4" w:val="single"/>
              <w:right w:color="000000" w:space="0" w:sz="4" w:val="single"/>
            </w:tcBorders>
            <w:shd w:fill="073763" w:val="clear"/>
            <w:tcMar>
              <w:top w:w="40.0" w:type="dxa"/>
              <w:left w:w="40.0" w:type="dxa"/>
              <w:bottom w:w="40.0" w:type="dxa"/>
              <w:right w:w="40.0" w:type="dxa"/>
            </w:tcMar>
            <w:vAlign w:val="bottom"/>
          </w:tcPr>
          <w:p w:rsidR="00000000" w:rsidDel="00000000" w:rsidP="00000000" w:rsidRDefault="00000000" w:rsidRPr="00000000" w14:paraId="00000092">
            <w:pPr>
              <w:keepLines w:val="0"/>
              <w:widowControl w:val="0"/>
              <w:spacing w:after="0" w:before="0"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Target</w:t>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93">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Gravity-Based LNG Structure</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94">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Phase 2 expansion</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95">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+2.5–3 mtpa capacity</w:t>
            </w:r>
            <w:r w:rsidDel="00000000" w:rsidR="00000000" w:rsidRPr="00000000">
              <w:rPr>
                <w:rFonts w:ascii="Century Gothic" w:cs="Century Gothic" w:eastAsia="Century Gothic" w:hAnsi="Century Gothic"/>
                <w:sz w:val="24"/>
                <w:szCs w:val="24"/>
                <w:rtl w:val="0"/>
              </w:rPr>
              <w:t xml:space="preserve"> </w:t>
            </w:r>
          </w:p>
        </w:tc>
      </w:tr>
      <w:tr>
        <w:trPr>
          <w:cantSplit w:val="0"/>
          <w:trHeight w:val="76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96">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Onshore Pipeline Network</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97">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Domestic gas distribution</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0.0" w:type="dxa"/>
              <w:bottom w:w="40.0" w:type="dxa"/>
              <w:right w:w="0.0" w:type="dxa"/>
            </w:tcMar>
            <w:vAlign w:val="top"/>
          </w:tcPr>
          <w:p w:rsidR="00000000" w:rsidDel="00000000" w:rsidP="00000000" w:rsidRDefault="00000000" w:rsidRPr="00000000" w14:paraId="00000098">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2.5 bcm/year by 2027</w:t>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99">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CCGT Power Plants</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9A">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Gas-to-power conversion</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0.0" w:type="dxa"/>
              <w:bottom w:w="40.0" w:type="dxa"/>
              <w:right w:w="0.0" w:type="dxa"/>
            </w:tcMar>
            <w:vAlign w:val="top"/>
          </w:tcPr>
          <w:p w:rsidR="00000000" w:rsidDel="00000000" w:rsidP="00000000" w:rsidRDefault="00000000" w:rsidRPr="00000000" w14:paraId="0000009B">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250–500 MW new capacity</w:t>
            </w:r>
          </w:p>
        </w:tc>
      </w:tr>
      <w:tr>
        <w:trPr>
          <w:cantSplit w:val="0"/>
          <w:trHeight w:val="100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9C">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FLNG (Yakaar)</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9D">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i w:val="1"/>
                <w:iCs w:val="1"/>
                <w:sz w:val="24"/>
                <w:szCs w:val="24"/>
                <w:rtl w:val="0"/>
              </w:rPr>
              <w:t xml:space="preserve">Cancelled — shifted to domestic pipeline</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9E">
            <w:pPr>
              <w:keepLines w:val="0"/>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N/A</w:t>
            </w:r>
          </w:p>
        </w:tc>
      </w:tr>
    </w:tbl>
    <w:p w:rsidR="00000000" w:rsidDel="00000000" w:rsidP="00000000" w:rsidRDefault="00000000" w:rsidRPr="00000000" w14:paraId="0000009F">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A0">
      <w:pPr>
        <w:keepLines w:val="0"/>
        <w:pBdr>
          <w:top w:color="auto" w:space="0" w:sz="0" w:val="none"/>
          <w:bottom w:color="auto" w:space="0" w:sz="0" w:val="none"/>
          <w:right w:color="auto" w:space="0" w:sz="0" w:val="none"/>
          <w:between w:color="auto" w:space="0" w:sz="0" w:val="none"/>
        </w:pBdr>
        <w:shd w:fill="ffffff" w:val="clear"/>
        <w:spacing w:after="0" w:before="0" w:line="360" w:lineRule="auto"/>
        <w:ind w:left="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A1">
      <w:pPr>
        <w:keepLines w:val="0"/>
        <w:pBdr>
          <w:top w:color="auto" w:space="0" w:sz="0" w:val="none"/>
          <w:bottom w:color="auto" w:space="0" w:sz="0" w:val="none"/>
          <w:right w:color="auto" w:space="0" w:sz="0" w:val="none"/>
          <w:between w:color="auto" w:space="0" w:sz="0" w:val="none"/>
        </w:pBdr>
        <w:shd w:fill="ffffff" w:val="clear"/>
        <w:spacing w:after="0" w:before="0" w:line="360" w:lineRule="auto"/>
        <w:ind w:left="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A2">
      <w:pPr>
        <w:pStyle w:val="Heading1"/>
        <w:pBdr>
          <w:top w:color="auto" w:space="0" w:sz="0" w:val="none"/>
          <w:bottom w:color="auto" w:space="0" w:sz="0" w:val="none"/>
          <w:right w:color="auto" w:space="0" w:sz="0" w:val="none"/>
          <w:between w:color="auto" w:space="0" w:sz="0" w:val="none"/>
        </w:pBdr>
        <w:shd w:fill="ffffff" w:val="clear"/>
        <w:spacing w:line="360" w:lineRule="auto"/>
        <w:rPr>
          <w:rFonts w:ascii="Century Gothic" w:cs="Century Gothic" w:eastAsia="Century Gothic" w:hAnsi="Century Gothic"/>
          <w:b w:val="1"/>
          <w:bCs w:val="1"/>
          <w:sz w:val="28"/>
          <w:szCs w:val="28"/>
        </w:rPr>
      </w:pPr>
      <w:bookmarkStart w:colFirst="0" w:colLast="0" w:name="_964my5po97yd" w:id="6"/>
      <w:bookmarkEnd w:id="6"/>
      <w:r w:rsidDel="00000000" w:rsidR="00000000" w:rsidRPr="00000000">
        <w:rPr>
          <w:rFonts w:ascii="Century Gothic" w:cs="Century Gothic" w:eastAsia="Century Gothic" w:hAnsi="Century Gothic"/>
          <w:b w:val="1"/>
          <w:bCs w:val="1"/>
          <w:sz w:val="28"/>
          <w:szCs w:val="28"/>
          <w:rtl w:val="0"/>
        </w:rPr>
        <w:t xml:space="preserve">Investment Opportunities</w:t>
      </w:r>
    </w:p>
    <w:p w:rsidR="00000000" w:rsidDel="00000000" w:rsidP="00000000" w:rsidRDefault="00000000" w:rsidRPr="00000000" w14:paraId="000000A3">
      <w:pPr>
        <w:keepLines w:val="0"/>
        <w:numPr>
          <w:ilvl w:val="0"/>
          <w:numId w:val="4"/>
        </w:numPr>
        <w:pBdr>
          <w:top w:color="auto" w:space="0" w:sz="0" w:val="none"/>
          <w:bottom w:color="auto" w:space="0" w:sz="0" w:val="none"/>
          <w:right w:color="auto" w:space="0" w:sz="0" w:val="none"/>
          <w:between w:color="auto" w:space="0" w:sz="0" w:val="none"/>
        </w:pBdr>
        <w:shd w:fill="ffffff" w:val="clear"/>
        <w:spacing w:after="0" w:before="0" w:line="360" w:lineRule="auto"/>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Deepwater exploration within the MSGBC Basin, where significant untapped gas potential remains.</w:t>
      </w:r>
    </w:p>
    <w:p w:rsidR="00000000" w:rsidDel="00000000" w:rsidP="00000000" w:rsidRDefault="00000000" w:rsidRPr="00000000" w14:paraId="000000A4">
      <w:pPr>
        <w:keepLines w:val="0"/>
        <w:numPr>
          <w:ilvl w:val="0"/>
          <w:numId w:val="4"/>
        </w:numPr>
        <w:pBdr>
          <w:top w:color="auto" w:space="0" w:sz="0" w:val="none"/>
          <w:bottom w:color="auto" w:space="0" w:sz="0" w:val="none"/>
          <w:right w:color="auto" w:space="0" w:sz="0" w:val="none"/>
          <w:between w:color="auto" w:space="0" w:sz="0" w:val="none"/>
        </w:pBdr>
        <w:shd w:fill="ffffff" w:val="clear"/>
        <w:spacing w:after="0" w:before="0" w:line="360" w:lineRule="auto"/>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Brownfield expansion around Sangomar and future development phases.</w:t>
      </w:r>
    </w:p>
    <w:p w:rsidR="00000000" w:rsidDel="00000000" w:rsidP="00000000" w:rsidRDefault="00000000" w:rsidRPr="00000000" w14:paraId="000000A5">
      <w:pPr>
        <w:keepLines w:val="0"/>
        <w:numPr>
          <w:ilvl w:val="0"/>
          <w:numId w:val="4"/>
        </w:numPr>
        <w:pBdr>
          <w:top w:color="auto" w:space="0" w:sz="0" w:val="none"/>
          <w:bottom w:color="auto" w:space="0" w:sz="0" w:val="none"/>
          <w:right w:color="auto" w:space="0" w:sz="0" w:val="none"/>
          <w:between w:color="auto" w:space="0" w:sz="0" w:val="none"/>
        </w:pBdr>
        <w:shd w:fill="ffffff" w:val="clear"/>
        <w:spacing w:after="0" w:before="0" w:line="360" w:lineRule="auto"/>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LNG value chain expansion through future GTA phases and associated infrastructure.</w:t>
      </w:r>
    </w:p>
    <w:p w:rsidR="00000000" w:rsidDel="00000000" w:rsidP="00000000" w:rsidRDefault="00000000" w:rsidRPr="00000000" w14:paraId="000000A6">
      <w:pPr>
        <w:keepLines w:val="0"/>
        <w:numPr>
          <w:ilvl w:val="0"/>
          <w:numId w:val="4"/>
        </w:numPr>
        <w:pBdr>
          <w:top w:color="auto" w:space="0" w:sz="0" w:val="none"/>
          <w:bottom w:color="auto" w:space="0" w:sz="0" w:val="none"/>
          <w:right w:color="auto" w:space="0" w:sz="0" w:val="none"/>
          <w:between w:color="auto" w:space="0" w:sz="0" w:val="none"/>
        </w:pBdr>
        <w:shd w:fill="ffffff" w:val="clear"/>
        <w:spacing w:after="0" w:before="0" w:line="360" w:lineRule="auto"/>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Potential farm-in opportunities as Petrosen seeks technical and financial partners for Yakaar-Teranga.</w:t>
      </w:r>
    </w:p>
    <w:p w:rsidR="00000000" w:rsidDel="00000000" w:rsidP="00000000" w:rsidRDefault="00000000" w:rsidRPr="00000000" w14:paraId="000000A7">
      <w:pPr>
        <w:pStyle w:val="Heading1"/>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Century Gothic" w:cs="Century Gothic" w:eastAsia="Century Gothic" w:hAnsi="Century Gothic"/>
          <w:b w:val="1"/>
          <w:bCs w:val="1"/>
          <w:sz w:val="28"/>
          <w:szCs w:val="28"/>
        </w:rPr>
      </w:pPr>
      <w:bookmarkStart w:colFirst="0" w:colLast="0" w:name="_ytj4rmti72tc" w:id="7"/>
      <w:bookmarkEnd w:id="7"/>
      <w:r w:rsidDel="00000000" w:rsidR="00000000" w:rsidRPr="00000000">
        <w:rPr>
          <w:rFonts w:ascii="Century Gothic" w:cs="Century Gothic" w:eastAsia="Century Gothic" w:hAnsi="Century Gothic"/>
          <w:b w:val="1"/>
          <w:bCs w:val="1"/>
          <w:sz w:val="28"/>
          <w:szCs w:val="28"/>
          <w:rtl w:val="0"/>
        </w:rPr>
        <w:t xml:space="preserve">Conclusion</w:t>
      </w:r>
    </w:p>
    <w:p w:rsidR="00000000" w:rsidDel="00000000" w:rsidP="00000000" w:rsidRDefault="00000000" w:rsidRPr="00000000" w14:paraId="000000A8">
      <w:pPr>
        <w:keepLines w:val="0"/>
        <w:shd w:fill="ffffff" w:val="clear"/>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Senegal stands at an inflection point. The GTA project has successfully delivered Africa's newest LNG export stream, with 2026 poised to be a record year. However, the more transformative story may be unfolding onshore: the Yakaar-Teranga domestic pivot and the national gas pipeline buildout represent a fundamental reorientation from "resource extraction for export" to "resource utilization for development." For investors, this creates a dual-track opportunity — upstream LNG cash flows near-term, and downstream gas-to-power/industrial growth medium-term. The critical variable is execution: whether Petrosen and its partners can deliver the $7.5B Yakaar project and $1.15B pipeline network on time and on budget. Success would cement Senegal as West Africa's model for gas-as-transition — monetizing resources for both global markets and domestic prosperity.</w:t>
      </w:r>
    </w:p>
    <w:p w:rsidR="00000000" w:rsidDel="00000000" w:rsidP="00000000" w:rsidRDefault="00000000" w:rsidRPr="00000000" w14:paraId="000000A9">
      <w:pPr>
        <w:keepLines w:val="0"/>
        <w:spacing w:after="0" w:before="0" w:line="360" w:lineRule="auto"/>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AA">
      <w:pPr>
        <w:keepLines w:val="0"/>
        <w:spacing w:after="0" w:before="0" w:line="360" w:lineRule="auto"/>
        <w:rPr>
          <w:rFonts w:ascii="Century Gothic" w:cs="Century Gothic" w:eastAsia="Century Gothic" w:hAnsi="Century Gothic"/>
          <w:sz w:val="24"/>
          <w:szCs w:val="24"/>
        </w:rPr>
      </w:pP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