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5EAC06" w14:textId="2E2514EF" w:rsidR="009B7D1C" w:rsidRDefault="003E7D75" w:rsidP="003E7D75">
      <w:pPr>
        <w:spacing w:line="360" w:lineRule="auto"/>
        <w:jc w:val="both"/>
        <w:rPr>
          <w:rFonts w:eastAsia="Calibri"/>
          <w:b/>
          <w:bCs/>
          <w:sz w:val="24"/>
          <w:szCs w:val="24"/>
        </w:rPr>
      </w:pPr>
      <w:r w:rsidRPr="003E7D75">
        <w:rPr>
          <w:rFonts w:eastAsia="Calibri"/>
          <w:b/>
          <w:bCs/>
          <w:sz w:val="24"/>
          <w:szCs w:val="24"/>
        </w:rPr>
        <w:t>UPSTREAM GAS INVESTMENT AND LNG VALUE CHAIN DEVELOPMENT IN SENEGAL</w:t>
      </w:r>
    </w:p>
    <w:p w14:paraId="39478015" w14:textId="77777777" w:rsidR="003E7D75" w:rsidRPr="003E7D75" w:rsidRDefault="003E7D75" w:rsidP="003E7D75">
      <w:pPr>
        <w:spacing w:line="360" w:lineRule="auto"/>
        <w:jc w:val="both"/>
        <w:rPr>
          <w:b/>
          <w:bCs/>
          <w:sz w:val="24"/>
          <w:szCs w:val="24"/>
        </w:rPr>
      </w:pPr>
    </w:p>
    <w:p w14:paraId="5559A574" w14:textId="2601E2FC" w:rsidR="009B7D1C" w:rsidRPr="003E7D75" w:rsidRDefault="00000000" w:rsidP="003E7D75">
      <w:pPr>
        <w:spacing w:line="360" w:lineRule="auto"/>
        <w:jc w:val="both"/>
        <w:rPr>
          <w:b/>
          <w:bCs/>
          <w:sz w:val="24"/>
          <w:szCs w:val="24"/>
        </w:rPr>
      </w:pPr>
      <w:r w:rsidRPr="003E7D75">
        <w:rPr>
          <w:rFonts w:eastAsia="Calibri"/>
          <w:b/>
          <w:bCs/>
          <w:sz w:val="24"/>
          <w:szCs w:val="24"/>
        </w:rPr>
        <w:t xml:space="preserve">1. </w:t>
      </w:r>
      <w:r w:rsidR="003E7D75">
        <w:rPr>
          <w:rFonts w:eastAsia="Calibri"/>
          <w:b/>
          <w:bCs/>
          <w:sz w:val="24"/>
          <w:szCs w:val="24"/>
        </w:rPr>
        <w:t xml:space="preserve">Introduction </w:t>
      </w:r>
    </w:p>
    <w:p w14:paraId="6B2D26D5" w14:textId="0809FE85" w:rsidR="009B7D1C" w:rsidRPr="003E7D75" w:rsidRDefault="00000000" w:rsidP="003E7D75">
      <w:pPr>
        <w:spacing w:line="360" w:lineRule="auto"/>
        <w:jc w:val="both"/>
        <w:rPr>
          <w:sz w:val="24"/>
          <w:szCs w:val="24"/>
        </w:rPr>
      </w:pPr>
      <w:r w:rsidRPr="003E7D75">
        <w:rPr>
          <w:rFonts w:eastAsia="Calibri"/>
          <w:sz w:val="24"/>
          <w:szCs w:val="24"/>
        </w:rPr>
        <w:t xml:space="preserve">Senegal has moved from frontier explorer to operating LNG exporter in under two years. The bp-operated Greater Tortue </w:t>
      </w:r>
      <w:proofErr w:type="spellStart"/>
      <w:r w:rsidRPr="003E7D75">
        <w:rPr>
          <w:rFonts w:eastAsia="Calibri"/>
          <w:sz w:val="24"/>
          <w:szCs w:val="24"/>
        </w:rPr>
        <w:t>Ahmeyim</w:t>
      </w:r>
      <w:proofErr w:type="spellEnd"/>
      <w:r w:rsidRPr="003E7D75">
        <w:rPr>
          <w:rFonts w:eastAsia="Calibri"/>
          <w:sz w:val="24"/>
          <w:szCs w:val="24"/>
        </w:rPr>
        <w:t xml:space="preserve"> (GTA) project, developed jointly with Mauritania, reached first gas in December 2024, first LNG in February 2025 and its first export cargo in April 2025; by December 2025 its floating LNG (FLNG) vessel was running at its 2.7 million </w:t>
      </w:r>
      <w:proofErr w:type="spellStart"/>
      <w:r w:rsidRPr="003E7D75">
        <w:rPr>
          <w:rFonts w:eastAsia="Calibri"/>
          <w:sz w:val="24"/>
          <w:szCs w:val="24"/>
        </w:rPr>
        <w:t>tonnes</w:t>
      </w:r>
      <w:proofErr w:type="spellEnd"/>
      <w:r w:rsidRPr="003E7D75">
        <w:rPr>
          <w:rFonts w:eastAsia="Calibri"/>
          <w:sz w:val="24"/>
          <w:szCs w:val="24"/>
        </w:rPr>
        <w:t xml:space="preserve"> per annum (</w:t>
      </w:r>
      <w:proofErr w:type="spellStart"/>
      <w:r w:rsidRPr="003E7D75">
        <w:rPr>
          <w:rFonts w:eastAsia="Calibri"/>
          <w:sz w:val="24"/>
          <w:szCs w:val="24"/>
        </w:rPr>
        <w:t>mtpa</w:t>
      </w:r>
      <w:proofErr w:type="spellEnd"/>
      <w:r w:rsidRPr="003E7D75">
        <w:rPr>
          <w:rFonts w:eastAsia="Calibri"/>
          <w:sz w:val="24"/>
          <w:szCs w:val="24"/>
        </w:rPr>
        <w:t xml:space="preserve">) nameplate capacity, with Kosmos Energy guiding to roughly double 2026 cargo volumes. This single project has anchored several billion dollars of capital investment spanning subsea infrastructure, an FPSO, and a purpose-converted FLNG vessel now independently refinanced at $1.2 </w:t>
      </w:r>
      <w:r w:rsidR="003E7D75" w:rsidRPr="003E7D75">
        <w:rPr>
          <w:rFonts w:eastAsia="Calibri"/>
          <w:sz w:val="24"/>
          <w:szCs w:val="24"/>
        </w:rPr>
        <w:t>billion and</w:t>
      </w:r>
      <w:r w:rsidRPr="003E7D75">
        <w:rPr>
          <w:rFonts w:eastAsia="Calibri"/>
          <w:sz w:val="24"/>
          <w:szCs w:val="24"/>
        </w:rPr>
        <w:t xml:space="preserve"> has established Senegal's first proof point as a bankable LNG jurisdiction.</w:t>
      </w:r>
    </w:p>
    <w:p w14:paraId="3E37B576" w14:textId="749B1F6C" w:rsidR="009B7D1C" w:rsidRPr="003E7D75" w:rsidRDefault="00000000" w:rsidP="003E7D75">
      <w:pPr>
        <w:spacing w:line="360" w:lineRule="auto"/>
        <w:jc w:val="both"/>
        <w:rPr>
          <w:sz w:val="24"/>
          <w:szCs w:val="24"/>
        </w:rPr>
      </w:pPr>
      <w:r w:rsidRPr="003E7D75">
        <w:rPr>
          <w:rFonts w:eastAsia="Calibri"/>
          <w:sz w:val="24"/>
          <w:szCs w:val="24"/>
        </w:rPr>
        <w:t>The investment landscape beyond GTA is more contested. In April 2026, state company PETROSEN assumed full control of the 20–25 trillion cubic feet (</w:t>
      </w:r>
      <w:proofErr w:type="spellStart"/>
      <w:r w:rsidRPr="003E7D75">
        <w:rPr>
          <w:rFonts w:eastAsia="Calibri"/>
          <w:sz w:val="24"/>
          <w:szCs w:val="24"/>
        </w:rPr>
        <w:t>Tcf</w:t>
      </w:r>
      <w:proofErr w:type="spellEnd"/>
      <w:r w:rsidRPr="003E7D75">
        <w:rPr>
          <w:rFonts w:eastAsia="Calibri"/>
          <w:sz w:val="24"/>
          <w:szCs w:val="24"/>
        </w:rPr>
        <w:t xml:space="preserve">) </w:t>
      </w:r>
      <w:proofErr w:type="spellStart"/>
      <w:r w:rsidRPr="003E7D75">
        <w:rPr>
          <w:rFonts w:eastAsia="Calibri"/>
          <w:sz w:val="24"/>
          <w:szCs w:val="24"/>
        </w:rPr>
        <w:t>Yakaar</w:t>
      </w:r>
      <w:proofErr w:type="spellEnd"/>
      <w:r w:rsidRPr="003E7D75">
        <w:rPr>
          <w:rFonts w:eastAsia="Calibri"/>
          <w:sz w:val="24"/>
          <w:szCs w:val="24"/>
        </w:rPr>
        <w:t>-Teranga field after Kosmos Energy withdrew, following BP's 2023 exit from the same asset both departures reflecting a structural mismatch between IOC return expectations benchmarked to LNG export economics and the government's domestic-priority gas policy. This is the single most important signal for prospective investors: Senegal's 2019 Petroleum Code offers a standard, non-discretionary fiscal regime (no tax holidays, PETROSEN carried interest of 10%, expandable to 40%), but the state is now demonstrating a clear preference for partnership structures that commit new capital to domestic offtake, not export optionality alone.</w:t>
      </w:r>
    </w:p>
    <w:p w14:paraId="7A3941E9" w14:textId="02A362F7" w:rsidR="009B7D1C" w:rsidRPr="003E7D75" w:rsidRDefault="00000000" w:rsidP="003E7D75">
      <w:pPr>
        <w:spacing w:line="360" w:lineRule="auto"/>
        <w:jc w:val="both"/>
        <w:rPr>
          <w:sz w:val="24"/>
          <w:szCs w:val="24"/>
        </w:rPr>
      </w:pPr>
      <w:r w:rsidRPr="003E7D75">
        <w:rPr>
          <w:rFonts w:eastAsia="Calibri"/>
          <w:sz w:val="24"/>
          <w:szCs w:val="24"/>
        </w:rPr>
        <w:t xml:space="preserve">On value-chain infrastructure, Senegal's FLNG-led model has proven technically and financially replicable Golar LNG's </w:t>
      </w:r>
      <w:proofErr w:type="spellStart"/>
      <w:r w:rsidRPr="003E7D75">
        <w:rPr>
          <w:rFonts w:eastAsia="Calibri"/>
          <w:sz w:val="24"/>
          <w:szCs w:val="24"/>
        </w:rPr>
        <w:t>Gimi</w:t>
      </w:r>
      <w:proofErr w:type="spellEnd"/>
      <w:r w:rsidRPr="003E7D75">
        <w:rPr>
          <w:rFonts w:eastAsia="Calibri"/>
          <w:sz w:val="24"/>
          <w:szCs w:val="24"/>
        </w:rPr>
        <w:t xml:space="preserve"> vessel, built for $1.6 billion and now refinanced via a $1.2 billion, 16-year asset-backed facility priced at SOFR+2.50%, demonstrates that lenders view operational West African FLNG assets as bankable at roughly 5.5x debt/EBITDA. However, midstream integration the domestic gas pipeline network, gas-fired power conversion, and downstream industrial gas use</w:t>
      </w:r>
      <w:r w:rsidR="003E7D75">
        <w:rPr>
          <w:rFonts w:eastAsia="Calibri"/>
          <w:sz w:val="24"/>
          <w:szCs w:val="24"/>
        </w:rPr>
        <w:t xml:space="preserve"> </w:t>
      </w:r>
      <w:r w:rsidRPr="003E7D75">
        <w:rPr>
          <w:rFonts w:eastAsia="Calibri"/>
          <w:sz w:val="24"/>
          <w:szCs w:val="24"/>
        </w:rPr>
        <w:t xml:space="preserve"> lags upstream and liquefaction capacity, creating a value-chain bottleneck rather than a resource or technology constraint.</w:t>
      </w:r>
    </w:p>
    <w:p w14:paraId="01A283E1" w14:textId="662AAF3E" w:rsidR="009B7D1C" w:rsidRDefault="00000000" w:rsidP="003E7D75">
      <w:pPr>
        <w:spacing w:line="360" w:lineRule="auto"/>
        <w:jc w:val="both"/>
        <w:rPr>
          <w:rFonts w:eastAsia="Calibri"/>
          <w:sz w:val="24"/>
          <w:szCs w:val="24"/>
        </w:rPr>
      </w:pPr>
      <w:r w:rsidRPr="003E7D75">
        <w:rPr>
          <w:rFonts w:eastAsia="Calibri"/>
          <w:sz w:val="24"/>
          <w:szCs w:val="24"/>
        </w:rPr>
        <w:t xml:space="preserve">Senegal's global LNG market position remains modest in scale (2.7 </w:t>
      </w:r>
      <w:proofErr w:type="spellStart"/>
      <w:r w:rsidRPr="003E7D75">
        <w:rPr>
          <w:rFonts w:eastAsia="Calibri"/>
          <w:sz w:val="24"/>
          <w:szCs w:val="24"/>
        </w:rPr>
        <w:t>mtpa</w:t>
      </w:r>
      <w:proofErr w:type="spellEnd"/>
      <w:r w:rsidRPr="003E7D75">
        <w:rPr>
          <w:rFonts w:eastAsia="Calibri"/>
          <w:sz w:val="24"/>
          <w:szCs w:val="24"/>
        </w:rPr>
        <w:t xml:space="preserve"> versus double-digit </w:t>
      </w:r>
      <w:proofErr w:type="spellStart"/>
      <w:r w:rsidRPr="003E7D75">
        <w:rPr>
          <w:rFonts w:eastAsia="Calibri"/>
          <w:sz w:val="24"/>
          <w:szCs w:val="24"/>
        </w:rPr>
        <w:t>mtpa</w:t>
      </w:r>
      <w:proofErr w:type="spellEnd"/>
      <w:r w:rsidRPr="003E7D75">
        <w:rPr>
          <w:rFonts w:eastAsia="Calibri"/>
          <w:sz w:val="24"/>
          <w:szCs w:val="24"/>
        </w:rPr>
        <w:t xml:space="preserve"> peers such as Qatar or the US Gulf Coast) but geographically advantaged for Atlantic Basin buyers in Europe and Latin America, with Middle East-linked supply-security concerns supporting near-</w:t>
      </w:r>
      <w:r w:rsidRPr="003E7D75">
        <w:rPr>
          <w:rFonts w:eastAsia="Calibri"/>
          <w:sz w:val="24"/>
          <w:szCs w:val="24"/>
        </w:rPr>
        <w:lastRenderedPageBreak/>
        <w:t xml:space="preserve">term pricing and offtake economics through 2026. Through 2040, Senegal's trajectory depends far less on gas-in-place which is ample across GTA, </w:t>
      </w:r>
      <w:proofErr w:type="spellStart"/>
      <w:r w:rsidRPr="003E7D75">
        <w:rPr>
          <w:rFonts w:eastAsia="Calibri"/>
          <w:sz w:val="24"/>
          <w:szCs w:val="24"/>
        </w:rPr>
        <w:t>Yakaar</w:t>
      </w:r>
      <w:proofErr w:type="spellEnd"/>
      <w:r w:rsidRPr="003E7D75">
        <w:rPr>
          <w:rFonts w:eastAsia="Calibri"/>
          <w:sz w:val="24"/>
          <w:szCs w:val="24"/>
        </w:rPr>
        <w:t xml:space="preserve">-Teranga and the wider basin than on whether PETROSEN and prospective new partners can design financeable structures for a second phase of development that satisfies both </w:t>
      </w:r>
      <w:r w:rsidR="003E7D75" w:rsidRPr="003E7D75">
        <w:rPr>
          <w:rFonts w:eastAsia="Calibri"/>
          <w:sz w:val="24"/>
          <w:szCs w:val="24"/>
        </w:rPr>
        <w:t>investors</w:t>
      </w:r>
      <w:r w:rsidRPr="003E7D75">
        <w:rPr>
          <w:rFonts w:eastAsia="Calibri"/>
          <w:sz w:val="24"/>
          <w:szCs w:val="24"/>
        </w:rPr>
        <w:t xml:space="preserve"> return requirements and domestic-priority policy.</w:t>
      </w:r>
    </w:p>
    <w:p w14:paraId="5683D4EC" w14:textId="77777777" w:rsidR="003E7D75" w:rsidRPr="003E7D75" w:rsidRDefault="003E7D75" w:rsidP="003E7D75">
      <w:pPr>
        <w:spacing w:line="360" w:lineRule="auto"/>
        <w:jc w:val="both"/>
        <w:rPr>
          <w:b/>
          <w:bCs/>
          <w:sz w:val="24"/>
          <w:szCs w:val="24"/>
        </w:rPr>
      </w:pPr>
    </w:p>
    <w:p w14:paraId="52AA0882" w14:textId="77777777" w:rsidR="009B7D1C" w:rsidRPr="003E7D75" w:rsidRDefault="00000000" w:rsidP="003E7D75">
      <w:pPr>
        <w:spacing w:line="360" w:lineRule="auto"/>
        <w:jc w:val="both"/>
        <w:rPr>
          <w:b/>
          <w:bCs/>
          <w:sz w:val="24"/>
          <w:szCs w:val="24"/>
        </w:rPr>
      </w:pPr>
      <w:r w:rsidRPr="003E7D75">
        <w:rPr>
          <w:rFonts w:eastAsia="Calibri"/>
          <w:b/>
          <w:bCs/>
          <w:sz w:val="24"/>
          <w:szCs w:val="24"/>
        </w:rPr>
        <w:t>2. Upstream Gas Resource Development</w:t>
      </w:r>
    </w:p>
    <w:p w14:paraId="60153ECA" w14:textId="77777777" w:rsidR="009B7D1C" w:rsidRPr="003E7D75" w:rsidRDefault="00000000" w:rsidP="003E7D75">
      <w:pPr>
        <w:spacing w:line="360" w:lineRule="auto"/>
        <w:jc w:val="both"/>
        <w:rPr>
          <w:b/>
          <w:bCs/>
          <w:sz w:val="24"/>
          <w:szCs w:val="24"/>
        </w:rPr>
      </w:pPr>
      <w:r w:rsidRPr="003E7D75">
        <w:rPr>
          <w:rFonts w:eastAsia="Calibri"/>
          <w:b/>
          <w:bCs/>
          <w:sz w:val="24"/>
          <w:szCs w:val="24"/>
        </w:rPr>
        <w:t>2.1 Reserve Base and Major Fields</w:t>
      </w:r>
    </w:p>
    <w:tbl>
      <w:tblPr>
        <w:tblStyle w:val="TableGrid"/>
        <w:tblW w:w="9445" w:type="dxa"/>
        <w:tblLook w:val="0000" w:firstRow="0" w:lastRow="0" w:firstColumn="0" w:lastColumn="0" w:noHBand="0" w:noVBand="0"/>
      </w:tblPr>
      <w:tblGrid>
        <w:gridCol w:w="2785"/>
        <w:gridCol w:w="90"/>
        <w:gridCol w:w="3510"/>
        <w:gridCol w:w="3060"/>
      </w:tblGrid>
      <w:tr w:rsidR="003E7D75" w:rsidRPr="003E7D75" w14:paraId="33BCB40C" w14:textId="77777777" w:rsidTr="003E7D75">
        <w:tc>
          <w:tcPr>
            <w:tcW w:w="2875" w:type="dxa"/>
            <w:gridSpan w:val="2"/>
          </w:tcPr>
          <w:p w14:paraId="2A16AF57" w14:textId="77777777" w:rsidR="003E7D75" w:rsidRPr="003E7D75" w:rsidRDefault="003E7D75" w:rsidP="003E7D75">
            <w:pPr>
              <w:spacing w:line="360" w:lineRule="auto"/>
              <w:jc w:val="both"/>
              <w:rPr>
                <w:sz w:val="24"/>
                <w:szCs w:val="24"/>
              </w:rPr>
            </w:pPr>
            <w:r w:rsidRPr="003E7D75">
              <w:rPr>
                <w:rFonts w:eastAsia="Calibri"/>
                <w:sz w:val="24"/>
                <w:szCs w:val="24"/>
              </w:rPr>
              <w:t>Asset</w:t>
            </w:r>
          </w:p>
        </w:tc>
        <w:tc>
          <w:tcPr>
            <w:tcW w:w="3510" w:type="dxa"/>
          </w:tcPr>
          <w:p w14:paraId="43515BEC" w14:textId="77777777" w:rsidR="003E7D75" w:rsidRPr="003E7D75" w:rsidRDefault="003E7D75" w:rsidP="003E7D75">
            <w:pPr>
              <w:spacing w:line="360" w:lineRule="auto"/>
              <w:jc w:val="both"/>
              <w:rPr>
                <w:sz w:val="24"/>
                <w:szCs w:val="24"/>
              </w:rPr>
            </w:pPr>
            <w:r w:rsidRPr="003E7D75">
              <w:rPr>
                <w:rFonts w:eastAsia="Calibri"/>
                <w:sz w:val="24"/>
                <w:szCs w:val="24"/>
              </w:rPr>
              <w:t>Operator / Status</w:t>
            </w:r>
          </w:p>
        </w:tc>
        <w:tc>
          <w:tcPr>
            <w:tcW w:w="3060" w:type="dxa"/>
          </w:tcPr>
          <w:p w14:paraId="234032DF" w14:textId="77777777" w:rsidR="003E7D75" w:rsidRPr="003E7D75" w:rsidRDefault="003E7D75" w:rsidP="003E7D75">
            <w:pPr>
              <w:spacing w:line="360" w:lineRule="auto"/>
              <w:jc w:val="both"/>
              <w:rPr>
                <w:sz w:val="24"/>
                <w:szCs w:val="24"/>
              </w:rPr>
            </w:pPr>
            <w:r w:rsidRPr="003E7D75">
              <w:rPr>
                <w:rFonts w:eastAsia="Calibri"/>
                <w:sz w:val="24"/>
                <w:szCs w:val="24"/>
              </w:rPr>
              <w:t>Resource Estimate</w:t>
            </w:r>
          </w:p>
        </w:tc>
      </w:tr>
      <w:tr w:rsidR="003E7D75" w:rsidRPr="003E7D75" w14:paraId="58A45C6D" w14:textId="77777777" w:rsidTr="003E7D75">
        <w:tc>
          <w:tcPr>
            <w:tcW w:w="2785" w:type="dxa"/>
          </w:tcPr>
          <w:p w14:paraId="69540F4B" w14:textId="77777777" w:rsidR="003E7D75" w:rsidRPr="003E7D75" w:rsidRDefault="003E7D75" w:rsidP="003E7D75">
            <w:pPr>
              <w:spacing w:line="360" w:lineRule="auto"/>
              <w:jc w:val="both"/>
              <w:rPr>
                <w:sz w:val="24"/>
                <w:szCs w:val="24"/>
              </w:rPr>
            </w:pPr>
            <w:r w:rsidRPr="003E7D75">
              <w:rPr>
                <w:rFonts w:eastAsia="Calibri"/>
                <w:sz w:val="24"/>
                <w:szCs w:val="24"/>
              </w:rPr>
              <w:t xml:space="preserve">Greater Tortue </w:t>
            </w:r>
            <w:proofErr w:type="spellStart"/>
            <w:r w:rsidRPr="003E7D75">
              <w:rPr>
                <w:rFonts w:eastAsia="Calibri"/>
                <w:sz w:val="24"/>
                <w:szCs w:val="24"/>
              </w:rPr>
              <w:t>Ahmeyim</w:t>
            </w:r>
            <w:proofErr w:type="spellEnd"/>
            <w:r w:rsidRPr="003E7D75">
              <w:rPr>
                <w:rFonts w:eastAsia="Calibri"/>
                <w:sz w:val="24"/>
                <w:szCs w:val="24"/>
              </w:rPr>
              <w:t xml:space="preserve"> (GTA)</w:t>
            </w:r>
          </w:p>
        </w:tc>
        <w:tc>
          <w:tcPr>
            <w:tcW w:w="3600" w:type="dxa"/>
            <w:gridSpan w:val="2"/>
          </w:tcPr>
          <w:p w14:paraId="58DB8F67" w14:textId="77777777" w:rsidR="003E7D75" w:rsidRPr="003E7D75" w:rsidRDefault="003E7D75" w:rsidP="003E7D75">
            <w:pPr>
              <w:spacing w:line="360" w:lineRule="auto"/>
              <w:jc w:val="both"/>
              <w:rPr>
                <w:sz w:val="24"/>
                <w:szCs w:val="24"/>
              </w:rPr>
            </w:pPr>
            <w:r w:rsidRPr="003E7D75">
              <w:rPr>
                <w:rFonts w:eastAsia="Calibri"/>
                <w:sz w:val="24"/>
                <w:szCs w:val="24"/>
              </w:rPr>
              <w:t>BP (operator); Kosmos Energy, PETROSEN, SMHPM</w:t>
            </w:r>
          </w:p>
        </w:tc>
        <w:tc>
          <w:tcPr>
            <w:tcW w:w="3060" w:type="dxa"/>
          </w:tcPr>
          <w:p w14:paraId="7A19567B" w14:textId="77777777" w:rsidR="003E7D75" w:rsidRPr="003E7D75" w:rsidRDefault="003E7D75" w:rsidP="003E7D75">
            <w:pPr>
              <w:spacing w:line="360" w:lineRule="auto"/>
              <w:jc w:val="both"/>
              <w:rPr>
                <w:sz w:val="24"/>
                <w:szCs w:val="24"/>
              </w:rPr>
            </w:pPr>
            <w:r w:rsidRPr="003E7D75">
              <w:rPr>
                <w:rFonts w:eastAsia="Calibri"/>
                <w:sz w:val="24"/>
                <w:szCs w:val="24"/>
              </w:rPr>
              <w:t xml:space="preserve">~15 </w:t>
            </w:r>
            <w:proofErr w:type="spellStart"/>
            <w:r w:rsidRPr="003E7D75">
              <w:rPr>
                <w:rFonts w:eastAsia="Calibri"/>
                <w:sz w:val="24"/>
                <w:szCs w:val="24"/>
              </w:rPr>
              <w:t>Tcf</w:t>
            </w:r>
            <w:proofErr w:type="spellEnd"/>
            <w:r w:rsidRPr="003E7D75">
              <w:rPr>
                <w:rFonts w:eastAsia="Calibri"/>
                <w:sz w:val="24"/>
                <w:szCs w:val="24"/>
              </w:rPr>
              <w:t xml:space="preserve"> (~425 </w:t>
            </w:r>
            <w:proofErr w:type="spellStart"/>
            <w:r w:rsidRPr="003E7D75">
              <w:rPr>
                <w:rFonts w:eastAsia="Calibri"/>
                <w:sz w:val="24"/>
                <w:szCs w:val="24"/>
              </w:rPr>
              <w:t>bcm</w:t>
            </w:r>
            <w:proofErr w:type="spellEnd"/>
            <w:r w:rsidRPr="003E7D75">
              <w:rPr>
                <w:rFonts w:eastAsia="Calibri"/>
                <w:sz w:val="24"/>
                <w:szCs w:val="24"/>
              </w:rPr>
              <w:t xml:space="preserve">) Phase 1/2; up to ~40 </w:t>
            </w:r>
            <w:proofErr w:type="spellStart"/>
            <w:r w:rsidRPr="003E7D75">
              <w:rPr>
                <w:rFonts w:eastAsia="Calibri"/>
                <w:sz w:val="24"/>
                <w:szCs w:val="24"/>
              </w:rPr>
              <w:t>Tcf</w:t>
            </w:r>
            <w:proofErr w:type="spellEnd"/>
            <w:r w:rsidRPr="003E7D75">
              <w:rPr>
                <w:rFonts w:eastAsia="Calibri"/>
                <w:sz w:val="24"/>
                <w:szCs w:val="24"/>
              </w:rPr>
              <w:t xml:space="preserve"> basin-wide</w:t>
            </w:r>
          </w:p>
        </w:tc>
      </w:tr>
      <w:tr w:rsidR="003E7D75" w:rsidRPr="003E7D75" w14:paraId="7A08E7E7" w14:textId="77777777" w:rsidTr="003E7D75">
        <w:tc>
          <w:tcPr>
            <w:tcW w:w="2785" w:type="dxa"/>
          </w:tcPr>
          <w:p w14:paraId="347A9FDC" w14:textId="77777777" w:rsidR="003E7D75" w:rsidRPr="003E7D75" w:rsidRDefault="003E7D75" w:rsidP="003E7D75">
            <w:pPr>
              <w:spacing w:line="360" w:lineRule="auto"/>
              <w:jc w:val="both"/>
              <w:rPr>
                <w:sz w:val="24"/>
                <w:szCs w:val="24"/>
              </w:rPr>
            </w:pPr>
            <w:proofErr w:type="spellStart"/>
            <w:r w:rsidRPr="003E7D75">
              <w:rPr>
                <w:rFonts w:eastAsia="Calibri"/>
                <w:sz w:val="24"/>
                <w:szCs w:val="24"/>
              </w:rPr>
              <w:t>Yakaar</w:t>
            </w:r>
            <w:proofErr w:type="spellEnd"/>
            <w:r w:rsidRPr="003E7D75">
              <w:rPr>
                <w:rFonts w:eastAsia="Calibri"/>
                <w:sz w:val="24"/>
                <w:szCs w:val="24"/>
              </w:rPr>
              <w:t>-Teranga</w:t>
            </w:r>
          </w:p>
        </w:tc>
        <w:tc>
          <w:tcPr>
            <w:tcW w:w="3600" w:type="dxa"/>
            <w:gridSpan w:val="2"/>
          </w:tcPr>
          <w:p w14:paraId="5F5381BA" w14:textId="77777777" w:rsidR="003E7D75" w:rsidRPr="003E7D75" w:rsidRDefault="003E7D75" w:rsidP="003E7D75">
            <w:pPr>
              <w:spacing w:line="360" w:lineRule="auto"/>
              <w:jc w:val="both"/>
              <w:rPr>
                <w:sz w:val="24"/>
                <w:szCs w:val="24"/>
              </w:rPr>
            </w:pPr>
            <w:r w:rsidRPr="003E7D75">
              <w:rPr>
                <w:rFonts w:eastAsia="Calibri"/>
                <w:sz w:val="24"/>
                <w:szCs w:val="24"/>
              </w:rPr>
              <w:t>PETROSEN (100%, since Apr 2026)</w:t>
            </w:r>
          </w:p>
        </w:tc>
        <w:tc>
          <w:tcPr>
            <w:tcW w:w="3060" w:type="dxa"/>
          </w:tcPr>
          <w:p w14:paraId="21A4AF5D" w14:textId="77777777" w:rsidR="003E7D75" w:rsidRPr="003E7D75" w:rsidRDefault="003E7D75" w:rsidP="003E7D75">
            <w:pPr>
              <w:spacing w:line="360" w:lineRule="auto"/>
              <w:jc w:val="both"/>
              <w:rPr>
                <w:sz w:val="24"/>
                <w:szCs w:val="24"/>
              </w:rPr>
            </w:pPr>
            <w:r w:rsidRPr="003E7D75">
              <w:rPr>
                <w:rFonts w:eastAsia="Calibri"/>
                <w:sz w:val="24"/>
                <w:szCs w:val="24"/>
              </w:rPr>
              <w:t xml:space="preserve">20–25 </w:t>
            </w:r>
            <w:proofErr w:type="spellStart"/>
            <w:r w:rsidRPr="003E7D75">
              <w:rPr>
                <w:rFonts w:eastAsia="Calibri"/>
                <w:sz w:val="24"/>
                <w:szCs w:val="24"/>
              </w:rPr>
              <w:t>Tcf</w:t>
            </w:r>
            <w:proofErr w:type="spellEnd"/>
          </w:p>
        </w:tc>
      </w:tr>
      <w:tr w:rsidR="003E7D75" w:rsidRPr="003E7D75" w14:paraId="130B2AB1" w14:textId="77777777" w:rsidTr="003E7D75">
        <w:tc>
          <w:tcPr>
            <w:tcW w:w="2785" w:type="dxa"/>
          </w:tcPr>
          <w:p w14:paraId="42B5872C" w14:textId="77777777" w:rsidR="003E7D75" w:rsidRPr="003E7D75" w:rsidRDefault="003E7D75" w:rsidP="003E7D75">
            <w:pPr>
              <w:spacing w:line="360" w:lineRule="auto"/>
              <w:jc w:val="both"/>
              <w:rPr>
                <w:sz w:val="24"/>
                <w:szCs w:val="24"/>
              </w:rPr>
            </w:pPr>
            <w:proofErr w:type="spellStart"/>
            <w:r w:rsidRPr="003E7D75">
              <w:rPr>
                <w:rFonts w:eastAsia="Calibri"/>
                <w:sz w:val="24"/>
                <w:szCs w:val="24"/>
              </w:rPr>
              <w:t>Sangomar</w:t>
            </w:r>
            <w:proofErr w:type="spellEnd"/>
            <w:r w:rsidRPr="003E7D75">
              <w:rPr>
                <w:rFonts w:eastAsia="Calibri"/>
                <w:sz w:val="24"/>
                <w:szCs w:val="24"/>
              </w:rPr>
              <w:t xml:space="preserve"> (associated gas)</w:t>
            </w:r>
          </w:p>
        </w:tc>
        <w:tc>
          <w:tcPr>
            <w:tcW w:w="3600" w:type="dxa"/>
            <w:gridSpan w:val="2"/>
          </w:tcPr>
          <w:p w14:paraId="490F7F5F" w14:textId="77777777" w:rsidR="003E7D75" w:rsidRPr="003E7D75" w:rsidRDefault="003E7D75" w:rsidP="003E7D75">
            <w:pPr>
              <w:spacing w:line="360" w:lineRule="auto"/>
              <w:jc w:val="both"/>
              <w:rPr>
                <w:sz w:val="24"/>
                <w:szCs w:val="24"/>
              </w:rPr>
            </w:pPr>
            <w:r w:rsidRPr="003E7D75">
              <w:rPr>
                <w:rFonts w:eastAsia="Calibri"/>
                <w:sz w:val="24"/>
                <w:szCs w:val="24"/>
              </w:rPr>
              <w:t>Woodside Energy (operator)</w:t>
            </w:r>
          </w:p>
        </w:tc>
        <w:tc>
          <w:tcPr>
            <w:tcW w:w="3060" w:type="dxa"/>
          </w:tcPr>
          <w:p w14:paraId="729637ED" w14:textId="77777777" w:rsidR="003E7D75" w:rsidRPr="003E7D75" w:rsidRDefault="003E7D75" w:rsidP="003E7D75">
            <w:pPr>
              <w:spacing w:line="360" w:lineRule="auto"/>
              <w:jc w:val="both"/>
              <w:rPr>
                <w:sz w:val="24"/>
                <w:szCs w:val="24"/>
              </w:rPr>
            </w:pPr>
            <w:r w:rsidRPr="003E7D75">
              <w:rPr>
                <w:rFonts w:eastAsia="Calibri"/>
                <w:sz w:val="24"/>
                <w:szCs w:val="24"/>
              </w:rPr>
              <w:t>Oil-dominant; modest associated gas</w:t>
            </w:r>
          </w:p>
        </w:tc>
      </w:tr>
      <w:tr w:rsidR="003E7D75" w:rsidRPr="003E7D75" w14:paraId="69321527" w14:textId="77777777" w:rsidTr="003E7D75">
        <w:tc>
          <w:tcPr>
            <w:tcW w:w="2785" w:type="dxa"/>
          </w:tcPr>
          <w:p w14:paraId="2E719661" w14:textId="77777777" w:rsidR="003E7D75" w:rsidRPr="003E7D75" w:rsidRDefault="003E7D75" w:rsidP="003E7D75">
            <w:pPr>
              <w:spacing w:line="360" w:lineRule="auto"/>
              <w:jc w:val="both"/>
              <w:rPr>
                <w:sz w:val="24"/>
                <w:szCs w:val="24"/>
              </w:rPr>
            </w:pPr>
            <w:proofErr w:type="spellStart"/>
            <w:r w:rsidRPr="003E7D75">
              <w:rPr>
                <w:rFonts w:eastAsia="Calibri"/>
                <w:sz w:val="24"/>
                <w:szCs w:val="24"/>
              </w:rPr>
              <w:t>BirAllah</w:t>
            </w:r>
            <w:proofErr w:type="spellEnd"/>
            <w:r w:rsidRPr="003E7D75">
              <w:rPr>
                <w:rFonts w:eastAsia="Calibri"/>
                <w:sz w:val="24"/>
                <w:szCs w:val="24"/>
              </w:rPr>
              <w:t xml:space="preserve"> (Mauritania, basin comparator)</w:t>
            </w:r>
          </w:p>
        </w:tc>
        <w:tc>
          <w:tcPr>
            <w:tcW w:w="3600" w:type="dxa"/>
            <w:gridSpan w:val="2"/>
          </w:tcPr>
          <w:p w14:paraId="56A2C50E" w14:textId="77777777" w:rsidR="003E7D75" w:rsidRPr="003E7D75" w:rsidRDefault="003E7D75" w:rsidP="003E7D75">
            <w:pPr>
              <w:spacing w:line="360" w:lineRule="auto"/>
              <w:jc w:val="both"/>
              <w:rPr>
                <w:sz w:val="24"/>
                <w:szCs w:val="24"/>
              </w:rPr>
            </w:pPr>
            <w:r w:rsidRPr="003E7D75">
              <w:rPr>
                <w:rFonts w:eastAsia="Calibri"/>
                <w:sz w:val="24"/>
                <w:szCs w:val="24"/>
              </w:rPr>
              <w:t xml:space="preserve">Unresolved – TotalEnergies exited 2025; </w:t>
            </w:r>
            <w:proofErr w:type="spellStart"/>
            <w:r w:rsidRPr="003E7D75">
              <w:rPr>
                <w:rFonts w:eastAsia="Calibri"/>
                <w:sz w:val="24"/>
                <w:szCs w:val="24"/>
              </w:rPr>
              <w:t>Energean</w:t>
            </w:r>
            <w:proofErr w:type="spellEnd"/>
            <w:r w:rsidRPr="003E7D75">
              <w:rPr>
                <w:rFonts w:eastAsia="Calibri"/>
                <w:sz w:val="24"/>
                <w:szCs w:val="24"/>
              </w:rPr>
              <w:t xml:space="preserve"> evaluating</w:t>
            </w:r>
          </w:p>
        </w:tc>
        <w:tc>
          <w:tcPr>
            <w:tcW w:w="3060" w:type="dxa"/>
          </w:tcPr>
          <w:p w14:paraId="3D6E7E4E" w14:textId="77777777" w:rsidR="003E7D75" w:rsidRPr="003E7D75" w:rsidRDefault="003E7D75" w:rsidP="003E7D75">
            <w:pPr>
              <w:spacing w:line="360" w:lineRule="auto"/>
              <w:jc w:val="both"/>
              <w:rPr>
                <w:sz w:val="24"/>
                <w:szCs w:val="24"/>
              </w:rPr>
            </w:pPr>
            <w:r w:rsidRPr="003E7D75">
              <w:rPr>
                <w:rFonts w:eastAsia="Calibri"/>
                <w:sz w:val="24"/>
                <w:szCs w:val="24"/>
              </w:rPr>
              <w:t>Large, undeveloped</w:t>
            </w:r>
          </w:p>
        </w:tc>
      </w:tr>
      <w:tr w:rsidR="003E7D75" w:rsidRPr="003E7D75" w14:paraId="6CA2597C" w14:textId="77777777" w:rsidTr="003E7D75">
        <w:tc>
          <w:tcPr>
            <w:tcW w:w="2785" w:type="dxa"/>
          </w:tcPr>
          <w:p w14:paraId="41627806" w14:textId="77777777" w:rsidR="003E7D75" w:rsidRPr="003E7D75" w:rsidRDefault="003E7D75" w:rsidP="003E7D75">
            <w:pPr>
              <w:spacing w:line="360" w:lineRule="auto"/>
              <w:jc w:val="both"/>
              <w:rPr>
                <w:sz w:val="24"/>
                <w:szCs w:val="24"/>
              </w:rPr>
            </w:pPr>
            <w:r w:rsidRPr="003E7D75">
              <w:rPr>
                <w:rFonts w:eastAsia="Calibri"/>
                <w:sz w:val="24"/>
                <w:szCs w:val="24"/>
              </w:rPr>
              <w:t>Onshore frontier acreage</w:t>
            </w:r>
          </w:p>
        </w:tc>
        <w:tc>
          <w:tcPr>
            <w:tcW w:w="3600" w:type="dxa"/>
            <w:gridSpan w:val="2"/>
          </w:tcPr>
          <w:p w14:paraId="79A34582" w14:textId="77777777" w:rsidR="003E7D75" w:rsidRPr="003E7D75" w:rsidRDefault="003E7D75" w:rsidP="003E7D75">
            <w:pPr>
              <w:spacing w:line="360" w:lineRule="auto"/>
              <w:jc w:val="both"/>
              <w:rPr>
                <w:sz w:val="24"/>
                <w:szCs w:val="24"/>
              </w:rPr>
            </w:pPr>
            <w:r w:rsidRPr="003E7D75">
              <w:rPr>
                <w:rFonts w:eastAsia="Calibri"/>
                <w:sz w:val="24"/>
                <w:szCs w:val="24"/>
              </w:rPr>
              <w:t>PETROSEN (independent operator)</w:t>
            </w:r>
          </w:p>
        </w:tc>
        <w:tc>
          <w:tcPr>
            <w:tcW w:w="3060" w:type="dxa"/>
          </w:tcPr>
          <w:p w14:paraId="07AE896F" w14:textId="77777777" w:rsidR="003E7D75" w:rsidRPr="003E7D75" w:rsidRDefault="003E7D75" w:rsidP="003E7D75">
            <w:pPr>
              <w:spacing w:line="360" w:lineRule="auto"/>
              <w:jc w:val="both"/>
              <w:rPr>
                <w:sz w:val="24"/>
                <w:szCs w:val="24"/>
              </w:rPr>
            </w:pPr>
            <w:r w:rsidRPr="003E7D75">
              <w:rPr>
                <w:rFonts w:eastAsia="Calibri"/>
                <w:sz w:val="24"/>
                <w:szCs w:val="24"/>
              </w:rPr>
              <w:t>Unproven</w:t>
            </w:r>
          </w:p>
        </w:tc>
      </w:tr>
    </w:tbl>
    <w:p w14:paraId="2B4FCB88" w14:textId="77777777" w:rsidR="009B7D1C" w:rsidRPr="003E7D75" w:rsidRDefault="009B7D1C" w:rsidP="003E7D75">
      <w:pPr>
        <w:spacing w:line="360" w:lineRule="auto"/>
        <w:jc w:val="both"/>
        <w:rPr>
          <w:sz w:val="24"/>
          <w:szCs w:val="24"/>
        </w:rPr>
      </w:pPr>
    </w:p>
    <w:p w14:paraId="2F3FE006" w14:textId="77777777" w:rsidR="009B7D1C" w:rsidRPr="003E7D75" w:rsidRDefault="00000000" w:rsidP="003E7D75">
      <w:pPr>
        <w:spacing w:line="360" w:lineRule="auto"/>
        <w:jc w:val="both"/>
        <w:rPr>
          <w:b/>
          <w:bCs/>
          <w:sz w:val="24"/>
          <w:szCs w:val="24"/>
        </w:rPr>
      </w:pPr>
      <w:r w:rsidRPr="003E7D75">
        <w:rPr>
          <w:rFonts w:eastAsia="Calibri"/>
          <w:b/>
          <w:bCs/>
          <w:sz w:val="24"/>
          <w:szCs w:val="24"/>
        </w:rPr>
        <w:t>2.2 Exploration and Appraisal Activity</w:t>
      </w:r>
    </w:p>
    <w:p w14:paraId="408201D3" w14:textId="77777777" w:rsidR="009B7D1C" w:rsidRPr="003E7D75" w:rsidRDefault="00000000" w:rsidP="003E7D75">
      <w:pPr>
        <w:spacing w:line="360" w:lineRule="auto"/>
        <w:jc w:val="both"/>
        <w:rPr>
          <w:sz w:val="24"/>
          <w:szCs w:val="24"/>
        </w:rPr>
      </w:pPr>
      <w:r w:rsidRPr="003E7D75">
        <w:rPr>
          <w:rFonts w:eastAsia="Calibri"/>
          <w:sz w:val="24"/>
          <w:szCs w:val="24"/>
        </w:rPr>
        <w:t xml:space="preserve">PETROSEN's 2026 independent onshore campaign ($100 million) is the state company's first self-operated exploration effort, targeting basins geologically analogous to the offshore GTA and </w:t>
      </w:r>
      <w:proofErr w:type="spellStart"/>
      <w:r w:rsidRPr="003E7D75">
        <w:rPr>
          <w:rFonts w:eastAsia="Calibri"/>
          <w:sz w:val="24"/>
          <w:szCs w:val="24"/>
        </w:rPr>
        <w:t>Sangomar</w:t>
      </w:r>
      <w:proofErr w:type="spellEnd"/>
      <w:r w:rsidRPr="003E7D75">
        <w:rPr>
          <w:rFonts w:eastAsia="Calibri"/>
          <w:sz w:val="24"/>
          <w:szCs w:val="24"/>
        </w:rPr>
        <w:t xml:space="preserve"> discoveries.</w:t>
      </w:r>
    </w:p>
    <w:p w14:paraId="568CC59B" w14:textId="77777777" w:rsidR="009B7D1C" w:rsidRPr="003E7D75" w:rsidRDefault="00000000" w:rsidP="003E7D75">
      <w:pPr>
        <w:spacing w:line="360" w:lineRule="auto"/>
        <w:jc w:val="both"/>
        <w:rPr>
          <w:sz w:val="24"/>
          <w:szCs w:val="24"/>
        </w:rPr>
      </w:pPr>
      <w:r w:rsidRPr="003E7D75">
        <w:rPr>
          <w:rFonts w:eastAsia="Calibri"/>
          <w:sz w:val="24"/>
          <w:szCs w:val="24"/>
        </w:rPr>
        <w:t xml:space="preserve">Basin-wide appraisal remains thin relative to resource potential: aggregate MSGBC basin estimates run as high as 40 </w:t>
      </w:r>
      <w:proofErr w:type="spellStart"/>
      <w:r w:rsidRPr="003E7D75">
        <w:rPr>
          <w:rFonts w:eastAsia="Calibri"/>
          <w:sz w:val="24"/>
          <w:szCs w:val="24"/>
        </w:rPr>
        <w:t>Tcf</w:t>
      </w:r>
      <w:proofErr w:type="spellEnd"/>
      <w:r w:rsidRPr="003E7D75">
        <w:rPr>
          <w:rFonts w:eastAsia="Calibri"/>
          <w:sz w:val="24"/>
          <w:szCs w:val="24"/>
        </w:rPr>
        <w:t xml:space="preserve">, but only GTA has reached FID and production; </w:t>
      </w:r>
      <w:proofErr w:type="spellStart"/>
      <w:r w:rsidRPr="003E7D75">
        <w:rPr>
          <w:rFonts w:eastAsia="Calibri"/>
          <w:sz w:val="24"/>
          <w:szCs w:val="24"/>
        </w:rPr>
        <w:t>Yakaar</w:t>
      </w:r>
      <w:proofErr w:type="spellEnd"/>
      <w:r w:rsidRPr="003E7D75">
        <w:rPr>
          <w:rFonts w:eastAsia="Calibri"/>
          <w:sz w:val="24"/>
          <w:szCs w:val="24"/>
        </w:rPr>
        <w:t xml:space="preserve">-Teranga and </w:t>
      </w:r>
      <w:proofErr w:type="spellStart"/>
      <w:r w:rsidRPr="003E7D75">
        <w:rPr>
          <w:rFonts w:eastAsia="Calibri"/>
          <w:sz w:val="24"/>
          <w:szCs w:val="24"/>
        </w:rPr>
        <w:t>BirAllah</w:t>
      </w:r>
      <w:proofErr w:type="spellEnd"/>
      <w:r w:rsidRPr="003E7D75">
        <w:rPr>
          <w:rFonts w:eastAsia="Calibri"/>
          <w:sz w:val="24"/>
          <w:szCs w:val="24"/>
        </w:rPr>
        <w:t xml:space="preserve"> both remain pre-FID with unresolved partner structures.</w:t>
      </w:r>
    </w:p>
    <w:p w14:paraId="5FDF9C7E" w14:textId="77777777" w:rsidR="003E7D75" w:rsidRDefault="003E7D75" w:rsidP="003E7D75">
      <w:pPr>
        <w:spacing w:line="360" w:lineRule="auto"/>
        <w:jc w:val="both"/>
        <w:rPr>
          <w:rFonts w:eastAsia="Calibri"/>
          <w:sz w:val="24"/>
          <w:szCs w:val="24"/>
        </w:rPr>
      </w:pPr>
    </w:p>
    <w:p w14:paraId="7185AFDC" w14:textId="46FC80A2" w:rsidR="009B7D1C" w:rsidRPr="003E7D75" w:rsidRDefault="00000000" w:rsidP="003E7D75">
      <w:pPr>
        <w:spacing w:line="360" w:lineRule="auto"/>
        <w:jc w:val="both"/>
        <w:rPr>
          <w:b/>
          <w:bCs/>
          <w:sz w:val="24"/>
          <w:szCs w:val="24"/>
        </w:rPr>
      </w:pPr>
      <w:r w:rsidRPr="003E7D75">
        <w:rPr>
          <w:rFonts w:eastAsia="Calibri"/>
          <w:b/>
          <w:bCs/>
          <w:sz w:val="24"/>
          <w:szCs w:val="24"/>
        </w:rPr>
        <w:t>2.3 Licensing Framework</w:t>
      </w:r>
    </w:p>
    <w:p w14:paraId="30B881FC" w14:textId="2C55122F" w:rsidR="009B7D1C" w:rsidRDefault="00000000" w:rsidP="003E7D75">
      <w:pPr>
        <w:spacing w:line="360" w:lineRule="auto"/>
        <w:jc w:val="both"/>
        <w:rPr>
          <w:rFonts w:eastAsia="Calibri"/>
          <w:sz w:val="24"/>
          <w:szCs w:val="24"/>
        </w:rPr>
      </w:pPr>
      <w:r w:rsidRPr="003E7D75">
        <w:rPr>
          <w:rFonts w:eastAsia="Calibri"/>
          <w:sz w:val="24"/>
          <w:szCs w:val="24"/>
        </w:rPr>
        <w:t xml:space="preserve">Senegal's upstream sector is governed by the 2019 Petroleum Code (Law No. 2019-03), which vests all petroleum resources in the Senegalese state and designates the Ministry in charge of </w:t>
      </w:r>
      <w:r w:rsidRPr="003E7D75">
        <w:rPr>
          <w:rFonts w:eastAsia="Calibri"/>
          <w:sz w:val="24"/>
          <w:szCs w:val="24"/>
        </w:rPr>
        <w:lastRenderedPageBreak/>
        <w:t>hydrocarbons and PETROSEN as the principal administering bodies. PETROSEN prepares and negotiates all oil and gas contracts on the state's behalf, and holds an automatic 10% carried interest in contracts, which the state may increase up to 40% in specific circumstances. The Code applies uniformly to domestic and international companies, explicitly excludes tax holidays, and incorporates local-content obligations aimed at increasing Senegalese participation in the value chain. Strategic oversight sits with COS-PETROGAS, a presidential-level committee established in 2016.</w:t>
      </w:r>
    </w:p>
    <w:p w14:paraId="6FB43AF7" w14:textId="77777777" w:rsidR="003E7D75" w:rsidRPr="003E7D75" w:rsidRDefault="003E7D75" w:rsidP="003E7D75">
      <w:pPr>
        <w:spacing w:line="360" w:lineRule="auto"/>
        <w:jc w:val="both"/>
        <w:rPr>
          <w:sz w:val="24"/>
          <w:szCs w:val="24"/>
        </w:rPr>
      </w:pPr>
    </w:p>
    <w:p w14:paraId="315F6C27" w14:textId="77777777" w:rsidR="009B7D1C" w:rsidRPr="003E7D75" w:rsidRDefault="00000000" w:rsidP="003E7D75">
      <w:pPr>
        <w:spacing w:line="360" w:lineRule="auto"/>
        <w:jc w:val="both"/>
        <w:rPr>
          <w:b/>
          <w:bCs/>
          <w:sz w:val="24"/>
          <w:szCs w:val="24"/>
        </w:rPr>
      </w:pPr>
      <w:r w:rsidRPr="003E7D75">
        <w:rPr>
          <w:rFonts w:eastAsia="Calibri"/>
          <w:b/>
          <w:bCs/>
          <w:sz w:val="24"/>
          <w:szCs w:val="24"/>
        </w:rPr>
        <w:t>2.4 Production Outlook</w:t>
      </w:r>
    </w:p>
    <w:p w14:paraId="34C4D236" w14:textId="77777777" w:rsidR="009B7D1C" w:rsidRPr="003E7D75" w:rsidRDefault="00000000" w:rsidP="003E7D75">
      <w:pPr>
        <w:pStyle w:val="ListParagraph"/>
        <w:numPr>
          <w:ilvl w:val="0"/>
          <w:numId w:val="3"/>
        </w:numPr>
        <w:spacing w:line="360" w:lineRule="auto"/>
        <w:jc w:val="both"/>
        <w:rPr>
          <w:sz w:val="24"/>
          <w:szCs w:val="24"/>
        </w:rPr>
      </w:pPr>
      <w:r w:rsidRPr="003E7D75">
        <w:rPr>
          <w:rFonts w:eastAsia="Calibri"/>
          <w:sz w:val="24"/>
          <w:szCs w:val="24"/>
        </w:rPr>
        <w:t xml:space="preserve">GTA: 2.7 </w:t>
      </w:r>
      <w:proofErr w:type="spellStart"/>
      <w:r w:rsidRPr="003E7D75">
        <w:rPr>
          <w:rFonts w:eastAsia="Calibri"/>
          <w:sz w:val="24"/>
          <w:szCs w:val="24"/>
        </w:rPr>
        <w:t>mtpa</w:t>
      </w:r>
      <w:proofErr w:type="spellEnd"/>
      <w:r w:rsidRPr="003E7D75">
        <w:rPr>
          <w:rFonts w:eastAsia="Calibri"/>
          <w:sz w:val="24"/>
          <w:szCs w:val="24"/>
        </w:rPr>
        <w:t xml:space="preserve"> nameplate sustained since December 2025; ~36 cargoes guided for 2026 (roughly double 2025 volumes).</w:t>
      </w:r>
    </w:p>
    <w:p w14:paraId="7DC12460" w14:textId="77777777" w:rsidR="009B7D1C" w:rsidRPr="003E7D75" w:rsidRDefault="00000000" w:rsidP="003E7D75">
      <w:pPr>
        <w:pStyle w:val="ListParagraph"/>
        <w:numPr>
          <w:ilvl w:val="0"/>
          <w:numId w:val="3"/>
        </w:numPr>
        <w:spacing w:line="360" w:lineRule="auto"/>
        <w:jc w:val="both"/>
        <w:rPr>
          <w:sz w:val="24"/>
          <w:szCs w:val="24"/>
        </w:rPr>
      </w:pPr>
      <w:proofErr w:type="spellStart"/>
      <w:r w:rsidRPr="003E7D75">
        <w:rPr>
          <w:rFonts w:eastAsia="Calibri"/>
          <w:sz w:val="24"/>
          <w:szCs w:val="24"/>
        </w:rPr>
        <w:t>Yakaar</w:t>
      </w:r>
      <w:proofErr w:type="spellEnd"/>
      <w:r w:rsidRPr="003E7D75">
        <w:rPr>
          <w:rFonts w:eastAsia="Calibri"/>
          <w:sz w:val="24"/>
          <w:szCs w:val="24"/>
        </w:rPr>
        <w:t xml:space="preserve">-Teranga: Phase 1 targeted at ~300 </w:t>
      </w:r>
      <w:proofErr w:type="spellStart"/>
      <w:r w:rsidRPr="003E7D75">
        <w:rPr>
          <w:rFonts w:eastAsia="Calibri"/>
          <w:sz w:val="24"/>
          <w:szCs w:val="24"/>
        </w:rPr>
        <w:t>mmscf</w:t>
      </w:r>
      <w:proofErr w:type="spellEnd"/>
      <w:r w:rsidRPr="003E7D75">
        <w:rPr>
          <w:rFonts w:eastAsia="Calibri"/>
          <w:sz w:val="24"/>
          <w:szCs w:val="24"/>
        </w:rPr>
        <w:t>/d for the domestic market, first production realistically late 2020s pending financing and partner resolution.</w:t>
      </w:r>
    </w:p>
    <w:p w14:paraId="759D7101" w14:textId="77777777" w:rsidR="009B7D1C" w:rsidRPr="003E7D75" w:rsidRDefault="00000000" w:rsidP="003E7D75">
      <w:pPr>
        <w:pStyle w:val="ListParagraph"/>
        <w:numPr>
          <w:ilvl w:val="0"/>
          <w:numId w:val="3"/>
        </w:numPr>
        <w:spacing w:line="360" w:lineRule="auto"/>
        <w:jc w:val="both"/>
        <w:rPr>
          <w:sz w:val="24"/>
          <w:szCs w:val="24"/>
        </w:rPr>
      </w:pPr>
      <w:proofErr w:type="spellStart"/>
      <w:r w:rsidRPr="003E7D75">
        <w:rPr>
          <w:rFonts w:eastAsia="Calibri"/>
          <w:sz w:val="24"/>
          <w:szCs w:val="24"/>
        </w:rPr>
        <w:t>Sangomar</w:t>
      </w:r>
      <w:proofErr w:type="spellEnd"/>
      <w:r w:rsidRPr="003E7D75">
        <w:rPr>
          <w:rFonts w:eastAsia="Calibri"/>
          <w:sz w:val="24"/>
          <w:szCs w:val="24"/>
        </w:rPr>
        <w:t>: ~3.8 million barrels of crude exported in January 2026 alone; associated gas scales only with a sanctioned Phase 2.</w:t>
      </w:r>
    </w:p>
    <w:p w14:paraId="39F57462" w14:textId="77777777" w:rsidR="003E7D75" w:rsidRPr="003E7D75" w:rsidRDefault="003E7D75" w:rsidP="003E7D75">
      <w:pPr>
        <w:pStyle w:val="ListParagraph"/>
        <w:spacing w:line="360" w:lineRule="auto"/>
        <w:ind w:left="720"/>
        <w:jc w:val="both"/>
        <w:rPr>
          <w:sz w:val="24"/>
          <w:szCs w:val="24"/>
        </w:rPr>
      </w:pPr>
    </w:p>
    <w:p w14:paraId="34053690" w14:textId="77777777" w:rsidR="009B7D1C" w:rsidRPr="003E7D75" w:rsidRDefault="00000000" w:rsidP="003E7D75">
      <w:pPr>
        <w:spacing w:line="360" w:lineRule="auto"/>
        <w:jc w:val="both"/>
        <w:rPr>
          <w:b/>
          <w:bCs/>
          <w:sz w:val="24"/>
          <w:szCs w:val="24"/>
        </w:rPr>
      </w:pPr>
      <w:r w:rsidRPr="003E7D75">
        <w:rPr>
          <w:rFonts w:eastAsia="Calibri"/>
          <w:b/>
          <w:bCs/>
          <w:sz w:val="24"/>
          <w:szCs w:val="24"/>
        </w:rPr>
        <w:t>2.5 Reserve Growth Potential</w:t>
      </w:r>
    </w:p>
    <w:p w14:paraId="470B0E40" w14:textId="77777777" w:rsidR="009B7D1C" w:rsidRDefault="00000000" w:rsidP="003E7D75">
      <w:pPr>
        <w:spacing w:line="360" w:lineRule="auto"/>
        <w:jc w:val="both"/>
        <w:rPr>
          <w:rFonts w:eastAsia="Calibri"/>
          <w:sz w:val="24"/>
          <w:szCs w:val="24"/>
        </w:rPr>
      </w:pPr>
      <w:r w:rsidRPr="003E7D75">
        <w:rPr>
          <w:rFonts w:eastAsia="Calibri"/>
          <w:sz w:val="24"/>
          <w:szCs w:val="24"/>
        </w:rPr>
        <w:t xml:space="preserve">Reserve growth potential is high relative to current sanctioned production — Senegal is producing from roughly a third of its proven/probable gas resource base (GTA only) — but converting contingent resources at </w:t>
      </w:r>
      <w:proofErr w:type="spellStart"/>
      <w:r w:rsidRPr="003E7D75">
        <w:rPr>
          <w:rFonts w:eastAsia="Calibri"/>
          <w:sz w:val="24"/>
          <w:szCs w:val="24"/>
        </w:rPr>
        <w:t>Yakaar</w:t>
      </w:r>
      <w:proofErr w:type="spellEnd"/>
      <w:r w:rsidRPr="003E7D75">
        <w:rPr>
          <w:rFonts w:eastAsia="Calibri"/>
          <w:sz w:val="24"/>
          <w:szCs w:val="24"/>
        </w:rPr>
        <w:t xml:space="preserve">-Teranga and in the wider basin into sanctioned, financed projects has proven slower than initial 2018–2019 optimism suggested, a pattern now repeating at </w:t>
      </w:r>
      <w:proofErr w:type="spellStart"/>
      <w:r w:rsidRPr="003E7D75">
        <w:rPr>
          <w:rFonts w:eastAsia="Calibri"/>
          <w:sz w:val="24"/>
          <w:szCs w:val="24"/>
        </w:rPr>
        <w:t>BirAllah</w:t>
      </w:r>
      <w:proofErr w:type="spellEnd"/>
      <w:r w:rsidRPr="003E7D75">
        <w:rPr>
          <w:rFonts w:eastAsia="Calibri"/>
          <w:sz w:val="24"/>
          <w:szCs w:val="24"/>
        </w:rPr>
        <w:t xml:space="preserve"> in Mauritania.</w:t>
      </w:r>
    </w:p>
    <w:p w14:paraId="4BD3FC1F" w14:textId="77777777" w:rsidR="003E7D75" w:rsidRPr="003E7D75" w:rsidRDefault="003E7D75" w:rsidP="003E7D75">
      <w:pPr>
        <w:spacing w:line="360" w:lineRule="auto"/>
        <w:jc w:val="both"/>
        <w:rPr>
          <w:sz w:val="24"/>
          <w:szCs w:val="24"/>
        </w:rPr>
      </w:pPr>
    </w:p>
    <w:p w14:paraId="0E2E8239" w14:textId="77777777" w:rsidR="009B7D1C" w:rsidRPr="003E7D75" w:rsidRDefault="00000000" w:rsidP="003E7D75">
      <w:pPr>
        <w:spacing w:line="360" w:lineRule="auto"/>
        <w:jc w:val="both"/>
        <w:rPr>
          <w:b/>
          <w:bCs/>
          <w:sz w:val="24"/>
          <w:szCs w:val="24"/>
        </w:rPr>
      </w:pPr>
      <w:r w:rsidRPr="003E7D75">
        <w:rPr>
          <w:rFonts w:eastAsia="Calibri"/>
          <w:b/>
          <w:bCs/>
          <w:sz w:val="24"/>
          <w:szCs w:val="24"/>
        </w:rPr>
        <w:t>3. Upstream Investment Landscape</w:t>
      </w:r>
    </w:p>
    <w:p w14:paraId="2946776F" w14:textId="77777777" w:rsidR="009B7D1C" w:rsidRPr="003E7D75" w:rsidRDefault="00000000" w:rsidP="003E7D75">
      <w:pPr>
        <w:spacing w:line="360" w:lineRule="auto"/>
        <w:jc w:val="both"/>
        <w:rPr>
          <w:b/>
          <w:bCs/>
          <w:sz w:val="24"/>
          <w:szCs w:val="24"/>
        </w:rPr>
      </w:pPr>
      <w:r w:rsidRPr="003E7D75">
        <w:rPr>
          <w:rFonts w:eastAsia="Calibri"/>
          <w:b/>
          <w:bCs/>
          <w:sz w:val="24"/>
          <w:szCs w:val="24"/>
        </w:rPr>
        <w:t>3.1 Government Investment Policy and Fiscal Terms</w:t>
      </w:r>
    </w:p>
    <w:p w14:paraId="0F60B60B" w14:textId="77777777" w:rsidR="009B7D1C" w:rsidRPr="003E7D75" w:rsidRDefault="00000000" w:rsidP="003E7D75">
      <w:pPr>
        <w:pStyle w:val="ListParagraph"/>
        <w:numPr>
          <w:ilvl w:val="0"/>
          <w:numId w:val="4"/>
        </w:numPr>
        <w:spacing w:line="360" w:lineRule="auto"/>
        <w:jc w:val="both"/>
        <w:rPr>
          <w:sz w:val="24"/>
          <w:szCs w:val="24"/>
        </w:rPr>
      </w:pPr>
      <w:r w:rsidRPr="003E7D75">
        <w:rPr>
          <w:rFonts w:eastAsia="Calibri"/>
          <w:sz w:val="24"/>
          <w:szCs w:val="24"/>
        </w:rPr>
        <w:t>Legal basis: Petroleum Code (Law 2019-03), production-sharing contracts (PSCs) as the standard upstream instrument, replacing the earlier 1998 Oil Code.</w:t>
      </w:r>
    </w:p>
    <w:p w14:paraId="0C3479DF" w14:textId="77777777" w:rsidR="009B7D1C" w:rsidRPr="003E7D75" w:rsidRDefault="00000000" w:rsidP="003E7D75">
      <w:pPr>
        <w:pStyle w:val="ListParagraph"/>
        <w:numPr>
          <w:ilvl w:val="0"/>
          <w:numId w:val="4"/>
        </w:numPr>
        <w:spacing w:line="360" w:lineRule="auto"/>
        <w:jc w:val="both"/>
        <w:rPr>
          <w:sz w:val="24"/>
          <w:szCs w:val="24"/>
        </w:rPr>
      </w:pPr>
      <w:r w:rsidRPr="003E7D75">
        <w:rPr>
          <w:rFonts w:eastAsia="Calibri"/>
          <w:sz w:val="24"/>
          <w:szCs w:val="24"/>
        </w:rPr>
        <w:t>Fiscal design: royalties calculated on gross production; no tax holidays for any investor class, domestic or foreign; PETROSEN automatic 10% carried interest, extendable to 40%.</w:t>
      </w:r>
    </w:p>
    <w:p w14:paraId="54342A7D" w14:textId="77777777" w:rsidR="009B7D1C" w:rsidRPr="003E7D75" w:rsidRDefault="00000000" w:rsidP="003E7D75">
      <w:pPr>
        <w:pStyle w:val="ListParagraph"/>
        <w:numPr>
          <w:ilvl w:val="0"/>
          <w:numId w:val="4"/>
        </w:numPr>
        <w:spacing w:line="360" w:lineRule="auto"/>
        <w:jc w:val="both"/>
        <w:rPr>
          <w:sz w:val="24"/>
          <w:szCs w:val="24"/>
        </w:rPr>
      </w:pPr>
      <w:r w:rsidRPr="003E7D75">
        <w:rPr>
          <w:rFonts w:eastAsia="Calibri"/>
          <w:sz w:val="24"/>
          <w:szCs w:val="24"/>
        </w:rPr>
        <w:lastRenderedPageBreak/>
        <w:t>Local content: reinforced by 2026 regulatory updates from the Ministry of Energy, Petroleum and Mines, raising requirements for domestic participation across upstream and infrastructure contracts.</w:t>
      </w:r>
    </w:p>
    <w:p w14:paraId="704EEC60" w14:textId="7082ADED" w:rsidR="009B7D1C" w:rsidRPr="003E7D75" w:rsidRDefault="00000000" w:rsidP="003E7D75">
      <w:pPr>
        <w:pStyle w:val="ListParagraph"/>
        <w:numPr>
          <w:ilvl w:val="0"/>
          <w:numId w:val="4"/>
        </w:numPr>
        <w:spacing w:line="360" w:lineRule="auto"/>
        <w:jc w:val="both"/>
        <w:rPr>
          <w:rFonts w:eastAsia="Calibri"/>
          <w:sz w:val="24"/>
          <w:szCs w:val="24"/>
        </w:rPr>
      </w:pPr>
      <w:r w:rsidRPr="003E7D75">
        <w:rPr>
          <w:rFonts w:eastAsia="Calibri"/>
          <w:sz w:val="24"/>
          <w:szCs w:val="24"/>
        </w:rPr>
        <w:t xml:space="preserve">Comparative government take: independent fiscal-regime analysis places Senegal's effective government take in a moderate range relative to regional peers (Nigeria's average take exceeds 80%; Côte d'Ivoire and Equatorial Guinea run 60–70%; Ghana 45–55%), though reserve </w:t>
      </w:r>
      <w:r w:rsidR="003E7D75" w:rsidRPr="003E7D75">
        <w:rPr>
          <w:rFonts w:eastAsia="Calibri"/>
          <w:sz w:val="24"/>
          <w:szCs w:val="24"/>
        </w:rPr>
        <w:t>endowment not</w:t>
      </w:r>
      <w:r w:rsidRPr="003E7D75">
        <w:rPr>
          <w:rFonts w:eastAsia="Calibri"/>
          <w:sz w:val="24"/>
          <w:szCs w:val="24"/>
        </w:rPr>
        <w:t xml:space="preserve"> fiscal </w:t>
      </w:r>
      <w:r w:rsidR="003E7D75" w:rsidRPr="003E7D75">
        <w:rPr>
          <w:rFonts w:eastAsia="Calibri"/>
          <w:sz w:val="24"/>
          <w:szCs w:val="24"/>
        </w:rPr>
        <w:t>generosity is</w:t>
      </w:r>
      <w:r w:rsidRPr="003E7D75">
        <w:rPr>
          <w:rFonts w:eastAsia="Calibri"/>
          <w:sz w:val="24"/>
          <w:szCs w:val="24"/>
        </w:rPr>
        <w:t xml:space="preserve"> judged the primary driver of investment interest in Senegal specifically.</w:t>
      </w:r>
    </w:p>
    <w:p w14:paraId="1AFE90E0" w14:textId="77777777" w:rsidR="003E7D75" w:rsidRPr="003E7D75" w:rsidRDefault="003E7D75" w:rsidP="003E7D75">
      <w:pPr>
        <w:spacing w:line="360" w:lineRule="auto"/>
        <w:jc w:val="both"/>
        <w:rPr>
          <w:sz w:val="24"/>
          <w:szCs w:val="24"/>
        </w:rPr>
      </w:pPr>
    </w:p>
    <w:p w14:paraId="1ECF1F74" w14:textId="77777777" w:rsidR="009B7D1C" w:rsidRPr="003E7D75" w:rsidRDefault="00000000" w:rsidP="003E7D75">
      <w:pPr>
        <w:spacing w:line="360" w:lineRule="auto"/>
        <w:jc w:val="both"/>
        <w:rPr>
          <w:b/>
          <w:bCs/>
          <w:sz w:val="24"/>
          <w:szCs w:val="24"/>
        </w:rPr>
      </w:pPr>
      <w:r w:rsidRPr="003E7D75">
        <w:rPr>
          <w:rFonts w:eastAsia="Calibri"/>
          <w:b/>
          <w:bCs/>
          <w:sz w:val="24"/>
          <w:szCs w:val="24"/>
        </w:rPr>
        <w:t>3.2 Recent and Planned Upstream Investments</w:t>
      </w:r>
    </w:p>
    <w:tbl>
      <w:tblPr>
        <w:tblStyle w:val="TableGrid"/>
        <w:tblW w:w="9400" w:type="dxa"/>
        <w:tblLook w:val="0000" w:firstRow="0" w:lastRow="0" w:firstColumn="0" w:lastColumn="0" w:noHBand="0" w:noVBand="0"/>
      </w:tblPr>
      <w:tblGrid>
        <w:gridCol w:w="2965"/>
        <w:gridCol w:w="3690"/>
        <w:gridCol w:w="2745"/>
      </w:tblGrid>
      <w:tr w:rsidR="009B7D1C" w:rsidRPr="003E7D75" w14:paraId="0A91EEE0" w14:textId="77777777" w:rsidTr="003E7D75">
        <w:tc>
          <w:tcPr>
            <w:tcW w:w="2965" w:type="dxa"/>
          </w:tcPr>
          <w:p w14:paraId="0AF6734B" w14:textId="77777777" w:rsidR="009B7D1C" w:rsidRPr="003E7D75" w:rsidRDefault="00000000" w:rsidP="003E7D75">
            <w:pPr>
              <w:spacing w:line="360" w:lineRule="auto"/>
              <w:jc w:val="both"/>
              <w:rPr>
                <w:sz w:val="24"/>
                <w:szCs w:val="24"/>
              </w:rPr>
            </w:pPr>
            <w:r w:rsidRPr="003E7D75">
              <w:rPr>
                <w:rFonts w:eastAsia="Calibri"/>
                <w:sz w:val="24"/>
                <w:szCs w:val="24"/>
              </w:rPr>
              <w:t>Investment</w:t>
            </w:r>
          </w:p>
        </w:tc>
        <w:tc>
          <w:tcPr>
            <w:tcW w:w="3690" w:type="dxa"/>
          </w:tcPr>
          <w:p w14:paraId="2BB1C908" w14:textId="77777777" w:rsidR="009B7D1C" w:rsidRPr="003E7D75" w:rsidRDefault="00000000" w:rsidP="003E7D75">
            <w:pPr>
              <w:spacing w:line="360" w:lineRule="auto"/>
              <w:jc w:val="both"/>
              <w:rPr>
                <w:sz w:val="24"/>
                <w:szCs w:val="24"/>
              </w:rPr>
            </w:pPr>
            <w:r w:rsidRPr="003E7D75">
              <w:rPr>
                <w:rFonts w:eastAsia="Calibri"/>
                <w:sz w:val="24"/>
                <w:szCs w:val="24"/>
              </w:rPr>
              <w:t>Value</w:t>
            </w:r>
          </w:p>
        </w:tc>
        <w:tc>
          <w:tcPr>
            <w:tcW w:w="2745" w:type="dxa"/>
          </w:tcPr>
          <w:p w14:paraId="5E7A0801" w14:textId="77777777" w:rsidR="009B7D1C" w:rsidRPr="003E7D75" w:rsidRDefault="00000000" w:rsidP="003E7D75">
            <w:pPr>
              <w:spacing w:line="360" w:lineRule="auto"/>
              <w:jc w:val="both"/>
              <w:rPr>
                <w:sz w:val="24"/>
                <w:szCs w:val="24"/>
              </w:rPr>
            </w:pPr>
            <w:r w:rsidRPr="003E7D75">
              <w:rPr>
                <w:rFonts w:eastAsia="Calibri"/>
                <w:sz w:val="24"/>
                <w:szCs w:val="24"/>
              </w:rPr>
              <w:t>Status</w:t>
            </w:r>
          </w:p>
        </w:tc>
      </w:tr>
      <w:tr w:rsidR="009B7D1C" w:rsidRPr="003E7D75" w14:paraId="444AAD11" w14:textId="77777777" w:rsidTr="003E7D75">
        <w:tc>
          <w:tcPr>
            <w:tcW w:w="2965" w:type="dxa"/>
          </w:tcPr>
          <w:p w14:paraId="1B85B90E" w14:textId="77777777" w:rsidR="009B7D1C" w:rsidRPr="003E7D75" w:rsidRDefault="00000000" w:rsidP="003E7D75">
            <w:pPr>
              <w:spacing w:line="360" w:lineRule="auto"/>
              <w:jc w:val="both"/>
              <w:rPr>
                <w:sz w:val="24"/>
                <w:szCs w:val="24"/>
              </w:rPr>
            </w:pPr>
            <w:r w:rsidRPr="003E7D75">
              <w:rPr>
                <w:rFonts w:eastAsia="Calibri"/>
                <w:sz w:val="24"/>
                <w:szCs w:val="24"/>
              </w:rPr>
              <w:t>GTA Phase 1 (subsea, FPSO, FLNG)</w:t>
            </w:r>
          </w:p>
        </w:tc>
        <w:tc>
          <w:tcPr>
            <w:tcW w:w="3690" w:type="dxa"/>
          </w:tcPr>
          <w:p w14:paraId="741911F8" w14:textId="77777777" w:rsidR="009B7D1C" w:rsidRPr="003E7D75" w:rsidRDefault="00000000" w:rsidP="003E7D75">
            <w:pPr>
              <w:spacing w:line="360" w:lineRule="auto"/>
              <w:jc w:val="both"/>
              <w:rPr>
                <w:sz w:val="24"/>
                <w:szCs w:val="24"/>
              </w:rPr>
            </w:pPr>
            <w:r w:rsidRPr="003E7D75">
              <w:rPr>
                <w:rFonts w:eastAsia="Calibri"/>
                <w:sz w:val="24"/>
                <w:szCs w:val="24"/>
              </w:rPr>
              <w:t>Multi-billion dollar, IOC-financed</w:t>
            </w:r>
          </w:p>
        </w:tc>
        <w:tc>
          <w:tcPr>
            <w:tcW w:w="2745" w:type="dxa"/>
          </w:tcPr>
          <w:p w14:paraId="00D346AB" w14:textId="77777777" w:rsidR="009B7D1C" w:rsidRPr="003E7D75" w:rsidRDefault="00000000" w:rsidP="003E7D75">
            <w:pPr>
              <w:spacing w:line="360" w:lineRule="auto"/>
              <w:jc w:val="both"/>
              <w:rPr>
                <w:sz w:val="24"/>
                <w:szCs w:val="24"/>
              </w:rPr>
            </w:pPr>
            <w:r w:rsidRPr="003E7D75">
              <w:rPr>
                <w:rFonts w:eastAsia="Calibri"/>
                <w:sz w:val="24"/>
                <w:szCs w:val="24"/>
              </w:rPr>
              <w:t>Complete; in production since Dec 2024</w:t>
            </w:r>
          </w:p>
        </w:tc>
      </w:tr>
      <w:tr w:rsidR="009B7D1C" w:rsidRPr="003E7D75" w14:paraId="1CCFB1C7" w14:textId="77777777" w:rsidTr="003E7D75">
        <w:tc>
          <w:tcPr>
            <w:tcW w:w="2965" w:type="dxa"/>
          </w:tcPr>
          <w:p w14:paraId="7FDE3FB0" w14:textId="77777777" w:rsidR="009B7D1C" w:rsidRPr="003E7D75" w:rsidRDefault="00000000" w:rsidP="003E7D75">
            <w:pPr>
              <w:spacing w:line="360" w:lineRule="auto"/>
              <w:jc w:val="both"/>
              <w:rPr>
                <w:sz w:val="24"/>
                <w:szCs w:val="24"/>
              </w:rPr>
            </w:pPr>
            <w:proofErr w:type="spellStart"/>
            <w:r w:rsidRPr="003E7D75">
              <w:rPr>
                <w:rFonts w:eastAsia="Calibri"/>
                <w:sz w:val="24"/>
                <w:szCs w:val="24"/>
              </w:rPr>
              <w:t>Gimi</w:t>
            </w:r>
            <w:proofErr w:type="spellEnd"/>
            <w:r w:rsidRPr="003E7D75">
              <w:rPr>
                <w:rFonts w:eastAsia="Calibri"/>
                <w:sz w:val="24"/>
                <w:szCs w:val="24"/>
              </w:rPr>
              <w:t xml:space="preserve"> FLNG conversion (Golar LNG)</w:t>
            </w:r>
          </w:p>
        </w:tc>
        <w:tc>
          <w:tcPr>
            <w:tcW w:w="3690" w:type="dxa"/>
          </w:tcPr>
          <w:p w14:paraId="0C3E386E" w14:textId="77777777" w:rsidR="009B7D1C" w:rsidRPr="003E7D75" w:rsidRDefault="00000000" w:rsidP="003E7D75">
            <w:pPr>
              <w:spacing w:line="360" w:lineRule="auto"/>
              <w:jc w:val="both"/>
              <w:rPr>
                <w:sz w:val="24"/>
                <w:szCs w:val="24"/>
              </w:rPr>
            </w:pPr>
            <w:r w:rsidRPr="003E7D75">
              <w:rPr>
                <w:rFonts w:eastAsia="Calibri"/>
                <w:sz w:val="24"/>
                <w:szCs w:val="24"/>
              </w:rPr>
              <w:t>$1.6 billion total conversion cost</w:t>
            </w:r>
          </w:p>
        </w:tc>
        <w:tc>
          <w:tcPr>
            <w:tcW w:w="2745" w:type="dxa"/>
          </w:tcPr>
          <w:p w14:paraId="4A07803E" w14:textId="77777777" w:rsidR="009B7D1C" w:rsidRPr="003E7D75" w:rsidRDefault="00000000" w:rsidP="003E7D75">
            <w:pPr>
              <w:spacing w:line="360" w:lineRule="auto"/>
              <w:jc w:val="both"/>
              <w:rPr>
                <w:sz w:val="24"/>
                <w:szCs w:val="24"/>
              </w:rPr>
            </w:pPr>
            <w:r w:rsidRPr="003E7D75">
              <w:rPr>
                <w:rFonts w:eastAsia="Calibri"/>
                <w:sz w:val="24"/>
                <w:szCs w:val="24"/>
              </w:rPr>
              <w:t>Complete; commercial operations since mid-2025</w:t>
            </w:r>
          </w:p>
        </w:tc>
      </w:tr>
      <w:tr w:rsidR="009B7D1C" w:rsidRPr="003E7D75" w14:paraId="459180AC" w14:textId="77777777" w:rsidTr="003E7D75">
        <w:tc>
          <w:tcPr>
            <w:tcW w:w="2965" w:type="dxa"/>
          </w:tcPr>
          <w:p w14:paraId="66E3DE4E" w14:textId="77777777" w:rsidR="009B7D1C" w:rsidRPr="003E7D75" w:rsidRDefault="00000000" w:rsidP="003E7D75">
            <w:pPr>
              <w:spacing w:line="360" w:lineRule="auto"/>
              <w:jc w:val="both"/>
              <w:rPr>
                <w:sz w:val="24"/>
                <w:szCs w:val="24"/>
              </w:rPr>
            </w:pPr>
            <w:proofErr w:type="spellStart"/>
            <w:r w:rsidRPr="003E7D75">
              <w:rPr>
                <w:rFonts w:eastAsia="Calibri"/>
                <w:sz w:val="24"/>
                <w:szCs w:val="24"/>
              </w:rPr>
              <w:t>Gimi</w:t>
            </w:r>
            <w:proofErr w:type="spellEnd"/>
            <w:r w:rsidRPr="003E7D75">
              <w:rPr>
                <w:rFonts w:eastAsia="Calibri"/>
                <w:sz w:val="24"/>
                <w:szCs w:val="24"/>
              </w:rPr>
              <w:t xml:space="preserve"> FLNG refinancing</w:t>
            </w:r>
          </w:p>
        </w:tc>
        <w:tc>
          <w:tcPr>
            <w:tcW w:w="3690" w:type="dxa"/>
          </w:tcPr>
          <w:p w14:paraId="4ED44D52" w14:textId="77777777" w:rsidR="009B7D1C" w:rsidRPr="003E7D75" w:rsidRDefault="00000000" w:rsidP="003E7D75">
            <w:pPr>
              <w:spacing w:line="360" w:lineRule="auto"/>
              <w:jc w:val="both"/>
              <w:rPr>
                <w:sz w:val="24"/>
                <w:szCs w:val="24"/>
              </w:rPr>
            </w:pPr>
            <w:r w:rsidRPr="003E7D75">
              <w:rPr>
                <w:rFonts w:eastAsia="Calibri"/>
                <w:sz w:val="24"/>
                <w:szCs w:val="24"/>
              </w:rPr>
              <w:t xml:space="preserve">$1.2 billion asset-backed facility (16-yr </w:t>
            </w:r>
            <w:proofErr w:type="spellStart"/>
            <w:r w:rsidRPr="003E7D75">
              <w:rPr>
                <w:rFonts w:eastAsia="Calibri"/>
                <w:sz w:val="24"/>
                <w:szCs w:val="24"/>
              </w:rPr>
              <w:t>amortisation</w:t>
            </w:r>
            <w:proofErr w:type="spellEnd"/>
            <w:r w:rsidRPr="003E7D75">
              <w:rPr>
                <w:rFonts w:eastAsia="Calibri"/>
                <w:sz w:val="24"/>
                <w:szCs w:val="24"/>
              </w:rPr>
              <w:t>, SOFR+2.50%)</w:t>
            </w:r>
          </w:p>
        </w:tc>
        <w:tc>
          <w:tcPr>
            <w:tcW w:w="2745" w:type="dxa"/>
          </w:tcPr>
          <w:p w14:paraId="41A72DB6" w14:textId="77777777" w:rsidR="009B7D1C" w:rsidRPr="003E7D75" w:rsidRDefault="00000000" w:rsidP="003E7D75">
            <w:pPr>
              <w:spacing w:line="360" w:lineRule="auto"/>
              <w:jc w:val="both"/>
              <w:rPr>
                <w:sz w:val="24"/>
                <w:szCs w:val="24"/>
              </w:rPr>
            </w:pPr>
            <w:r w:rsidRPr="003E7D75">
              <w:rPr>
                <w:rFonts w:eastAsia="Calibri"/>
                <w:sz w:val="24"/>
                <w:szCs w:val="24"/>
              </w:rPr>
              <w:t>Closed Q4 2025 (announced Nov 2025)</w:t>
            </w:r>
          </w:p>
        </w:tc>
      </w:tr>
      <w:tr w:rsidR="009B7D1C" w:rsidRPr="003E7D75" w14:paraId="2F9948BA" w14:textId="77777777" w:rsidTr="003E7D75">
        <w:tc>
          <w:tcPr>
            <w:tcW w:w="2965" w:type="dxa"/>
          </w:tcPr>
          <w:p w14:paraId="7A02335A" w14:textId="77777777" w:rsidR="009B7D1C" w:rsidRPr="003E7D75" w:rsidRDefault="00000000" w:rsidP="003E7D75">
            <w:pPr>
              <w:spacing w:line="360" w:lineRule="auto"/>
              <w:jc w:val="both"/>
              <w:rPr>
                <w:sz w:val="24"/>
                <w:szCs w:val="24"/>
              </w:rPr>
            </w:pPr>
            <w:r w:rsidRPr="003E7D75">
              <w:rPr>
                <w:rFonts w:eastAsia="Calibri"/>
                <w:sz w:val="24"/>
                <w:szCs w:val="24"/>
              </w:rPr>
              <w:t>GTA Phase 2 (incremental LNG)</w:t>
            </w:r>
          </w:p>
        </w:tc>
        <w:tc>
          <w:tcPr>
            <w:tcW w:w="3690" w:type="dxa"/>
          </w:tcPr>
          <w:p w14:paraId="417900FA" w14:textId="77777777" w:rsidR="009B7D1C" w:rsidRPr="003E7D75" w:rsidRDefault="00000000" w:rsidP="003E7D75">
            <w:pPr>
              <w:spacing w:line="360" w:lineRule="auto"/>
              <w:jc w:val="both"/>
              <w:rPr>
                <w:sz w:val="24"/>
                <w:szCs w:val="24"/>
              </w:rPr>
            </w:pPr>
            <w:r w:rsidRPr="003E7D75">
              <w:rPr>
                <w:rFonts w:eastAsia="Calibri"/>
                <w:sz w:val="24"/>
                <w:szCs w:val="24"/>
              </w:rPr>
              <w:t xml:space="preserve">~$5 billion (2.5–3.0 </w:t>
            </w:r>
            <w:proofErr w:type="spellStart"/>
            <w:r w:rsidRPr="003E7D75">
              <w:rPr>
                <w:rFonts w:eastAsia="Calibri"/>
                <w:sz w:val="24"/>
                <w:szCs w:val="24"/>
              </w:rPr>
              <w:t>mtpa</w:t>
            </w:r>
            <w:proofErr w:type="spellEnd"/>
            <w:r w:rsidRPr="003E7D75">
              <w:rPr>
                <w:rFonts w:eastAsia="Calibri"/>
                <w:sz w:val="24"/>
                <w:szCs w:val="24"/>
              </w:rPr>
              <w:t xml:space="preserve"> incremental)</w:t>
            </w:r>
          </w:p>
        </w:tc>
        <w:tc>
          <w:tcPr>
            <w:tcW w:w="2745" w:type="dxa"/>
          </w:tcPr>
          <w:p w14:paraId="5A274545" w14:textId="77777777" w:rsidR="009B7D1C" w:rsidRPr="003E7D75" w:rsidRDefault="00000000" w:rsidP="003E7D75">
            <w:pPr>
              <w:spacing w:line="360" w:lineRule="auto"/>
              <w:jc w:val="both"/>
              <w:rPr>
                <w:sz w:val="24"/>
                <w:szCs w:val="24"/>
              </w:rPr>
            </w:pPr>
            <w:r w:rsidRPr="003E7D75">
              <w:rPr>
                <w:rFonts w:eastAsia="Calibri"/>
                <w:sz w:val="24"/>
                <w:szCs w:val="24"/>
              </w:rPr>
              <w:t>Concept stage; no FID</w:t>
            </w:r>
          </w:p>
        </w:tc>
      </w:tr>
      <w:tr w:rsidR="009B7D1C" w:rsidRPr="003E7D75" w14:paraId="722403AE" w14:textId="77777777" w:rsidTr="003E7D75">
        <w:tc>
          <w:tcPr>
            <w:tcW w:w="2965" w:type="dxa"/>
          </w:tcPr>
          <w:p w14:paraId="2687C730" w14:textId="77777777" w:rsidR="009B7D1C" w:rsidRPr="003E7D75" w:rsidRDefault="00000000" w:rsidP="003E7D75">
            <w:pPr>
              <w:spacing w:line="360" w:lineRule="auto"/>
              <w:jc w:val="both"/>
              <w:rPr>
                <w:sz w:val="24"/>
                <w:szCs w:val="24"/>
              </w:rPr>
            </w:pPr>
            <w:proofErr w:type="spellStart"/>
            <w:r w:rsidRPr="003E7D75">
              <w:rPr>
                <w:rFonts w:eastAsia="Calibri"/>
                <w:sz w:val="24"/>
                <w:szCs w:val="24"/>
              </w:rPr>
              <w:t>Yakaar</w:t>
            </w:r>
            <w:proofErr w:type="spellEnd"/>
            <w:r w:rsidRPr="003E7D75">
              <w:rPr>
                <w:rFonts w:eastAsia="Calibri"/>
                <w:sz w:val="24"/>
                <w:szCs w:val="24"/>
              </w:rPr>
              <w:t>-Teranga (total, phased)</w:t>
            </w:r>
          </w:p>
        </w:tc>
        <w:tc>
          <w:tcPr>
            <w:tcW w:w="3690" w:type="dxa"/>
          </w:tcPr>
          <w:p w14:paraId="41F13815" w14:textId="77777777" w:rsidR="009B7D1C" w:rsidRPr="003E7D75" w:rsidRDefault="00000000" w:rsidP="003E7D75">
            <w:pPr>
              <w:spacing w:line="360" w:lineRule="auto"/>
              <w:jc w:val="both"/>
              <w:rPr>
                <w:sz w:val="24"/>
                <w:szCs w:val="24"/>
              </w:rPr>
            </w:pPr>
            <w:r w:rsidRPr="003E7D75">
              <w:rPr>
                <w:rFonts w:eastAsia="Calibri"/>
                <w:sz w:val="24"/>
                <w:szCs w:val="24"/>
              </w:rPr>
              <w:t>$7.5 billion ($2.5bn Phase 1 domestic; $5bn downstream)</w:t>
            </w:r>
          </w:p>
        </w:tc>
        <w:tc>
          <w:tcPr>
            <w:tcW w:w="2745" w:type="dxa"/>
          </w:tcPr>
          <w:p w14:paraId="5E014795" w14:textId="77777777" w:rsidR="009B7D1C" w:rsidRPr="003E7D75" w:rsidRDefault="00000000" w:rsidP="003E7D75">
            <w:pPr>
              <w:spacing w:line="360" w:lineRule="auto"/>
              <w:jc w:val="both"/>
              <w:rPr>
                <w:sz w:val="24"/>
                <w:szCs w:val="24"/>
              </w:rPr>
            </w:pPr>
            <w:r w:rsidRPr="003E7D75">
              <w:rPr>
                <w:rFonts w:eastAsia="Calibri"/>
                <w:sz w:val="24"/>
                <w:szCs w:val="24"/>
              </w:rPr>
              <w:t>Pre-FID; PETROSEN seeking partner/financing</w:t>
            </w:r>
          </w:p>
        </w:tc>
      </w:tr>
      <w:tr w:rsidR="009B7D1C" w:rsidRPr="003E7D75" w14:paraId="45FD10D3" w14:textId="77777777" w:rsidTr="003E7D75">
        <w:tc>
          <w:tcPr>
            <w:tcW w:w="2965" w:type="dxa"/>
          </w:tcPr>
          <w:p w14:paraId="6AAE2145" w14:textId="77777777" w:rsidR="009B7D1C" w:rsidRPr="003E7D75" w:rsidRDefault="00000000" w:rsidP="003E7D75">
            <w:pPr>
              <w:spacing w:line="360" w:lineRule="auto"/>
              <w:jc w:val="both"/>
              <w:rPr>
                <w:sz w:val="24"/>
                <w:szCs w:val="24"/>
              </w:rPr>
            </w:pPr>
            <w:r w:rsidRPr="003E7D75">
              <w:rPr>
                <w:rFonts w:eastAsia="Calibri"/>
                <w:sz w:val="24"/>
                <w:szCs w:val="24"/>
              </w:rPr>
              <w:t>PETROSEN onshore exploration</w:t>
            </w:r>
          </w:p>
        </w:tc>
        <w:tc>
          <w:tcPr>
            <w:tcW w:w="3690" w:type="dxa"/>
          </w:tcPr>
          <w:p w14:paraId="353F4609" w14:textId="77777777" w:rsidR="009B7D1C" w:rsidRPr="003E7D75" w:rsidRDefault="00000000" w:rsidP="003E7D75">
            <w:pPr>
              <w:spacing w:line="360" w:lineRule="auto"/>
              <w:jc w:val="both"/>
              <w:rPr>
                <w:sz w:val="24"/>
                <w:szCs w:val="24"/>
              </w:rPr>
            </w:pPr>
            <w:r w:rsidRPr="003E7D75">
              <w:rPr>
                <w:rFonts w:eastAsia="Calibri"/>
                <w:sz w:val="24"/>
                <w:szCs w:val="24"/>
              </w:rPr>
              <w:t>$100 million</w:t>
            </w:r>
          </w:p>
        </w:tc>
        <w:tc>
          <w:tcPr>
            <w:tcW w:w="2745" w:type="dxa"/>
          </w:tcPr>
          <w:p w14:paraId="576E854F" w14:textId="77777777" w:rsidR="009B7D1C" w:rsidRPr="003E7D75" w:rsidRDefault="00000000" w:rsidP="003E7D75">
            <w:pPr>
              <w:spacing w:line="360" w:lineRule="auto"/>
              <w:jc w:val="both"/>
              <w:rPr>
                <w:sz w:val="24"/>
                <w:szCs w:val="24"/>
              </w:rPr>
            </w:pPr>
            <w:r w:rsidRPr="003E7D75">
              <w:rPr>
                <w:rFonts w:eastAsia="Calibri"/>
                <w:sz w:val="24"/>
                <w:szCs w:val="24"/>
              </w:rPr>
              <w:t>Underway, 2026</w:t>
            </w:r>
          </w:p>
        </w:tc>
      </w:tr>
      <w:tr w:rsidR="009B7D1C" w:rsidRPr="003E7D75" w14:paraId="3DECB5A3" w14:textId="77777777" w:rsidTr="003E7D75">
        <w:tc>
          <w:tcPr>
            <w:tcW w:w="2965" w:type="dxa"/>
          </w:tcPr>
          <w:p w14:paraId="187B426D" w14:textId="77777777" w:rsidR="009B7D1C" w:rsidRPr="003E7D75" w:rsidRDefault="00000000" w:rsidP="003E7D75">
            <w:pPr>
              <w:spacing w:line="360" w:lineRule="auto"/>
              <w:jc w:val="both"/>
              <w:rPr>
                <w:sz w:val="24"/>
                <w:szCs w:val="24"/>
              </w:rPr>
            </w:pPr>
            <w:r w:rsidRPr="003E7D75">
              <w:rPr>
                <w:rFonts w:eastAsia="Calibri"/>
                <w:sz w:val="24"/>
                <w:szCs w:val="24"/>
              </w:rPr>
              <w:t xml:space="preserve">FONSIS gas infrastructure </w:t>
            </w:r>
            <w:proofErr w:type="spellStart"/>
            <w:r w:rsidRPr="003E7D75">
              <w:rPr>
                <w:rFonts w:eastAsia="Calibri"/>
                <w:sz w:val="24"/>
                <w:szCs w:val="24"/>
              </w:rPr>
              <w:t>mobilisation</w:t>
            </w:r>
            <w:proofErr w:type="spellEnd"/>
          </w:p>
        </w:tc>
        <w:tc>
          <w:tcPr>
            <w:tcW w:w="3690" w:type="dxa"/>
          </w:tcPr>
          <w:p w14:paraId="4BB005EC" w14:textId="77777777" w:rsidR="009B7D1C" w:rsidRPr="003E7D75" w:rsidRDefault="00000000" w:rsidP="003E7D75">
            <w:pPr>
              <w:spacing w:line="360" w:lineRule="auto"/>
              <w:jc w:val="both"/>
              <w:rPr>
                <w:sz w:val="24"/>
                <w:szCs w:val="24"/>
              </w:rPr>
            </w:pPr>
            <w:r w:rsidRPr="003E7D75">
              <w:rPr>
                <w:rFonts w:eastAsia="Calibri"/>
                <w:sz w:val="24"/>
                <w:szCs w:val="24"/>
              </w:rPr>
              <w:t>$280 million (sovereign wealth fund capital, doubled in 2026)</w:t>
            </w:r>
          </w:p>
        </w:tc>
        <w:tc>
          <w:tcPr>
            <w:tcW w:w="2745" w:type="dxa"/>
          </w:tcPr>
          <w:p w14:paraId="3ADFFCA9" w14:textId="77777777" w:rsidR="009B7D1C" w:rsidRPr="003E7D75" w:rsidRDefault="00000000" w:rsidP="003E7D75">
            <w:pPr>
              <w:spacing w:line="360" w:lineRule="auto"/>
              <w:jc w:val="both"/>
              <w:rPr>
                <w:sz w:val="24"/>
                <w:szCs w:val="24"/>
              </w:rPr>
            </w:pPr>
            <w:r w:rsidRPr="003E7D75">
              <w:rPr>
                <w:rFonts w:eastAsia="Calibri"/>
                <w:sz w:val="24"/>
                <w:szCs w:val="24"/>
              </w:rPr>
              <w:t xml:space="preserve">Deployed to </w:t>
            </w:r>
            <w:proofErr w:type="spellStart"/>
            <w:r w:rsidRPr="003E7D75">
              <w:rPr>
                <w:rFonts w:eastAsia="Calibri"/>
                <w:sz w:val="24"/>
                <w:szCs w:val="24"/>
              </w:rPr>
              <w:t>catalyse</w:t>
            </w:r>
            <w:proofErr w:type="spellEnd"/>
            <w:r w:rsidRPr="003E7D75">
              <w:rPr>
                <w:rFonts w:eastAsia="Calibri"/>
                <w:sz w:val="24"/>
                <w:szCs w:val="24"/>
              </w:rPr>
              <w:t xml:space="preserve"> private co-investment</w:t>
            </w:r>
          </w:p>
        </w:tc>
      </w:tr>
    </w:tbl>
    <w:p w14:paraId="3D010AAD" w14:textId="77777777" w:rsidR="009B7D1C" w:rsidRPr="003E7D75" w:rsidRDefault="009B7D1C" w:rsidP="003E7D75">
      <w:pPr>
        <w:spacing w:line="360" w:lineRule="auto"/>
        <w:jc w:val="both"/>
        <w:rPr>
          <w:b/>
          <w:bCs/>
          <w:sz w:val="24"/>
          <w:szCs w:val="24"/>
        </w:rPr>
      </w:pPr>
    </w:p>
    <w:p w14:paraId="6C036E3B" w14:textId="77777777" w:rsidR="009B7D1C" w:rsidRPr="003E7D75" w:rsidRDefault="00000000" w:rsidP="003E7D75">
      <w:pPr>
        <w:spacing w:line="360" w:lineRule="auto"/>
        <w:jc w:val="both"/>
        <w:rPr>
          <w:b/>
          <w:bCs/>
          <w:sz w:val="24"/>
          <w:szCs w:val="24"/>
        </w:rPr>
      </w:pPr>
      <w:r w:rsidRPr="003E7D75">
        <w:rPr>
          <w:rFonts w:eastAsia="Calibri"/>
          <w:b/>
          <w:bCs/>
          <w:sz w:val="24"/>
          <w:szCs w:val="24"/>
        </w:rPr>
        <w:t>3.3 Major Operators and Partnership Models</w:t>
      </w:r>
    </w:p>
    <w:p w14:paraId="5AA8B00A" w14:textId="77777777" w:rsidR="009B7D1C" w:rsidRPr="003E7D75" w:rsidRDefault="00000000" w:rsidP="003E7D75">
      <w:pPr>
        <w:pStyle w:val="ListParagraph"/>
        <w:numPr>
          <w:ilvl w:val="0"/>
          <w:numId w:val="5"/>
        </w:numPr>
        <w:spacing w:line="360" w:lineRule="auto"/>
        <w:jc w:val="both"/>
        <w:rPr>
          <w:sz w:val="24"/>
          <w:szCs w:val="24"/>
        </w:rPr>
      </w:pPr>
      <w:r w:rsidRPr="003E7D75">
        <w:rPr>
          <w:rFonts w:eastAsia="Calibri"/>
          <w:sz w:val="24"/>
          <w:szCs w:val="24"/>
        </w:rPr>
        <w:t xml:space="preserve">BP: GTA operator; sole Phase 1 LNG </w:t>
      </w:r>
      <w:proofErr w:type="spellStart"/>
      <w:r w:rsidRPr="003E7D75">
        <w:rPr>
          <w:rFonts w:eastAsia="Calibri"/>
          <w:sz w:val="24"/>
          <w:szCs w:val="24"/>
        </w:rPr>
        <w:t>offtaker</w:t>
      </w:r>
      <w:proofErr w:type="spellEnd"/>
      <w:r w:rsidRPr="003E7D75">
        <w:rPr>
          <w:rFonts w:eastAsia="Calibri"/>
          <w:sz w:val="24"/>
          <w:szCs w:val="24"/>
        </w:rPr>
        <w:t xml:space="preserve"> via BP Gas Marketing; exited </w:t>
      </w:r>
      <w:proofErr w:type="spellStart"/>
      <w:r w:rsidRPr="003E7D75">
        <w:rPr>
          <w:rFonts w:eastAsia="Calibri"/>
          <w:sz w:val="24"/>
          <w:szCs w:val="24"/>
        </w:rPr>
        <w:t>Yakaar</w:t>
      </w:r>
      <w:proofErr w:type="spellEnd"/>
      <w:r w:rsidRPr="003E7D75">
        <w:rPr>
          <w:rFonts w:eastAsia="Calibri"/>
          <w:sz w:val="24"/>
          <w:szCs w:val="24"/>
        </w:rPr>
        <w:t>-Teranga in 2023 over domestic-allocation terms.</w:t>
      </w:r>
    </w:p>
    <w:p w14:paraId="14764AF9" w14:textId="77777777" w:rsidR="009B7D1C" w:rsidRPr="003E7D75" w:rsidRDefault="00000000" w:rsidP="003E7D75">
      <w:pPr>
        <w:pStyle w:val="ListParagraph"/>
        <w:numPr>
          <w:ilvl w:val="0"/>
          <w:numId w:val="5"/>
        </w:numPr>
        <w:spacing w:line="360" w:lineRule="auto"/>
        <w:jc w:val="both"/>
        <w:rPr>
          <w:sz w:val="24"/>
          <w:szCs w:val="24"/>
        </w:rPr>
      </w:pPr>
      <w:r w:rsidRPr="003E7D75">
        <w:rPr>
          <w:rFonts w:eastAsia="Calibri"/>
          <w:sz w:val="24"/>
          <w:szCs w:val="24"/>
        </w:rPr>
        <w:lastRenderedPageBreak/>
        <w:t xml:space="preserve">Kosmos Energy: original discoverer of GTA and </w:t>
      </w:r>
      <w:proofErr w:type="spellStart"/>
      <w:r w:rsidRPr="003E7D75">
        <w:rPr>
          <w:rFonts w:eastAsia="Calibri"/>
          <w:sz w:val="24"/>
          <w:szCs w:val="24"/>
        </w:rPr>
        <w:t>Yakaar</w:t>
      </w:r>
      <w:proofErr w:type="spellEnd"/>
      <w:r w:rsidRPr="003E7D75">
        <w:rPr>
          <w:rFonts w:eastAsia="Calibri"/>
          <w:sz w:val="24"/>
          <w:szCs w:val="24"/>
        </w:rPr>
        <w:t xml:space="preserve">-Teranga; retains its GTA interest; exited </w:t>
      </w:r>
      <w:proofErr w:type="spellStart"/>
      <w:r w:rsidRPr="003E7D75">
        <w:rPr>
          <w:rFonts w:eastAsia="Calibri"/>
          <w:sz w:val="24"/>
          <w:szCs w:val="24"/>
        </w:rPr>
        <w:t>Yakaar</w:t>
      </w:r>
      <w:proofErr w:type="spellEnd"/>
      <w:r w:rsidRPr="003E7D75">
        <w:rPr>
          <w:rFonts w:eastAsia="Calibri"/>
          <w:sz w:val="24"/>
          <w:szCs w:val="24"/>
        </w:rPr>
        <w:t>-Teranga operatorship in April 2026 after failing to secure a new partner on commercially and politically acceptable terms.</w:t>
      </w:r>
    </w:p>
    <w:p w14:paraId="1926F60C" w14:textId="77777777" w:rsidR="009B7D1C" w:rsidRPr="003E7D75" w:rsidRDefault="00000000" w:rsidP="003E7D75">
      <w:pPr>
        <w:pStyle w:val="ListParagraph"/>
        <w:numPr>
          <w:ilvl w:val="0"/>
          <w:numId w:val="5"/>
        </w:numPr>
        <w:spacing w:line="360" w:lineRule="auto"/>
        <w:jc w:val="both"/>
        <w:rPr>
          <w:sz w:val="24"/>
          <w:szCs w:val="24"/>
        </w:rPr>
      </w:pPr>
      <w:r w:rsidRPr="003E7D75">
        <w:rPr>
          <w:rFonts w:eastAsia="Calibri"/>
          <w:sz w:val="24"/>
          <w:szCs w:val="24"/>
        </w:rPr>
        <w:t xml:space="preserve">PETROSEN: 10% carried interest in GTA; now 100% owner/operator-designate of </w:t>
      </w:r>
      <w:proofErr w:type="spellStart"/>
      <w:r w:rsidRPr="003E7D75">
        <w:rPr>
          <w:rFonts w:eastAsia="Calibri"/>
          <w:sz w:val="24"/>
          <w:szCs w:val="24"/>
        </w:rPr>
        <w:t>Yakaar</w:t>
      </w:r>
      <w:proofErr w:type="spellEnd"/>
      <w:r w:rsidRPr="003E7D75">
        <w:rPr>
          <w:rFonts w:eastAsia="Calibri"/>
          <w:sz w:val="24"/>
          <w:szCs w:val="24"/>
        </w:rPr>
        <w:t>-Teranga; growing independent exploration and commercial/trading capability.</w:t>
      </w:r>
    </w:p>
    <w:p w14:paraId="06B9D7B2" w14:textId="77777777" w:rsidR="009B7D1C" w:rsidRPr="003E7D75" w:rsidRDefault="00000000" w:rsidP="003E7D75">
      <w:pPr>
        <w:pStyle w:val="ListParagraph"/>
        <w:numPr>
          <w:ilvl w:val="0"/>
          <w:numId w:val="5"/>
        </w:numPr>
        <w:spacing w:line="360" w:lineRule="auto"/>
        <w:jc w:val="both"/>
        <w:rPr>
          <w:sz w:val="24"/>
          <w:szCs w:val="24"/>
        </w:rPr>
      </w:pPr>
      <w:r w:rsidRPr="003E7D75">
        <w:rPr>
          <w:rFonts w:eastAsia="Calibri"/>
          <w:sz w:val="24"/>
          <w:szCs w:val="24"/>
        </w:rPr>
        <w:t xml:space="preserve">Woodside Energy: operator of the oil-led </w:t>
      </w:r>
      <w:proofErr w:type="spellStart"/>
      <w:r w:rsidRPr="003E7D75">
        <w:rPr>
          <w:rFonts w:eastAsia="Calibri"/>
          <w:sz w:val="24"/>
          <w:szCs w:val="24"/>
        </w:rPr>
        <w:t>Sangomar</w:t>
      </w:r>
      <w:proofErr w:type="spellEnd"/>
      <w:r w:rsidRPr="003E7D75">
        <w:rPr>
          <w:rFonts w:eastAsia="Calibri"/>
          <w:sz w:val="24"/>
          <w:szCs w:val="24"/>
        </w:rPr>
        <w:t xml:space="preserve"> field; evaluating a further ~33-well Phase 2 tie-back.</w:t>
      </w:r>
    </w:p>
    <w:p w14:paraId="22947705" w14:textId="77777777" w:rsidR="009B7D1C" w:rsidRPr="003E7D75" w:rsidRDefault="00000000" w:rsidP="003E7D75">
      <w:pPr>
        <w:pStyle w:val="ListParagraph"/>
        <w:numPr>
          <w:ilvl w:val="0"/>
          <w:numId w:val="5"/>
        </w:numPr>
        <w:spacing w:line="360" w:lineRule="auto"/>
        <w:jc w:val="both"/>
        <w:rPr>
          <w:sz w:val="24"/>
          <w:szCs w:val="24"/>
        </w:rPr>
      </w:pPr>
      <w:r w:rsidRPr="003E7D75">
        <w:rPr>
          <w:rFonts w:eastAsia="Calibri"/>
          <w:sz w:val="24"/>
          <w:szCs w:val="24"/>
        </w:rPr>
        <w:t xml:space="preserve">Golar LNG: owner/operator of the </w:t>
      </w:r>
      <w:proofErr w:type="spellStart"/>
      <w:r w:rsidRPr="003E7D75">
        <w:rPr>
          <w:rFonts w:eastAsia="Calibri"/>
          <w:sz w:val="24"/>
          <w:szCs w:val="24"/>
        </w:rPr>
        <w:t>Gimi</w:t>
      </w:r>
      <w:proofErr w:type="spellEnd"/>
      <w:r w:rsidRPr="003E7D75">
        <w:rPr>
          <w:rFonts w:eastAsia="Calibri"/>
          <w:sz w:val="24"/>
          <w:szCs w:val="24"/>
        </w:rPr>
        <w:t xml:space="preserve"> FLNG vessel under a 20-year Lease and Operate Agreement with BP — a build-own-operate midstream model distinct from the upstream PSC structure, and a template for how future FLNG capacity could be financed without direct government or PETROSEN balance-sheet exposure.</w:t>
      </w:r>
    </w:p>
    <w:p w14:paraId="34A6CCDD" w14:textId="77777777" w:rsidR="009B7D1C" w:rsidRPr="003E7D75" w:rsidRDefault="00000000" w:rsidP="003E7D75">
      <w:pPr>
        <w:pStyle w:val="ListParagraph"/>
        <w:numPr>
          <w:ilvl w:val="0"/>
          <w:numId w:val="5"/>
        </w:numPr>
        <w:spacing w:line="360" w:lineRule="auto"/>
        <w:jc w:val="both"/>
        <w:rPr>
          <w:rFonts w:eastAsia="Calibri"/>
          <w:sz w:val="24"/>
          <w:szCs w:val="24"/>
        </w:rPr>
      </w:pPr>
      <w:r w:rsidRPr="003E7D75">
        <w:rPr>
          <w:rFonts w:eastAsia="Calibri"/>
          <w:sz w:val="24"/>
          <w:szCs w:val="24"/>
        </w:rPr>
        <w:t>SMHPM: Mauritania's state hydrocarbons company, cross-border GTA partner.</w:t>
      </w:r>
    </w:p>
    <w:p w14:paraId="48B16B81" w14:textId="77777777" w:rsidR="003E7D75" w:rsidRPr="003E7D75" w:rsidRDefault="003E7D75" w:rsidP="003E7D75">
      <w:pPr>
        <w:spacing w:line="360" w:lineRule="auto"/>
        <w:jc w:val="both"/>
        <w:rPr>
          <w:sz w:val="24"/>
          <w:szCs w:val="24"/>
        </w:rPr>
      </w:pPr>
    </w:p>
    <w:p w14:paraId="7E0E1026" w14:textId="77777777" w:rsidR="009B7D1C" w:rsidRPr="003E7D75" w:rsidRDefault="00000000" w:rsidP="003E7D75">
      <w:pPr>
        <w:spacing w:line="360" w:lineRule="auto"/>
        <w:jc w:val="both"/>
        <w:rPr>
          <w:b/>
          <w:bCs/>
          <w:sz w:val="24"/>
          <w:szCs w:val="24"/>
        </w:rPr>
      </w:pPr>
      <w:r w:rsidRPr="003E7D75">
        <w:rPr>
          <w:rFonts w:eastAsia="Calibri"/>
          <w:b/>
          <w:bCs/>
          <w:sz w:val="24"/>
          <w:szCs w:val="24"/>
        </w:rPr>
        <w:t>3.4 Financing Trends</w:t>
      </w:r>
    </w:p>
    <w:p w14:paraId="7C8E8826" w14:textId="5177746A" w:rsidR="009B7D1C" w:rsidRDefault="00000000" w:rsidP="003E7D75">
      <w:pPr>
        <w:spacing w:line="360" w:lineRule="auto"/>
        <w:jc w:val="both"/>
        <w:rPr>
          <w:rFonts w:eastAsia="Calibri"/>
          <w:sz w:val="24"/>
          <w:szCs w:val="24"/>
        </w:rPr>
      </w:pPr>
      <w:r w:rsidRPr="003E7D75">
        <w:rPr>
          <w:rFonts w:eastAsia="Calibri"/>
          <w:sz w:val="24"/>
          <w:szCs w:val="24"/>
        </w:rPr>
        <w:t xml:space="preserve">Financing at GTA has followed a layered model: IOC equity and project debt for upstream/FPSO infrastructure, and a separate, ring-fenced asset-backed financing structure for the FLNG vessel itself (Golar's $1.2 billion refinancing, priced at SOFR+2.50% over 16 years, drawing a consortium including ABN AMRO, Citibank, DNB, Goldman Sachs and Standard Chartered, alongside an earlier Chinese-lender sale-leaseback structure). This demonstrates that global lenders now treat West African FLNG, once operational and under long-term charter, as investment-bankable collateral independent of sovereign risk. By contrast, PETROSEN's stated financing approach for </w:t>
      </w:r>
      <w:proofErr w:type="spellStart"/>
      <w:r w:rsidRPr="003E7D75">
        <w:rPr>
          <w:rFonts w:eastAsia="Calibri"/>
          <w:sz w:val="24"/>
          <w:szCs w:val="24"/>
        </w:rPr>
        <w:t>Yakaar</w:t>
      </w:r>
      <w:proofErr w:type="spellEnd"/>
      <w:r w:rsidRPr="003E7D75">
        <w:rPr>
          <w:rFonts w:eastAsia="Calibri"/>
          <w:sz w:val="24"/>
          <w:szCs w:val="24"/>
        </w:rPr>
        <w:t xml:space="preserve">-Teranga a mix of regional bond markets, development finance institutions and diaspora-linked capital, underpinned by 15–20-year offtake </w:t>
      </w:r>
      <w:r w:rsidR="003E7D75" w:rsidRPr="003E7D75">
        <w:rPr>
          <w:rFonts w:eastAsia="Calibri"/>
          <w:sz w:val="24"/>
          <w:szCs w:val="24"/>
        </w:rPr>
        <w:t>contracts are</w:t>
      </w:r>
      <w:r w:rsidRPr="003E7D75">
        <w:rPr>
          <w:rFonts w:eastAsia="Calibri"/>
          <w:sz w:val="24"/>
          <w:szCs w:val="24"/>
        </w:rPr>
        <w:t xml:space="preserve"> unproven at this scale and has not yet been tested by a comparable transaction.</w:t>
      </w:r>
    </w:p>
    <w:p w14:paraId="131632D8" w14:textId="77777777" w:rsidR="003E7D75" w:rsidRPr="003E7D75" w:rsidRDefault="003E7D75" w:rsidP="003E7D75">
      <w:pPr>
        <w:spacing w:line="360" w:lineRule="auto"/>
        <w:jc w:val="both"/>
        <w:rPr>
          <w:sz w:val="24"/>
          <w:szCs w:val="24"/>
        </w:rPr>
      </w:pPr>
    </w:p>
    <w:p w14:paraId="030A0DDF" w14:textId="77777777" w:rsidR="009B7D1C" w:rsidRPr="003E7D75" w:rsidRDefault="00000000" w:rsidP="003E7D75">
      <w:pPr>
        <w:spacing w:line="360" w:lineRule="auto"/>
        <w:jc w:val="both"/>
        <w:rPr>
          <w:b/>
          <w:bCs/>
          <w:sz w:val="24"/>
          <w:szCs w:val="24"/>
        </w:rPr>
      </w:pPr>
      <w:r w:rsidRPr="003E7D75">
        <w:rPr>
          <w:rFonts w:eastAsia="Calibri"/>
          <w:b/>
          <w:bCs/>
          <w:sz w:val="24"/>
          <w:szCs w:val="24"/>
        </w:rPr>
        <w:t>3.5 Investment Opportunities and Constraints</w:t>
      </w:r>
    </w:p>
    <w:p w14:paraId="33C2E56D" w14:textId="77777777" w:rsidR="009B7D1C" w:rsidRPr="003E7D75" w:rsidRDefault="00000000" w:rsidP="003E7D75">
      <w:pPr>
        <w:spacing w:line="360" w:lineRule="auto"/>
        <w:jc w:val="both"/>
        <w:rPr>
          <w:sz w:val="24"/>
          <w:szCs w:val="24"/>
        </w:rPr>
      </w:pPr>
      <w:r w:rsidRPr="003E7D75">
        <w:rPr>
          <w:rFonts w:eastAsia="Calibri"/>
          <w:b/>
          <w:bCs/>
          <w:sz w:val="24"/>
          <w:szCs w:val="24"/>
        </w:rPr>
        <w:t>Opportunities:</w:t>
      </w:r>
      <w:r w:rsidRPr="003E7D75">
        <w:rPr>
          <w:rFonts w:eastAsia="Calibri"/>
          <w:sz w:val="24"/>
          <w:szCs w:val="24"/>
        </w:rPr>
        <w:t xml:space="preserve"> a proven, replicable FLNG financing template (</w:t>
      </w:r>
      <w:proofErr w:type="spellStart"/>
      <w:r w:rsidRPr="003E7D75">
        <w:rPr>
          <w:rFonts w:eastAsia="Calibri"/>
          <w:sz w:val="24"/>
          <w:szCs w:val="24"/>
        </w:rPr>
        <w:t>Gimi</w:t>
      </w:r>
      <w:proofErr w:type="spellEnd"/>
      <w:r w:rsidRPr="003E7D75">
        <w:rPr>
          <w:rFonts w:eastAsia="Calibri"/>
          <w:sz w:val="24"/>
          <w:szCs w:val="24"/>
        </w:rPr>
        <w:t xml:space="preserve">); a large, still-open resource base at </w:t>
      </w:r>
      <w:proofErr w:type="spellStart"/>
      <w:r w:rsidRPr="003E7D75">
        <w:rPr>
          <w:rFonts w:eastAsia="Calibri"/>
          <w:sz w:val="24"/>
          <w:szCs w:val="24"/>
        </w:rPr>
        <w:t>Yakaar</w:t>
      </w:r>
      <w:proofErr w:type="spellEnd"/>
      <w:r w:rsidRPr="003E7D75">
        <w:rPr>
          <w:rFonts w:eastAsia="Calibri"/>
          <w:sz w:val="24"/>
          <w:szCs w:val="24"/>
        </w:rPr>
        <w:t xml:space="preserve">-Teranga and in the wider basin; an active government seeking blended-finance partners beyond traditional IOCs; and a sovereign wealth fund (FONSIS) explicitly </w:t>
      </w:r>
      <w:proofErr w:type="spellStart"/>
      <w:r w:rsidRPr="003E7D75">
        <w:rPr>
          <w:rFonts w:eastAsia="Calibri"/>
          <w:sz w:val="24"/>
          <w:szCs w:val="24"/>
        </w:rPr>
        <w:t>mobilising</w:t>
      </w:r>
      <w:proofErr w:type="spellEnd"/>
      <w:r w:rsidRPr="003E7D75">
        <w:rPr>
          <w:rFonts w:eastAsia="Calibri"/>
          <w:sz w:val="24"/>
          <w:szCs w:val="24"/>
        </w:rPr>
        <w:t xml:space="preserve"> co-investment capital.</w:t>
      </w:r>
    </w:p>
    <w:p w14:paraId="56E85007" w14:textId="77777777" w:rsidR="009B7D1C" w:rsidRPr="003E7D75" w:rsidRDefault="00000000" w:rsidP="003E7D75">
      <w:pPr>
        <w:spacing w:line="360" w:lineRule="auto"/>
        <w:jc w:val="both"/>
        <w:rPr>
          <w:sz w:val="24"/>
          <w:szCs w:val="24"/>
        </w:rPr>
      </w:pPr>
      <w:r w:rsidRPr="003E7D75">
        <w:rPr>
          <w:rFonts w:eastAsia="Calibri"/>
          <w:b/>
          <w:bCs/>
          <w:sz w:val="24"/>
          <w:szCs w:val="24"/>
        </w:rPr>
        <w:lastRenderedPageBreak/>
        <w:t>Constraints:</w:t>
      </w:r>
      <w:r w:rsidRPr="003E7D75">
        <w:rPr>
          <w:rFonts w:eastAsia="Calibri"/>
          <w:sz w:val="24"/>
          <w:szCs w:val="24"/>
        </w:rPr>
        <w:t xml:space="preserve"> the </w:t>
      </w:r>
      <w:proofErr w:type="spellStart"/>
      <w:r w:rsidRPr="003E7D75">
        <w:rPr>
          <w:rFonts w:eastAsia="Calibri"/>
          <w:sz w:val="24"/>
          <w:szCs w:val="24"/>
        </w:rPr>
        <w:t>Yakaar</w:t>
      </w:r>
      <w:proofErr w:type="spellEnd"/>
      <w:r w:rsidRPr="003E7D75">
        <w:rPr>
          <w:rFonts w:eastAsia="Calibri"/>
          <w:sz w:val="24"/>
          <w:szCs w:val="24"/>
        </w:rPr>
        <w:t>-Teranga precedent signals that new upstream capital must accept domestic-offtake obligations from the outset; standard fiscal terms carry no tax holiday, requiring investors to compete on efficiency and technical merit rather than concessional terms; and unresolved partner-sourcing difficulty in the wider basin (</w:t>
      </w:r>
      <w:proofErr w:type="spellStart"/>
      <w:r w:rsidRPr="003E7D75">
        <w:rPr>
          <w:rFonts w:eastAsia="Calibri"/>
          <w:sz w:val="24"/>
          <w:szCs w:val="24"/>
        </w:rPr>
        <w:t>BirAllah</w:t>
      </w:r>
      <w:proofErr w:type="spellEnd"/>
      <w:r w:rsidRPr="003E7D75">
        <w:rPr>
          <w:rFonts w:eastAsia="Calibri"/>
          <w:sz w:val="24"/>
          <w:szCs w:val="24"/>
        </w:rPr>
        <w:t>) suggests execution risk beyond Senegal's borders is also a live investor consideration.</w:t>
      </w:r>
    </w:p>
    <w:p w14:paraId="6A95F6E0" w14:textId="77777777" w:rsidR="003E7D75" w:rsidRPr="003E7D75" w:rsidRDefault="003E7D75" w:rsidP="003E7D75">
      <w:pPr>
        <w:spacing w:line="360" w:lineRule="auto"/>
        <w:jc w:val="both"/>
        <w:rPr>
          <w:rFonts w:eastAsia="Calibri"/>
          <w:b/>
          <w:bCs/>
          <w:sz w:val="24"/>
          <w:szCs w:val="24"/>
        </w:rPr>
      </w:pPr>
    </w:p>
    <w:p w14:paraId="29530DB0" w14:textId="6EB9D7BA" w:rsidR="009B7D1C" w:rsidRPr="003E7D75" w:rsidRDefault="00000000" w:rsidP="003E7D75">
      <w:pPr>
        <w:spacing w:line="360" w:lineRule="auto"/>
        <w:jc w:val="both"/>
        <w:rPr>
          <w:b/>
          <w:bCs/>
          <w:sz w:val="24"/>
          <w:szCs w:val="24"/>
        </w:rPr>
      </w:pPr>
      <w:r w:rsidRPr="003E7D75">
        <w:rPr>
          <w:rFonts w:eastAsia="Calibri"/>
          <w:b/>
          <w:bCs/>
          <w:sz w:val="24"/>
          <w:szCs w:val="24"/>
        </w:rPr>
        <w:t>4. LNG Value Chain Development</w:t>
      </w:r>
    </w:p>
    <w:p w14:paraId="7240D70D" w14:textId="77777777" w:rsidR="009B7D1C" w:rsidRPr="003E7D75" w:rsidRDefault="00000000" w:rsidP="003E7D75">
      <w:pPr>
        <w:spacing w:line="360" w:lineRule="auto"/>
        <w:jc w:val="both"/>
        <w:rPr>
          <w:b/>
          <w:bCs/>
          <w:sz w:val="24"/>
          <w:szCs w:val="24"/>
        </w:rPr>
      </w:pPr>
      <w:r w:rsidRPr="003E7D75">
        <w:rPr>
          <w:rFonts w:eastAsia="Calibri"/>
          <w:b/>
          <w:bCs/>
          <w:sz w:val="24"/>
          <w:szCs w:val="24"/>
        </w:rPr>
        <w:t>4.1 Floating LNG and Onshore Infrastructure</w:t>
      </w:r>
    </w:p>
    <w:p w14:paraId="3C86FDD1" w14:textId="4946A088" w:rsidR="009B7D1C" w:rsidRPr="003E7D75" w:rsidRDefault="00000000" w:rsidP="003E7D75">
      <w:pPr>
        <w:spacing w:line="360" w:lineRule="auto"/>
        <w:jc w:val="both"/>
        <w:rPr>
          <w:sz w:val="24"/>
          <w:szCs w:val="24"/>
        </w:rPr>
      </w:pPr>
      <w:r w:rsidRPr="003E7D75">
        <w:rPr>
          <w:rFonts w:eastAsia="Calibri"/>
          <w:sz w:val="24"/>
          <w:szCs w:val="24"/>
        </w:rPr>
        <w:t xml:space="preserve">GTA Phase 1 is architected end-to-end as a floating value chain, avoiding onshore LNG plant construction entirely: ultra-deepwater subsea wells (water depths to ~2,850 m) feed an 80 km subsea pipeline to a mid-water FPSO, which conditions the gas (removing water, condensate and impurities) before a further 35 km pipeline delivers gas to the </w:t>
      </w:r>
      <w:proofErr w:type="spellStart"/>
      <w:r w:rsidRPr="003E7D75">
        <w:rPr>
          <w:rFonts w:eastAsia="Calibri"/>
          <w:sz w:val="24"/>
          <w:szCs w:val="24"/>
        </w:rPr>
        <w:t>Gimi</w:t>
      </w:r>
      <w:proofErr w:type="spellEnd"/>
      <w:r w:rsidRPr="003E7D75">
        <w:rPr>
          <w:rFonts w:eastAsia="Calibri"/>
          <w:sz w:val="24"/>
          <w:szCs w:val="24"/>
        </w:rPr>
        <w:t xml:space="preserve"> FLNG vessel for liquefaction. The FLNG is moored behind a purpose-built breakwater/nearshore hub on the Mauritania-Senegal maritime border, which doubles as the LNG loading and export terminal eliminating the need for a separate onshore jetty or storage complex in Phase 1.</w:t>
      </w:r>
    </w:p>
    <w:p w14:paraId="5129FDE4" w14:textId="77777777" w:rsidR="003E7D75" w:rsidRPr="003E7D75" w:rsidRDefault="003E7D75" w:rsidP="003E7D75">
      <w:pPr>
        <w:spacing w:line="360" w:lineRule="auto"/>
        <w:jc w:val="both"/>
        <w:rPr>
          <w:rFonts w:eastAsia="Calibri"/>
          <w:b/>
          <w:bCs/>
          <w:sz w:val="24"/>
          <w:szCs w:val="24"/>
        </w:rPr>
      </w:pPr>
    </w:p>
    <w:p w14:paraId="21C40A94" w14:textId="162CD667" w:rsidR="009B7D1C" w:rsidRPr="003E7D75" w:rsidRDefault="00000000" w:rsidP="003E7D75">
      <w:pPr>
        <w:spacing w:line="360" w:lineRule="auto"/>
        <w:jc w:val="both"/>
        <w:rPr>
          <w:b/>
          <w:bCs/>
          <w:sz w:val="24"/>
          <w:szCs w:val="24"/>
        </w:rPr>
      </w:pPr>
      <w:r w:rsidRPr="003E7D75">
        <w:rPr>
          <w:rFonts w:eastAsia="Calibri"/>
          <w:b/>
          <w:bCs/>
          <w:sz w:val="24"/>
          <w:szCs w:val="24"/>
        </w:rPr>
        <w:t>4.2 Gas Gathering, Processing and Transportation</w:t>
      </w:r>
    </w:p>
    <w:p w14:paraId="78D68676" w14:textId="77777777" w:rsidR="009B7D1C" w:rsidRPr="003E7D75" w:rsidRDefault="00000000" w:rsidP="003E7D75">
      <w:pPr>
        <w:pStyle w:val="ListParagraph"/>
        <w:numPr>
          <w:ilvl w:val="0"/>
          <w:numId w:val="6"/>
        </w:numPr>
        <w:spacing w:line="360" w:lineRule="auto"/>
        <w:jc w:val="both"/>
        <w:rPr>
          <w:sz w:val="24"/>
          <w:szCs w:val="24"/>
        </w:rPr>
      </w:pPr>
      <w:r w:rsidRPr="003E7D75">
        <w:rPr>
          <w:rFonts w:eastAsia="Calibri"/>
          <w:sz w:val="24"/>
          <w:szCs w:val="24"/>
        </w:rPr>
        <w:t>Upstream gathering: subsea production system tied back via dual-pipeline architecture (well-to-FPSO, FPSO-to-FLNG), a design intended to be extensible to Phase 2 tie-backs without new topside infrastructure.</w:t>
      </w:r>
    </w:p>
    <w:p w14:paraId="58F14DA2" w14:textId="77777777" w:rsidR="009B7D1C" w:rsidRPr="003E7D75" w:rsidRDefault="00000000" w:rsidP="003E7D75">
      <w:pPr>
        <w:pStyle w:val="ListParagraph"/>
        <w:numPr>
          <w:ilvl w:val="0"/>
          <w:numId w:val="6"/>
        </w:numPr>
        <w:spacing w:line="360" w:lineRule="auto"/>
        <w:jc w:val="both"/>
        <w:rPr>
          <w:sz w:val="24"/>
          <w:szCs w:val="24"/>
        </w:rPr>
      </w:pPr>
      <w:r w:rsidRPr="003E7D75">
        <w:rPr>
          <w:rFonts w:eastAsia="Calibri"/>
          <w:sz w:val="24"/>
          <w:szCs w:val="24"/>
        </w:rPr>
        <w:t xml:space="preserve">Processing: gas conditioning occurs on the FPSO; liquefaction occurs entirely on the </w:t>
      </w:r>
      <w:proofErr w:type="spellStart"/>
      <w:r w:rsidRPr="003E7D75">
        <w:rPr>
          <w:rFonts w:eastAsia="Calibri"/>
          <w:sz w:val="24"/>
          <w:szCs w:val="24"/>
        </w:rPr>
        <w:t>Gimi</w:t>
      </w:r>
      <w:proofErr w:type="spellEnd"/>
      <w:r w:rsidRPr="003E7D75">
        <w:rPr>
          <w:rFonts w:eastAsia="Calibri"/>
          <w:sz w:val="24"/>
          <w:szCs w:val="24"/>
        </w:rPr>
        <w:t xml:space="preserve"> FLNG vessel under its 20-year Lease and Operate Agreement with BP.</w:t>
      </w:r>
    </w:p>
    <w:p w14:paraId="3C3C27ED" w14:textId="77777777" w:rsidR="009B7D1C" w:rsidRPr="003E7D75" w:rsidRDefault="00000000" w:rsidP="003E7D75">
      <w:pPr>
        <w:pStyle w:val="ListParagraph"/>
        <w:numPr>
          <w:ilvl w:val="0"/>
          <w:numId w:val="6"/>
        </w:numPr>
        <w:spacing w:line="360" w:lineRule="auto"/>
        <w:jc w:val="both"/>
        <w:rPr>
          <w:sz w:val="24"/>
          <w:szCs w:val="24"/>
        </w:rPr>
      </w:pPr>
      <w:r w:rsidRPr="003E7D75">
        <w:rPr>
          <w:rFonts w:eastAsia="Calibri"/>
          <w:sz w:val="24"/>
          <w:szCs w:val="24"/>
        </w:rPr>
        <w:t xml:space="preserve">Domestic transportation: a planned 400 km onshore gas pipeline network is intended to move GTA and </w:t>
      </w:r>
      <w:proofErr w:type="spellStart"/>
      <w:r w:rsidRPr="003E7D75">
        <w:rPr>
          <w:rFonts w:eastAsia="Calibri"/>
          <w:sz w:val="24"/>
          <w:szCs w:val="24"/>
        </w:rPr>
        <w:t>Sangomar</w:t>
      </w:r>
      <w:proofErr w:type="spellEnd"/>
      <w:r w:rsidRPr="003E7D75">
        <w:rPr>
          <w:rFonts w:eastAsia="Calibri"/>
          <w:sz w:val="24"/>
          <w:szCs w:val="24"/>
        </w:rPr>
        <w:t xml:space="preserve"> gas to power plants and industrial consumers — this midstream layer remains under development and is the principal near-term integration gap in the value chain.</w:t>
      </w:r>
    </w:p>
    <w:p w14:paraId="776B9FDD" w14:textId="77777777" w:rsidR="003E7D75" w:rsidRPr="003E7D75" w:rsidRDefault="003E7D75" w:rsidP="003E7D75">
      <w:pPr>
        <w:pStyle w:val="ListParagraph"/>
        <w:spacing w:line="360" w:lineRule="auto"/>
        <w:ind w:left="720"/>
        <w:jc w:val="both"/>
        <w:rPr>
          <w:sz w:val="24"/>
          <w:szCs w:val="24"/>
        </w:rPr>
      </w:pPr>
    </w:p>
    <w:p w14:paraId="6AD49466" w14:textId="77777777" w:rsidR="009B7D1C" w:rsidRPr="003E7D75" w:rsidRDefault="00000000" w:rsidP="003E7D75">
      <w:pPr>
        <w:spacing w:line="360" w:lineRule="auto"/>
        <w:jc w:val="both"/>
        <w:rPr>
          <w:b/>
          <w:bCs/>
          <w:sz w:val="24"/>
          <w:szCs w:val="24"/>
        </w:rPr>
      </w:pPr>
      <w:r w:rsidRPr="003E7D75">
        <w:rPr>
          <w:rFonts w:eastAsia="Calibri"/>
          <w:b/>
          <w:bCs/>
          <w:sz w:val="24"/>
          <w:szCs w:val="24"/>
        </w:rPr>
        <w:t>4.3 LNG Production Capacity and Expansion Plans</w:t>
      </w:r>
    </w:p>
    <w:tbl>
      <w:tblPr>
        <w:tblStyle w:val="TableGrid"/>
        <w:tblW w:w="9400" w:type="dxa"/>
        <w:tblLook w:val="0000" w:firstRow="0" w:lastRow="0" w:firstColumn="0" w:lastColumn="0" w:noHBand="0" w:noVBand="0"/>
      </w:tblPr>
      <w:tblGrid>
        <w:gridCol w:w="2800"/>
        <w:gridCol w:w="3800"/>
        <w:gridCol w:w="2800"/>
      </w:tblGrid>
      <w:tr w:rsidR="009B7D1C" w:rsidRPr="003E7D75" w14:paraId="555AABDA" w14:textId="77777777" w:rsidTr="003E7D75">
        <w:tc>
          <w:tcPr>
            <w:tcW w:w="2800" w:type="dxa"/>
          </w:tcPr>
          <w:p w14:paraId="784DFD12" w14:textId="77777777" w:rsidR="009B7D1C" w:rsidRPr="003E7D75" w:rsidRDefault="00000000" w:rsidP="003E7D75">
            <w:pPr>
              <w:spacing w:line="360" w:lineRule="auto"/>
              <w:jc w:val="both"/>
              <w:rPr>
                <w:sz w:val="24"/>
                <w:szCs w:val="24"/>
              </w:rPr>
            </w:pPr>
            <w:r w:rsidRPr="003E7D75">
              <w:rPr>
                <w:rFonts w:eastAsia="Calibri"/>
                <w:sz w:val="24"/>
                <w:szCs w:val="24"/>
              </w:rPr>
              <w:t>Phase</w:t>
            </w:r>
          </w:p>
        </w:tc>
        <w:tc>
          <w:tcPr>
            <w:tcW w:w="3800" w:type="dxa"/>
          </w:tcPr>
          <w:p w14:paraId="62F28AA8" w14:textId="77777777" w:rsidR="009B7D1C" w:rsidRPr="003E7D75" w:rsidRDefault="00000000" w:rsidP="003E7D75">
            <w:pPr>
              <w:spacing w:line="360" w:lineRule="auto"/>
              <w:jc w:val="both"/>
              <w:rPr>
                <w:sz w:val="24"/>
                <w:szCs w:val="24"/>
              </w:rPr>
            </w:pPr>
            <w:r w:rsidRPr="003E7D75">
              <w:rPr>
                <w:rFonts w:eastAsia="Calibri"/>
                <w:sz w:val="24"/>
                <w:szCs w:val="24"/>
              </w:rPr>
              <w:t>Capacity</w:t>
            </w:r>
          </w:p>
        </w:tc>
        <w:tc>
          <w:tcPr>
            <w:tcW w:w="2800" w:type="dxa"/>
          </w:tcPr>
          <w:p w14:paraId="0DBE3743" w14:textId="77777777" w:rsidR="009B7D1C" w:rsidRPr="003E7D75" w:rsidRDefault="00000000" w:rsidP="003E7D75">
            <w:pPr>
              <w:spacing w:line="360" w:lineRule="auto"/>
              <w:jc w:val="both"/>
              <w:rPr>
                <w:sz w:val="24"/>
                <w:szCs w:val="24"/>
              </w:rPr>
            </w:pPr>
            <w:r w:rsidRPr="003E7D75">
              <w:rPr>
                <w:rFonts w:eastAsia="Calibri"/>
                <w:sz w:val="24"/>
                <w:szCs w:val="24"/>
              </w:rPr>
              <w:t>Status</w:t>
            </w:r>
          </w:p>
        </w:tc>
      </w:tr>
      <w:tr w:rsidR="009B7D1C" w:rsidRPr="003E7D75" w14:paraId="6FAFBD7D" w14:textId="77777777" w:rsidTr="003E7D75">
        <w:tc>
          <w:tcPr>
            <w:tcW w:w="2800" w:type="dxa"/>
          </w:tcPr>
          <w:p w14:paraId="127FB1F9" w14:textId="77777777" w:rsidR="009B7D1C" w:rsidRPr="003E7D75" w:rsidRDefault="00000000" w:rsidP="003E7D75">
            <w:pPr>
              <w:spacing w:line="360" w:lineRule="auto"/>
              <w:jc w:val="both"/>
              <w:rPr>
                <w:sz w:val="24"/>
                <w:szCs w:val="24"/>
              </w:rPr>
            </w:pPr>
            <w:r w:rsidRPr="003E7D75">
              <w:rPr>
                <w:rFonts w:eastAsia="Calibri"/>
                <w:sz w:val="24"/>
                <w:szCs w:val="24"/>
              </w:rPr>
              <w:t>GTA Phase 1</w:t>
            </w:r>
          </w:p>
        </w:tc>
        <w:tc>
          <w:tcPr>
            <w:tcW w:w="3800" w:type="dxa"/>
          </w:tcPr>
          <w:p w14:paraId="47DB66E3" w14:textId="77777777" w:rsidR="009B7D1C" w:rsidRPr="003E7D75" w:rsidRDefault="00000000" w:rsidP="003E7D75">
            <w:pPr>
              <w:spacing w:line="360" w:lineRule="auto"/>
              <w:jc w:val="both"/>
              <w:rPr>
                <w:sz w:val="24"/>
                <w:szCs w:val="24"/>
              </w:rPr>
            </w:pPr>
            <w:r w:rsidRPr="003E7D75">
              <w:rPr>
                <w:rFonts w:eastAsia="Calibri"/>
                <w:sz w:val="24"/>
                <w:szCs w:val="24"/>
              </w:rPr>
              <w:t xml:space="preserve">2.7 </w:t>
            </w:r>
            <w:proofErr w:type="spellStart"/>
            <w:r w:rsidRPr="003E7D75">
              <w:rPr>
                <w:rFonts w:eastAsia="Calibri"/>
                <w:sz w:val="24"/>
                <w:szCs w:val="24"/>
              </w:rPr>
              <w:t>mtpa</w:t>
            </w:r>
            <w:proofErr w:type="spellEnd"/>
            <w:r w:rsidRPr="003E7D75">
              <w:rPr>
                <w:rFonts w:eastAsia="Calibri"/>
                <w:sz w:val="24"/>
                <w:szCs w:val="24"/>
              </w:rPr>
              <w:t xml:space="preserve"> nameplate (FLNG); ~2.3–2.5 </w:t>
            </w:r>
            <w:proofErr w:type="spellStart"/>
            <w:r w:rsidRPr="003E7D75">
              <w:rPr>
                <w:rFonts w:eastAsia="Calibri"/>
                <w:sz w:val="24"/>
                <w:szCs w:val="24"/>
              </w:rPr>
              <w:t>mtpa</w:t>
            </w:r>
            <w:proofErr w:type="spellEnd"/>
            <w:r w:rsidRPr="003E7D75">
              <w:rPr>
                <w:rFonts w:eastAsia="Calibri"/>
                <w:sz w:val="24"/>
                <w:szCs w:val="24"/>
              </w:rPr>
              <w:t xml:space="preserve"> design output</w:t>
            </w:r>
          </w:p>
        </w:tc>
        <w:tc>
          <w:tcPr>
            <w:tcW w:w="2800" w:type="dxa"/>
          </w:tcPr>
          <w:p w14:paraId="4706EC9A" w14:textId="77777777" w:rsidR="009B7D1C" w:rsidRPr="003E7D75" w:rsidRDefault="00000000" w:rsidP="003E7D75">
            <w:pPr>
              <w:spacing w:line="360" w:lineRule="auto"/>
              <w:jc w:val="both"/>
              <w:rPr>
                <w:sz w:val="24"/>
                <w:szCs w:val="24"/>
              </w:rPr>
            </w:pPr>
            <w:r w:rsidRPr="003E7D75">
              <w:rPr>
                <w:rFonts w:eastAsia="Calibri"/>
                <w:sz w:val="24"/>
                <w:szCs w:val="24"/>
              </w:rPr>
              <w:t xml:space="preserve">In production; ran at ~90% of nameplate mid-2025, </w:t>
            </w:r>
            <w:r w:rsidRPr="003E7D75">
              <w:rPr>
                <w:rFonts w:eastAsia="Calibri"/>
                <w:sz w:val="24"/>
                <w:szCs w:val="24"/>
              </w:rPr>
              <w:lastRenderedPageBreak/>
              <w:t>reached full nameplate by Dec 2025</w:t>
            </w:r>
          </w:p>
        </w:tc>
      </w:tr>
      <w:tr w:rsidR="009B7D1C" w:rsidRPr="003E7D75" w14:paraId="2F3176BC" w14:textId="77777777" w:rsidTr="003E7D75">
        <w:tc>
          <w:tcPr>
            <w:tcW w:w="2800" w:type="dxa"/>
          </w:tcPr>
          <w:p w14:paraId="440553AE" w14:textId="77777777" w:rsidR="009B7D1C" w:rsidRPr="003E7D75" w:rsidRDefault="00000000" w:rsidP="003E7D75">
            <w:pPr>
              <w:spacing w:line="360" w:lineRule="auto"/>
              <w:jc w:val="both"/>
              <w:rPr>
                <w:sz w:val="24"/>
                <w:szCs w:val="24"/>
              </w:rPr>
            </w:pPr>
            <w:r w:rsidRPr="003E7D75">
              <w:rPr>
                <w:rFonts w:eastAsia="Calibri"/>
                <w:sz w:val="24"/>
                <w:szCs w:val="24"/>
              </w:rPr>
              <w:lastRenderedPageBreak/>
              <w:t>GTA Phase 2</w:t>
            </w:r>
          </w:p>
        </w:tc>
        <w:tc>
          <w:tcPr>
            <w:tcW w:w="3800" w:type="dxa"/>
          </w:tcPr>
          <w:p w14:paraId="1B680A03" w14:textId="77777777" w:rsidR="009B7D1C" w:rsidRPr="003E7D75" w:rsidRDefault="00000000" w:rsidP="003E7D75">
            <w:pPr>
              <w:spacing w:line="360" w:lineRule="auto"/>
              <w:jc w:val="both"/>
              <w:rPr>
                <w:sz w:val="24"/>
                <w:szCs w:val="24"/>
              </w:rPr>
            </w:pPr>
            <w:r w:rsidRPr="003E7D75">
              <w:rPr>
                <w:rFonts w:eastAsia="Calibri"/>
                <w:sz w:val="24"/>
                <w:szCs w:val="24"/>
              </w:rPr>
              <w:t xml:space="preserve">Incremental 2.5–3.0 </w:t>
            </w:r>
            <w:proofErr w:type="spellStart"/>
            <w:r w:rsidRPr="003E7D75">
              <w:rPr>
                <w:rFonts w:eastAsia="Calibri"/>
                <w:sz w:val="24"/>
                <w:szCs w:val="24"/>
              </w:rPr>
              <w:t>mtpa</w:t>
            </w:r>
            <w:proofErr w:type="spellEnd"/>
          </w:p>
        </w:tc>
        <w:tc>
          <w:tcPr>
            <w:tcW w:w="2800" w:type="dxa"/>
          </w:tcPr>
          <w:p w14:paraId="0154D9BA" w14:textId="77777777" w:rsidR="009B7D1C" w:rsidRPr="003E7D75" w:rsidRDefault="00000000" w:rsidP="003E7D75">
            <w:pPr>
              <w:spacing w:line="360" w:lineRule="auto"/>
              <w:jc w:val="both"/>
              <w:rPr>
                <w:sz w:val="24"/>
                <w:szCs w:val="24"/>
              </w:rPr>
            </w:pPr>
            <w:r w:rsidRPr="003E7D75">
              <w:rPr>
                <w:rFonts w:eastAsia="Calibri"/>
                <w:sz w:val="24"/>
                <w:szCs w:val="24"/>
              </w:rPr>
              <w:t>Concept stage; ~$5bn; no FID</w:t>
            </w:r>
          </w:p>
        </w:tc>
      </w:tr>
      <w:tr w:rsidR="009B7D1C" w:rsidRPr="003E7D75" w14:paraId="62647708" w14:textId="77777777" w:rsidTr="003E7D75">
        <w:tc>
          <w:tcPr>
            <w:tcW w:w="2800" w:type="dxa"/>
          </w:tcPr>
          <w:p w14:paraId="17A4CCB0" w14:textId="77777777" w:rsidR="009B7D1C" w:rsidRPr="003E7D75" w:rsidRDefault="00000000" w:rsidP="003E7D75">
            <w:pPr>
              <w:spacing w:line="360" w:lineRule="auto"/>
              <w:jc w:val="both"/>
              <w:rPr>
                <w:sz w:val="24"/>
                <w:szCs w:val="24"/>
              </w:rPr>
            </w:pPr>
            <w:proofErr w:type="spellStart"/>
            <w:r w:rsidRPr="003E7D75">
              <w:rPr>
                <w:rFonts w:eastAsia="Calibri"/>
                <w:sz w:val="24"/>
                <w:szCs w:val="24"/>
              </w:rPr>
              <w:t>Yakaar</w:t>
            </w:r>
            <w:proofErr w:type="spellEnd"/>
            <w:r w:rsidRPr="003E7D75">
              <w:rPr>
                <w:rFonts w:eastAsia="Calibri"/>
                <w:sz w:val="24"/>
                <w:szCs w:val="24"/>
              </w:rPr>
              <w:t>-Teranga LNG (potential)</w:t>
            </w:r>
          </w:p>
        </w:tc>
        <w:tc>
          <w:tcPr>
            <w:tcW w:w="3800" w:type="dxa"/>
          </w:tcPr>
          <w:p w14:paraId="284D385E" w14:textId="77777777" w:rsidR="009B7D1C" w:rsidRPr="003E7D75" w:rsidRDefault="00000000" w:rsidP="003E7D75">
            <w:pPr>
              <w:spacing w:line="360" w:lineRule="auto"/>
              <w:jc w:val="both"/>
              <w:rPr>
                <w:sz w:val="24"/>
                <w:szCs w:val="24"/>
              </w:rPr>
            </w:pPr>
            <w:r w:rsidRPr="003E7D75">
              <w:rPr>
                <w:rFonts w:eastAsia="Calibri"/>
                <w:sz w:val="24"/>
                <w:szCs w:val="24"/>
              </w:rPr>
              <w:t>Not yet defined – Phase 1 domestic-only at present</w:t>
            </w:r>
          </w:p>
        </w:tc>
        <w:tc>
          <w:tcPr>
            <w:tcW w:w="2800" w:type="dxa"/>
          </w:tcPr>
          <w:p w14:paraId="357847BA" w14:textId="77777777" w:rsidR="009B7D1C" w:rsidRPr="003E7D75" w:rsidRDefault="00000000" w:rsidP="003E7D75">
            <w:pPr>
              <w:spacing w:line="360" w:lineRule="auto"/>
              <w:jc w:val="both"/>
              <w:rPr>
                <w:sz w:val="24"/>
                <w:szCs w:val="24"/>
              </w:rPr>
            </w:pPr>
            <w:r w:rsidRPr="003E7D75">
              <w:rPr>
                <w:rFonts w:eastAsia="Calibri"/>
                <w:sz w:val="24"/>
                <w:szCs w:val="24"/>
              </w:rPr>
              <w:t xml:space="preserve">Pre-FID; domestic gas (~300 </w:t>
            </w:r>
            <w:proofErr w:type="spellStart"/>
            <w:r w:rsidRPr="003E7D75">
              <w:rPr>
                <w:rFonts w:eastAsia="Calibri"/>
                <w:sz w:val="24"/>
                <w:szCs w:val="24"/>
              </w:rPr>
              <w:t>mmscf</w:t>
            </w:r>
            <w:proofErr w:type="spellEnd"/>
            <w:r w:rsidRPr="003E7D75">
              <w:rPr>
                <w:rFonts w:eastAsia="Calibri"/>
                <w:sz w:val="24"/>
                <w:szCs w:val="24"/>
              </w:rPr>
              <w:t>/d) is current priority over LNG export</w:t>
            </w:r>
          </w:p>
        </w:tc>
      </w:tr>
    </w:tbl>
    <w:p w14:paraId="433768F0" w14:textId="77777777" w:rsidR="009B7D1C" w:rsidRPr="003E7D75" w:rsidRDefault="009B7D1C" w:rsidP="003E7D75">
      <w:pPr>
        <w:spacing w:line="360" w:lineRule="auto"/>
        <w:jc w:val="both"/>
        <w:rPr>
          <w:sz w:val="24"/>
          <w:szCs w:val="24"/>
        </w:rPr>
      </w:pPr>
    </w:p>
    <w:p w14:paraId="3FC1A2C4" w14:textId="77777777" w:rsidR="009B7D1C" w:rsidRPr="003E7D75" w:rsidRDefault="00000000" w:rsidP="003E7D75">
      <w:pPr>
        <w:spacing w:line="360" w:lineRule="auto"/>
        <w:jc w:val="both"/>
        <w:rPr>
          <w:b/>
          <w:bCs/>
          <w:sz w:val="24"/>
          <w:szCs w:val="24"/>
        </w:rPr>
      </w:pPr>
      <w:r w:rsidRPr="003E7D75">
        <w:rPr>
          <w:rFonts w:eastAsia="Calibri"/>
          <w:b/>
          <w:bCs/>
          <w:sz w:val="24"/>
          <w:szCs w:val="24"/>
        </w:rPr>
        <w:t>4.4 Export Terminals and Logistics</w:t>
      </w:r>
    </w:p>
    <w:p w14:paraId="028E2268" w14:textId="77777777" w:rsidR="009B7D1C" w:rsidRDefault="00000000" w:rsidP="003E7D75">
      <w:pPr>
        <w:spacing w:line="360" w:lineRule="auto"/>
        <w:jc w:val="both"/>
        <w:rPr>
          <w:rFonts w:eastAsia="Calibri"/>
          <w:sz w:val="24"/>
          <w:szCs w:val="24"/>
        </w:rPr>
      </w:pPr>
      <w:r w:rsidRPr="003E7D75">
        <w:rPr>
          <w:rFonts w:eastAsia="Calibri"/>
          <w:sz w:val="24"/>
          <w:szCs w:val="24"/>
        </w:rPr>
        <w:t xml:space="preserve">The GTA nearshore hub is currently Senegal's only LNG export point, loading cargoes directly from the FLNG vessel under BP Gas Marketing's sole offtake arrangement. Golar has indicated it will not commit significant capital to a fourth FLNG vessel until commercial terms for a next project (implicitly, GTA Phase 2 or a </w:t>
      </w:r>
      <w:proofErr w:type="spellStart"/>
      <w:r w:rsidRPr="003E7D75">
        <w:rPr>
          <w:rFonts w:eastAsia="Calibri"/>
          <w:sz w:val="24"/>
          <w:szCs w:val="24"/>
        </w:rPr>
        <w:t>Yakaar</w:t>
      </w:r>
      <w:proofErr w:type="spellEnd"/>
      <w:r w:rsidRPr="003E7D75">
        <w:rPr>
          <w:rFonts w:eastAsia="Calibri"/>
          <w:sz w:val="24"/>
          <w:szCs w:val="24"/>
        </w:rPr>
        <w:t>-Teranga LNG stream) are matured — an important signal that further FLNG capacity is a commercial decision still pending rather than a technical certainty.</w:t>
      </w:r>
    </w:p>
    <w:p w14:paraId="5AB4F28B" w14:textId="77777777" w:rsidR="003E7D75" w:rsidRPr="003E7D75" w:rsidRDefault="003E7D75" w:rsidP="003E7D75">
      <w:pPr>
        <w:spacing w:line="360" w:lineRule="auto"/>
        <w:jc w:val="both"/>
        <w:rPr>
          <w:sz w:val="24"/>
          <w:szCs w:val="24"/>
        </w:rPr>
      </w:pPr>
    </w:p>
    <w:p w14:paraId="21CAA429" w14:textId="77777777" w:rsidR="009B7D1C" w:rsidRPr="003E7D75" w:rsidRDefault="00000000" w:rsidP="003E7D75">
      <w:pPr>
        <w:spacing w:line="360" w:lineRule="auto"/>
        <w:jc w:val="both"/>
        <w:rPr>
          <w:b/>
          <w:bCs/>
          <w:sz w:val="24"/>
          <w:szCs w:val="24"/>
        </w:rPr>
      </w:pPr>
      <w:r w:rsidRPr="003E7D75">
        <w:rPr>
          <w:rFonts w:eastAsia="Calibri"/>
          <w:b/>
          <w:bCs/>
          <w:sz w:val="24"/>
          <w:szCs w:val="24"/>
        </w:rPr>
        <w:t xml:space="preserve">4.5 Technologies Supporting </w:t>
      </w:r>
      <w:proofErr w:type="spellStart"/>
      <w:r w:rsidRPr="003E7D75">
        <w:rPr>
          <w:rFonts w:eastAsia="Calibri"/>
          <w:b/>
          <w:bCs/>
          <w:sz w:val="24"/>
          <w:szCs w:val="24"/>
        </w:rPr>
        <w:t>Commercialisation</w:t>
      </w:r>
      <w:proofErr w:type="spellEnd"/>
    </w:p>
    <w:p w14:paraId="76086B19" w14:textId="77777777" w:rsidR="009B7D1C" w:rsidRPr="003E7D75" w:rsidRDefault="00000000" w:rsidP="003E7D75">
      <w:pPr>
        <w:pStyle w:val="ListParagraph"/>
        <w:numPr>
          <w:ilvl w:val="0"/>
          <w:numId w:val="7"/>
        </w:numPr>
        <w:spacing w:line="360" w:lineRule="auto"/>
        <w:jc w:val="both"/>
        <w:rPr>
          <w:sz w:val="24"/>
          <w:szCs w:val="24"/>
        </w:rPr>
      </w:pPr>
      <w:r w:rsidRPr="003E7D75">
        <w:rPr>
          <w:rFonts w:eastAsia="Calibri"/>
          <w:sz w:val="24"/>
          <w:szCs w:val="24"/>
        </w:rPr>
        <w:t xml:space="preserve">FLNG conversion technology: Golar's Moss-type LNG carrier-to-FLNG conversion (as applied to </w:t>
      </w:r>
      <w:proofErr w:type="spellStart"/>
      <w:r w:rsidRPr="003E7D75">
        <w:rPr>
          <w:rFonts w:eastAsia="Calibri"/>
          <w:sz w:val="24"/>
          <w:szCs w:val="24"/>
        </w:rPr>
        <w:t>Gimi</w:t>
      </w:r>
      <w:proofErr w:type="spellEnd"/>
      <w:r w:rsidRPr="003E7D75">
        <w:rPr>
          <w:rFonts w:eastAsia="Calibri"/>
          <w:sz w:val="24"/>
          <w:szCs w:val="24"/>
        </w:rPr>
        <w:t>) has now demonstrated a repeatable, bankable model in West Africa, reducing technology risk for any future Senegalese or regional FLNG project.</w:t>
      </w:r>
    </w:p>
    <w:p w14:paraId="3C018363" w14:textId="77777777" w:rsidR="009B7D1C" w:rsidRPr="003E7D75" w:rsidRDefault="00000000" w:rsidP="003E7D75">
      <w:pPr>
        <w:pStyle w:val="ListParagraph"/>
        <w:numPr>
          <w:ilvl w:val="0"/>
          <w:numId w:val="7"/>
        </w:numPr>
        <w:spacing w:line="360" w:lineRule="auto"/>
        <w:jc w:val="both"/>
        <w:rPr>
          <w:sz w:val="24"/>
          <w:szCs w:val="24"/>
        </w:rPr>
      </w:pPr>
      <w:r w:rsidRPr="003E7D75">
        <w:rPr>
          <w:rFonts w:eastAsia="Calibri"/>
          <w:sz w:val="24"/>
          <w:szCs w:val="24"/>
        </w:rPr>
        <w:t xml:space="preserve">Asset-backed structured finance: the </w:t>
      </w:r>
      <w:proofErr w:type="spellStart"/>
      <w:r w:rsidRPr="003E7D75">
        <w:rPr>
          <w:rFonts w:eastAsia="Calibri"/>
          <w:sz w:val="24"/>
          <w:szCs w:val="24"/>
        </w:rPr>
        <w:t>Gimi</w:t>
      </w:r>
      <w:proofErr w:type="spellEnd"/>
      <w:r w:rsidRPr="003E7D75">
        <w:rPr>
          <w:rFonts w:eastAsia="Calibri"/>
          <w:sz w:val="24"/>
          <w:szCs w:val="24"/>
        </w:rPr>
        <w:t xml:space="preserve"> refinancing (5.5x debt/EBITDA, SOFR+2.50%, 16-year </w:t>
      </w:r>
      <w:proofErr w:type="spellStart"/>
      <w:r w:rsidRPr="003E7D75">
        <w:rPr>
          <w:rFonts w:eastAsia="Calibri"/>
          <w:sz w:val="24"/>
          <w:szCs w:val="24"/>
        </w:rPr>
        <w:t>amortisation</w:t>
      </w:r>
      <w:proofErr w:type="spellEnd"/>
      <w:r w:rsidRPr="003E7D75">
        <w:rPr>
          <w:rFonts w:eastAsia="Calibri"/>
          <w:sz w:val="24"/>
          <w:szCs w:val="24"/>
        </w:rPr>
        <w:t>) establishes a market-tested benchmark for financing future floating LNG capacity independent of upstream project debt.</w:t>
      </w:r>
    </w:p>
    <w:p w14:paraId="211A369F" w14:textId="4D1F096E" w:rsidR="009B7D1C" w:rsidRPr="003E7D75" w:rsidRDefault="00000000" w:rsidP="003E7D75">
      <w:pPr>
        <w:pStyle w:val="ListParagraph"/>
        <w:numPr>
          <w:ilvl w:val="0"/>
          <w:numId w:val="7"/>
        </w:numPr>
        <w:spacing w:line="360" w:lineRule="auto"/>
        <w:jc w:val="both"/>
        <w:rPr>
          <w:sz w:val="24"/>
          <w:szCs w:val="24"/>
        </w:rPr>
      </w:pPr>
      <w:r w:rsidRPr="003E7D75">
        <w:rPr>
          <w:rFonts w:eastAsia="Calibri"/>
          <w:sz w:val="24"/>
          <w:szCs w:val="24"/>
        </w:rPr>
        <w:t>Debottlenecking: Golar and the GTA partners are actively pursuing operational efficiencies and debottlenecking to raise the project's effective liquefaction capacity without new capital investment a lower-cost route to incremental volumes than a full Phase 2 sanction.</w:t>
      </w:r>
    </w:p>
    <w:p w14:paraId="7F65C5C4" w14:textId="77777777" w:rsidR="003E7D75" w:rsidRPr="003E7D75" w:rsidRDefault="003E7D75" w:rsidP="003E7D75">
      <w:pPr>
        <w:pStyle w:val="ListParagraph"/>
        <w:spacing w:line="360" w:lineRule="auto"/>
        <w:ind w:left="720"/>
        <w:jc w:val="both"/>
        <w:rPr>
          <w:sz w:val="24"/>
          <w:szCs w:val="24"/>
        </w:rPr>
      </w:pPr>
    </w:p>
    <w:p w14:paraId="05AE3A72" w14:textId="77777777" w:rsidR="009B7D1C" w:rsidRPr="003E7D75" w:rsidRDefault="00000000" w:rsidP="003E7D75">
      <w:pPr>
        <w:spacing w:line="360" w:lineRule="auto"/>
        <w:jc w:val="both"/>
        <w:rPr>
          <w:b/>
          <w:bCs/>
          <w:sz w:val="24"/>
          <w:szCs w:val="24"/>
        </w:rPr>
      </w:pPr>
      <w:r w:rsidRPr="003E7D75">
        <w:rPr>
          <w:rFonts w:eastAsia="Calibri"/>
          <w:b/>
          <w:bCs/>
          <w:sz w:val="24"/>
          <w:szCs w:val="24"/>
        </w:rPr>
        <w:t>4.6 Upstream-Midstream-LNG Integration</w:t>
      </w:r>
    </w:p>
    <w:p w14:paraId="0804E23D" w14:textId="7794FDDB" w:rsidR="009B7D1C" w:rsidRDefault="00000000" w:rsidP="003E7D75">
      <w:pPr>
        <w:spacing w:line="360" w:lineRule="auto"/>
        <w:jc w:val="both"/>
        <w:rPr>
          <w:rFonts w:eastAsia="Calibri"/>
          <w:sz w:val="24"/>
          <w:szCs w:val="24"/>
        </w:rPr>
      </w:pPr>
      <w:r w:rsidRPr="003E7D75">
        <w:rPr>
          <w:rFonts w:eastAsia="Calibri"/>
          <w:sz w:val="24"/>
          <w:szCs w:val="24"/>
        </w:rPr>
        <w:t xml:space="preserve">GTA demonstrates strong integration between upstream and LNG liquefaction a purpose-built, single-project value chain with no intermediate onshore processing. Integration with the domestic midstream (pipelines, gas-fired power, industrial gas) is materially weaker: the 400 km domestic </w:t>
      </w:r>
      <w:r w:rsidRPr="003E7D75">
        <w:rPr>
          <w:rFonts w:eastAsia="Calibri"/>
          <w:sz w:val="24"/>
          <w:szCs w:val="24"/>
        </w:rPr>
        <w:lastRenderedPageBreak/>
        <w:t xml:space="preserve">network remains a planning-stage asset, and </w:t>
      </w:r>
      <w:proofErr w:type="spellStart"/>
      <w:r w:rsidRPr="003E7D75">
        <w:rPr>
          <w:rFonts w:eastAsia="Calibri"/>
          <w:sz w:val="24"/>
          <w:szCs w:val="24"/>
        </w:rPr>
        <w:t>Yakaar</w:t>
      </w:r>
      <w:proofErr w:type="spellEnd"/>
      <w:r w:rsidRPr="003E7D75">
        <w:rPr>
          <w:rFonts w:eastAsia="Calibri"/>
          <w:sz w:val="24"/>
          <w:szCs w:val="24"/>
        </w:rPr>
        <w:t>-Teranga's own value chain (upstream to domestic power/industrial use) is not yet designed in financeable detail. This asymmetry a world-class export value chain paired with an immature domestic value chain is the central integration risk for Senegal's gas sector over the next five years.</w:t>
      </w:r>
    </w:p>
    <w:p w14:paraId="6E50944F" w14:textId="77777777" w:rsidR="003E7D75" w:rsidRPr="003E7D75" w:rsidRDefault="003E7D75" w:rsidP="003E7D75">
      <w:pPr>
        <w:spacing w:line="360" w:lineRule="auto"/>
        <w:jc w:val="both"/>
        <w:rPr>
          <w:sz w:val="24"/>
          <w:szCs w:val="24"/>
        </w:rPr>
      </w:pPr>
    </w:p>
    <w:p w14:paraId="3E67E1D4" w14:textId="77777777" w:rsidR="009B7D1C" w:rsidRPr="003E7D75" w:rsidRDefault="00000000" w:rsidP="003E7D75">
      <w:pPr>
        <w:spacing w:line="360" w:lineRule="auto"/>
        <w:jc w:val="both"/>
        <w:rPr>
          <w:b/>
          <w:bCs/>
          <w:sz w:val="24"/>
          <w:szCs w:val="24"/>
        </w:rPr>
      </w:pPr>
      <w:r w:rsidRPr="003E7D75">
        <w:rPr>
          <w:rFonts w:eastAsia="Calibri"/>
          <w:b/>
          <w:bCs/>
          <w:sz w:val="24"/>
          <w:szCs w:val="24"/>
        </w:rPr>
        <w:t>5. Market Outlook and Export Competitiveness</w:t>
      </w:r>
    </w:p>
    <w:p w14:paraId="324F472D" w14:textId="77777777" w:rsidR="009B7D1C" w:rsidRPr="003E7D75" w:rsidRDefault="00000000" w:rsidP="003E7D75">
      <w:pPr>
        <w:spacing w:line="360" w:lineRule="auto"/>
        <w:jc w:val="both"/>
        <w:rPr>
          <w:b/>
          <w:bCs/>
          <w:sz w:val="24"/>
          <w:szCs w:val="24"/>
        </w:rPr>
      </w:pPr>
      <w:r w:rsidRPr="003E7D75">
        <w:rPr>
          <w:rFonts w:eastAsia="Calibri"/>
          <w:b/>
          <w:bCs/>
          <w:sz w:val="24"/>
          <w:szCs w:val="24"/>
        </w:rPr>
        <w:t>5.1 Position within African and Global LNG Markets</w:t>
      </w:r>
    </w:p>
    <w:p w14:paraId="266A55ED" w14:textId="77777777" w:rsidR="009B7D1C" w:rsidRDefault="00000000" w:rsidP="003E7D75">
      <w:pPr>
        <w:spacing w:line="360" w:lineRule="auto"/>
        <w:jc w:val="both"/>
        <w:rPr>
          <w:rFonts w:eastAsia="Calibri"/>
          <w:sz w:val="24"/>
          <w:szCs w:val="24"/>
        </w:rPr>
      </w:pPr>
      <w:r w:rsidRPr="003E7D75">
        <w:rPr>
          <w:rFonts w:eastAsia="Calibri"/>
          <w:sz w:val="24"/>
          <w:szCs w:val="24"/>
        </w:rPr>
        <w:t xml:space="preserve">At 2.7 </w:t>
      </w:r>
      <w:proofErr w:type="spellStart"/>
      <w:r w:rsidRPr="003E7D75">
        <w:rPr>
          <w:rFonts w:eastAsia="Calibri"/>
          <w:sz w:val="24"/>
          <w:szCs w:val="24"/>
        </w:rPr>
        <w:t>mtpa</w:t>
      </w:r>
      <w:proofErr w:type="spellEnd"/>
      <w:r w:rsidRPr="003E7D75">
        <w:rPr>
          <w:rFonts w:eastAsia="Calibri"/>
          <w:sz w:val="24"/>
          <w:szCs w:val="24"/>
        </w:rPr>
        <w:t>, Senegal (via GTA) is a small-to-mid-scale LNG producer globally, but it is now one of only a handful of African nations exporting LNG, alongside Nigeria and Algeria, with Mozambique still working through delayed capacity additions. Senegal's proximity to Europe gives it a shipping-time advantage into Atlantic Basin markets relative to Qatari or Asia-Pacific-oriented cargoes.</w:t>
      </w:r>
    </w:p>
    <w:p w14:paraId="48789953" w14:textId="77777777" w:rsidR="003E7D75" w:rsidRPr="003E7D75" w:rsidRDefault="003E7D75" w:rsidP="003E7D75">
      <w:pPr>
        <w:spacing w:line="360" w:lineRule="auto"/>
        <w:jc w:val="both"/>
        <w:rPr>
          <w:sz w:val="24"/>
          <w:szCs w:val="24"/>
        </w:rPr>
      </w:pPr>
    </w:p>
    <w:p w14:paraId="586F3100" w14:textId="77777777" w:rsidR="009B7D1C" w:rsidRPr="003E7D75" w:rsidRDefault="00000000" w:rsidP="003E7D75">
      <w:pPr>
        <w:spacing w:line="360" w:lineRule="auto"/>
        <w:jc w:val="both"/>
        <w:rPr>
          <w:b/>
          <w:bCs/>
          <w:sz w:val="24"/>
          <w:szCs w:val="24"/>
        </w:rPr>
      </w:pPr>
      <w:r w:rsidRPr="003E7D75">
        <w:rPr>
          <w:rFonts w:eastAsia="Calibri"/>
          <w:b/>
          <w:bCs/>
          <w:sz w:val="24"/>
          <w:szCs w:val="24"/>
        </w:rPr>
        <w:t>5.2 Target Export Destinations and Demand Outlook</w:t>
      </w:r>
    </w:p>
    <w:p w14:paraId="3CB7A6EA" w14:textId="77777777" w:rsidR="009B7D1C" w:rsidRPr="003E7D75" w:rsidRDefault="00000000" w:rsidP="003E7D75">
      <w:pPr>
        <w:pStyle w:val="ListParagraph"/>
        <w:numPr>
          <w:ilvl w:val="0"/>
          <w:numId w:val="8"/>
        </w:numPr>
        <w:spacing w:line="360" w:lineRule="auto"/>
        <w:jc w:val="both"/>
        <w:rPr>
          <w:sz w:val="24"/>
          <w:szCs w:val="24"/>
        </w:rPr>
      </w:pPr>
      <w:r w:rsidRPr="003E7D75">
        <w:rPr>
          <w:rFonts w:eastAsia="Calibri"/>
          <w:sz w:val="24"/>
          <w:szCs w:val="24"/>
        </w:rPr>
        <w:t>Europe: the primary near-term destination given geographic proximity and continued European appetite for diversified, non-Russian pipeline-independent gas supply.</w:t>
      </w:r>
    </w:p>
    <w:p w14:paraId="6C8B37A5" w14:textId="77777777" w:rsidR="009B7D1C" w:rsidRPr="003E7D75" w:rsidRDefault="00000000" w:rsidP="003E7D75">
      <w:pPr>
        <w:pStyle w:val="ListParagraph"/>
        <w:numPr>
          <w:ilvl w:val="0"/>
          <w:numId w:val="8"/>
        </w:numPr>
        <w:spacing w:line="360" w:lineRule="auto"/>
        <w:jc w:val="both"/>
        <w:rPr>
          <w:sz w:val="24"/>
          <w:szCs w:val="24"/>
        </w:rPr>
      </w:pPr>
      <w:r w:rsidRPr="003E7D75">
        <w:rPr>
          <w:rFonts w:eastAsia="Calibri"/>
          <w:sz w:val="24"/>
          <w:szCs w:val="24"/>
        </w:rPr>
        <w:t>Latin America: a secondary Atlantic Basin market with growing seasonal LNG import demand.</w:t>
      </w:r>
    </w:p>
    <w:p w14:paraId="33E2B093" w14:textId="10E0629E" w:rsidR="009B7D1C" w:rsidRPr="003E7D75" w:rsidRDefault="00000000" w:rsidP="003E7D75">
      <w:pPr>
        <w:pStyle w:val="ListParagraph"/>
        <w:numPr>
          <w:ilvl w:val="0"/>
          <w:numId w:val="8"/>
        </w:numPr>
        <w:spacing w:line="360" w:lineRule="auto"/>
        <w:jc w:val="both"/>
        <w:rPr>
          <w:rFonts w:eastAsia="Calibri"/>
          <w:sz w:val="24"/>
          <w:szCs w:val="24"/>
        </w:rPr>
      </w:pPr>
      <w:r w:rsidRPr="003E7D75">
        <w:rPr>
          <w:rFonts w:eastAsia="Calibri"/>
          <w:sz w:val="24"/>
          <w:szCs w:val="24"/>
        </w:rPr>
        <w:t xml:space="preserve">Asia: a longer-haul market for Senegalese cargoes; realistically accessed only via portfolio players (e.g., BP Gas Marketing) reselling volumes into Asian demand when Atlantic Basin pricing is </w:t>
      </w:r>
      <w:r w:rsidR="003E7D75" w:rsidRPr="003E7D75">
        <w:rPr>
          <w:rFonts w:eastAsia="Calibri"/>
          <w:sz w:val="24"/>
          <w:szCs w:val="24"/>
        </w:rPr>
        <w:t>unfavorable</w:t>
      </w:r>
      <w:r w:rsidRPr="003E7D75">
        <w:rPr>
          <w:rFonts w:eastAsia="Calibri"/>
          <w:sz w:val="24"/>
          <w:szCs w:val="24"/>
        </w:rPr>
        <w:t>, rather than direct long-term Senegal-Asia contracts at current scale.</w:t>
      </w:r>
    </w:p>
    <w:p w14:paraId="49FD5208" w14:textId="77777777" w:rsidR="003E7D75" w:rsidRPr="003E7D75" w:rsidRDefault="003E7D75" w:rsidP="003E7D75">
      <w:pPr>
        <w:spacing w:line="360" w:lineRule="auto"/>
        <w:jc w:val="both"/>
        <w:rPr>
          <w:sz w:val="24"/>
          <w:szCs w:val="24"/>
        </w:rPr>
      </w:pPr>
    </w:p>
    <w:p w14:paraId="1A9CC628" w14:textId="77777777" w:rsidR="009B7D1C" w:rsidRPr="003E7D75" w:rsidRDefault="00000000" w:rsidP="003E7D75">
      <w:pPr>
        <w:spacing w:line="360" w:lineRule="auto"/>
        <w:jc w:val="both"/>
        <w:rPr>
          <w:b/>
          <w:bCs/>
          <w:sz w:val="24"/>
          <w:szCs w:val="24"/>
        </w:rPr>
      </w:pPr>
      <w:r w:rsidRPr="003E7D75">
        <w:rPr>
          <w:rFonts w:eastAsia="Calibri"/>
          <w:b/>
          <w:bCs/>
          <w:sz w:val="24"/>
          <w:szCs w:val="24"/>
        </w:rPr>
        <w:t>5.3 Competitive Landscape</w:t>
      </w:r>
    </w:p>
    <w:tbl>
      <w:tblPr>
        <w:tblStyle w:val="TableGrid"/>
        <w:tblW w:w="9535" w:type="dxa"/>
        <w:tblLook w:val="0000" w:firstRow="0" w:lastRow="0" w:firstColumn="0" w:lastColumn="0" w:noHBand="0" w:noVBand="0"/>
      </w:tblPr>
      <w:tblGrid>
        <w:gridCol w:w="1885"/>
        <w:gridCol w:w="7650"/>
      </w:tblGrid>
      <w:tr w:rsidR="009B7D1C" w:rsidRPr="003E7D75" w14:paraId="54B163CD" w14:textId="77777777" w:rsidTr="003E7D75">
        <w:tc>
          <w:tcPr>
            <w:tcW w:w="1885" w:type="dxa"/>
          </w:tcPr>
          <w:p w14:paraId="0B6A9C57" w14:textId="77777777" w:rsidR="009B7D1C" w:rsidRPr="003E7D75" w:rsidRDefault="00000000" w:rsidP="003E7D75">
            <w:pPr>
              <w:spacing w:line="360" w:lineRule="auto"/>
              <w:jc w:val="both"/>
              <w:rPr>
                <w:sz w:val="24"/>
                <w:szCs w:val="24"/>
              </w:rPr>
            </w:pPr>
            <w:r w:rsidRPr="003E7D75">
              <w:rPr>
                <w:rFonts w:eastAsia="Calibri"/>
                <w:sz w:val="24"/>
                <w:szCs w:val="24"/>
              </w:rPr>
              <w:t>Competitor</w:t>
            </w:r>
          </w:p>
        </w:tc>
        <w:tc>
          <w:tcPr>
            <w:tcW w:w="7650" w:type="dxa"/>
          </w:tcPr>
          <w:p w14:paraId="13FC64BD" w14:textId="77777777" w:rsidR="009B7D1C" w:rsidRPr="003E7D75" w:rsidRDefault="00000000" w:rsidP="003E7D75">
            <w:pPr>
              <w:spacing w:line="360" w:lineRule="auto"/>
              <w:jc w:val="both"/>
              <w:rPr>
                <w:sz w:val="24"/>
                <w:szCs w:val="24"/>
              </w:rPr>
            </w:pPr>
            <w:r w:rsidRPr="003E7D75">
              <w:rPr>
                <w:rFonts w:eastAsia="Calibri"/>
                <w:sz w:val="24"/>
                <w:szCs w:val="24"/>
              </w:rPr>
              <w:t>Relative Position vs. Senegal</w:t>
            </w:r>
          </w:p>
        </w:tc>
      </w:tr>
      <w:tr w:rsidR="009B7D1C" w:rsidRPr="003E7D75" w14:paraId="245CC071" w14:textId="77777777" w:rsidTr="003E7D75">
        <w:tc>
          <w:tcPr>
            <w:tcW w:w="1885" w:type="dxa"/>
          </w:tcPr>
          <w:p w14:paraId="344E91B4" w14:textId="77777777" w:rsidR="009B7D1C" w:rsidRPr="003E7D75" w:rsidRDefault="00000000" w:rsidP="003E7D75">
            <w:pPr>
              <w:spacing w:line="360" w:lineRule="auto"/>
              <w:jc w:val="both"/>
              <w:rPr>
                <w:sz w:val="24"/>
                <w:szCs w:val="24"/>
              </w:rPr>
            </w:pPr>
            <w:r w:rsidRPr="003E7D75">
              <w:rPr>
                <w:rFonts w:eastAsia="Calibri"/>
                <w:sz w:val="24"/>
                <w:szCs w:val="24"/>
              </w:rPr>
              <w:t>Nigeria</w:t>
            </w:r>
          </w:p>
        </w:tc>
        <w:tc>
          <w:tcPr>
            <w:tcW w:w="7650" w:type="dxa"/>
          </w:tcPr>
          <w:p w14:paraId="45388540" w14:textId="77777777" w:rsidR="009B7D1C" w:rsidRPr="003E7D75" w:rsidRDefault="00000000" w:rsidP="003E7D75">
            <w:pPr>
              <w:spacing w:line="360" w:lineRule="auto"/>
              <w:jc w:val="both"/>
              <w:rPr>
                <w:sz w:val="24"/>
                <w:szCs w:val="24"/>
              </w:rPr>
            </w:pPr>
            <w:r w:rsidRPr="003E7D75">
              <w:rPr>
                <w:rFonts w:eastAsia="Calibri"/>
                <w:sz w:val="24"/>
                <w:szCs w:val="24"/>
              </w:rPr>
              <w:t>Established, much larger LNG exporter (NLNG); Senegal's newer assets carry lower legacy/maintenance risk but a fraction of Nigeria's scale</w:t>
            </w:r>
          </w:p>
        </w:tc>
      </w:tr>
      <w:tr w:rsidR="009B7D1C" w:rsidRPr="003E7D75" w14:paraId="48051997" w14:textId="77777777" w:rsidTr="003E7D75">
        <w:tc>
          <w:tcPr>
            <w:tcW w:w="1885" w:type="dxa"/>
          </w:tcPr>
          <w:p w14:paraId="154F80E0" w14:textId="77777777" w:rsidR="009B7D1C" w:rsidRPr="003E7D75" w:rsidRDefault="00000000" w:rsidP="003E7D75">
            <w:pPr>
              <w:spacing w:line="360" w:lineRule="auto"/>
              <w:jc w:val="both"/>
              <w:rPr>
                <w:sz w:val="24"/>
                <w:szCs w:val="24"/>
              </w:rPr>
            </w:pPr>
            <w:r w:rsidRPr="003E7D75">
              <w:rPr>
                <w:rFonts w:eastAsia="Calibri"/>
                <w:sz w:val="24"/>
                <w:szCs w:val="24"/>
              </w:rPr>
              <w:t>Algeria</w:t>
            </w:r>
          </w:p>
        </w:tc>
        <w:tc>
          <w:tcPr>
            <w:tcW w:w="7650" w:type="dxa"/>
          </w:tcPr>
          <w:p w14:paraId="260FD257" w14:textId="77777777" w:rsidR="009B7D1C" w:rsidRPr="003E7D75" w:rsidRDefault="00000000" w:rsidP="003E7D75">
            <w:pPr>
              <w:spacing w:line="360" w:lineRule="auto"/>
              <w:jc w:val="both"/>
              <w:rPr>
                <w:sz w:val="24"/>
                <w:szCs w:val="24"/>
              </w:rPr>
            </w:pPr>
            <w:r w:rsidRPr="003E7D75">
              <w:rPr>
                <w:rFonts w:eastAsia="Calibri"/>
                <w:sz w:val="24"/>
                <w:szCs w:val="24"/>
              </w:rPr>
              <w:t>Established pipeline and LNG exporter into Europe; shorter-haul advantage into Southern Europe than Senegal, but limited near-term capacity growth</w:t>
            </w:r>
          </w:p>
        </w:tc>
      </w:tr>
      <w:tr w:rsidR="009B7D1C" w:rsidRPr="003E7D75" w14:paraId="2CBF2918" w14:textId="77777777" w:rsidTr="003E7D75">
        <w:tc>
          <w:tcPr>
            <w:tcW w:w="1885" w:type="dxa"/>
          </w:tcPr>
          <w:p w14:paraId="06B3825C" w14:textId="77777777" w:rsidR="009B7D1C" w:rsidRPr="003E7D75" w:rsidRDefault="00000000" w:rsidP="003E7D75">
            <w:pPr>
              <w:spacing w:line="360" w:lineRule="auto"/>
              <w:jc w:val="both"/>
              <w:rPr>
                <w:sz w:val="24"/>
                <w:szCs w:val="24"/>
              </w:rPr>
            </w:pPr>
            <w:r w:rsidRPr="003E7D75">
              <w:rPr>
                <w:rFonts w:eastAsia="Calibri"/>
                <w:sz w:val="24"/>
                <w:szCs w:val="24"/>
              </w:rPr>
              <w:t>Mozambique</w:t>
            </w:r>
          </w:p>
        </w:tc>
        <w:tc>
          <w:tcPr>
            <w:tcW w:w="7650" w:type="dxa"/>
          </w:tcPr>
          <w:p w14:paraId="2F9CC85B" w14:textId="77777777" w:rsidR="009B7D1C" w:rsidRPr="003E7D75" w:rsidRDefault="00000000" w:rsidP="003E7D75">
            <w:pPr>
              <w:spacing w:line="360" w:lineRule="auto"/>
              <w:jc w:val="both"/>
              <w:rPr>
                <w:sz w:val="24"/>
                <w:szCs w:val="24"/>
              </w:rPr>
            </w:pPr>
            <w:r w:rsidRPr="003E7D75">
              <w:rPr>
                <w:rFonts w:eastAsia="Calibri"/>
                <w:sz w:val="24"/>
                <w:szCs w:val="24"/>
              </w:rPr>
              <w:t>Larger prospective resource base; continued project delays give Senegal's already-operating GTA a relative execution-risk advantage</w:t>
            </w:r>
          </w:p>
        </w:tc>
      </w:tr>
      <w:tr w:rsidR="009B7D1C" w:rsidRPr="003E7D75" w14:paraId="75002F72" w14:textId="77777777" w:rsidTr="003E7D75">
        <w:tc>
          <w:tcPr>
            <w:tcW w:w="1885" w:type="dxa"/>
          </w:tcPr>
          <w:p w14:paraId="3C9855FC" w14:textId="77777777" w:rsidR="009B7D1C" w:rsidRPr="003E7D75" w:rsidRDefault="00000000" w:rsidP="003E7D75">
            <w:pPr>
              <w:spacing w:line="360" w:lineRule="auto"/>
              <w:jc w:val="both"/>
              <w:rPr>
                <w:sz w:val="24"/>
                <w:szCs w:val="24"/>
              </w:rPr>
            </w:pPr>
            <w:r w:rsidRPr="003E7D75">
              <w:rPr>
                <w:rFonts w:eastAsia="Calibri"/>
                <w:sz w:val="24"/>
                <w:szCs w:val="24"/>
              </w:rPr>
              <w:lastRenderedPageBreak/>
              <w:t>Qatar</w:t>
            </w:r>
          </w:p>
        </w:tc>
        <w:tc>
          <w:tcPr>
            <w:tcW w:w="7650" w:type="dxa"/>
          </w:tcPr>
          <w:p w14:paraId="3B277D56" w14:textId="77777777" w:rsidR="009B7D1C" w:rsidRPr="003E7D75" w:rsidRDefault="00000000" w:rsidP="003E7D75">
            <w:pPr>
              <w:spacing w:line="360" w:lineRule="auto"/>
              <w:jc w:val="both"/>
              <w:rPr>
                <w:sz w:val="24"/>
                <w:szCs w:val="24"/>
              </w:rPr>
            </w:pPr>
            <w:r w:rsidRPr="003E7D75">
              <w:rPr>
                <w:rFonts w:eastAsia="Calibri"/>
                <w:sz w:val="24"/>
                <w:szCs w:val="24"/>
              </w:rPr>
              <w:t>Vastly larger, lowest-cost global supply; sets the global price ceiling rather than competing directly at Senegal's scale</w:t>
            </w:r>
          </w:p>
        </w:tc>
      </w:tr>
      <w:tr w:rsidR="009B7D1C" w:rsidRPr="003E7D75" w14:paraId="38836B3A" w14:textId="77777777" w:rsidTr="003E7D75">
        <w:tc>
          <w:tcPr>
            <w:tcW w:w="1885" w:type="dxa"/>
          </w:tcPr>
          <w:p w14:paraId="23291523" w14:textId="77777777" w:rsidR="009B7D1C" w:rsidRPr="003E7D75" w:rsidRDefault="00000000" w:rsidP="003E7D75">
            <w:pPr>
              <w:spacing w:line="360" w:lineRule="auto"/>
              <w:jc w:val="both"/>
              <w:rPr>
                <w:sz w:val="24"/>
                <w:szCs w:val="24"/>
              </w:rPr>
            </w:pPr>
            <w:r w:rsidRPr="003E7D75">
              <w:rPr>
                <w:rFonts w:eastAsia="Calibri"/>
                <w:sz w:val="24"/>
                <w:szCs w:val="24"/>
              </w:rPr>
              <w:t>United States</w:t>
            </w:r>
          </w:p>
        </w:tc>
        <w:tc>
          <w:tcPr>
            <w:tcW w:w="7650" w:type="dxa"/>
          </w:tcPr>
          <w:p w14:paraId="7A1CA8C4" w14:textId="77777777" w:rsidR="009B7D1C" w:rsidRPr="003E7D75" w:rsidRDefault="00000000" w:rsidP="003E7D75">
            <w:pPr>
              <w:spacing w:line="360" w:lineRule="auto"/>
              <w:jc w:val="both"/>
              <w:rPr>
                <w:sz w:val="24"/>
                <w:szCs w:val="24"/>
              </w:rPr>
            </w:pPr>
            <w:r w:rsidRPr="003E7D75">
              <w:rPr>
                <w:rFonts w:eastAsia="Calibri"/>
                <w:sz w:val="24"/>
                <w:szCs w:val="24"/>
              </w:rPr>
              <w:t>Rapidly expanding, flexible-destination capacity; the most direct competitor for the same Atlantic Basin buyers Senegal targets</w:t>
            </w:r>
          </w:p>
        </w:tc>
      </w:tr>
    </w:tbl>
    <w:p w14:paraId="24B56C02" w14:textId="77777777" w:rsidR="009B7D1C" w:rsidRPr="003E7D75" w:rsidRDefault="009B7D1C" w:rsidP="003E7D75">
      <w:pPr>
        <w:spacing w:line="360" w:lineRule="auto"/>
        <w:jc w:val="both"/>
        <w:rPr>
          <w:sz w:val="24"/>
          <w:szCs w:val="24"/>
        </w:rPr>
      </w:pPr>
    </w:p>
    <w:p w14:paraId="5EFD5DB2" w14:textId="77777777" w:rsidR="009B7D1C" w:rsidRPr="00FC1B32" w:rsidRDefault="00000000" w:rsidP="003E7D75">
      <w:pPr>
        <w:spacing w:line="360" w:lineRule="auto"/>
        <w:jc w:val="both"/>
        <w:rPr>
          <w:b/>
          <w:bCs/>
          <w:sz w:val="24"/>
          <w:szCs w:val="24"/>
        </w:rPr>
      </w:pPr>
      <w:r w:rsidRPr="00FC1B32">
        <w:rPr>
          <w:rFonts w:eastAsia="Calibri"/>
          <w:b/>
          <w:bCs/>
          <w:sz w:val="24"/>
          <w:szCs w:val="24"/>
        </w:rPr>
        <w:t>5.4 Commercial Risks and Price Outlook</w:t>
      </w:r>
    </w:p>
    <w:p w14:paraId="39004EC1" w14:textId="58A67668" w:rsidR="009B7D1C" w:rsidRPr="00FC1B32" w:rsidRDefault="00000000" w:rsidP="00FC1B32">
      <w:pPr>
        <w:pStyle w:val="ListParagraph"/>
        <w:numPr>
          <w:ilvl w:val="0"/>
          <w:numId w:val="9"/>
        </w:numPr>
        <w:spacing w:line="360" w:lineRule="auto"/>
        <w:jc w:val="both"/>
        <w:rPr>
          <w:sz w:val="24"/>
          <w:szCs w:val="24"/>
        </w:rPr>
      </w:pPr>
      <w:r w:rsidRPr="00FC1B32">
        <w:rPr>
          <w:rFonts w:eastAsia="Calibri"/>
          <w:sz w:val="24"/>
          <w:szCs w:val="24"/>
        </w:rPr>
        <w:t xml:space="preserve">Price environment: Atlantic Basin LNG pricing has been supported through 2025–26 by Middle East-linked supply-security concerns, a tailwind Kosmos has cited directly in guiding to near-doubled 2026 cargo volumes a </w:t>
      </w:r>
      <w:proofErr w:type="spellStart"/>
      <w:r w:rsidRPr="00FC1B32">
        <w:rPr>
          <w:rFonts w:eastAsia="Calibri"/>
          <w:sz w:val="24"/>
          <w:szCs w:val="24"/>
        </w:rPr>
        <w:t>favourable</w:t>
      </w:r>
      <w:proofErr w:type="spellEnd"/>
      <w:r w:rsidRPr="00FC1B32">
        <w:rPr>
          <w:rFonts w:eastAsia="Calibri"/>
          <w:sz w:val="24"/>
          <w:szCs w:val="24"/>
        </w:rPr>
        <w:t xml:space="preserve"> but not guaranteed medium-term pricing backdrop.</w:t>
      </w:r>
    </w:p>
    <w:p w14:paraId="5BDA1AD4" w14:textId="77777777" w:rsidR="009B7D1C" w:rsidRPr="00FC1B32" w:rsidRDefault="00000000" w:rsidP="00FC1B32">
      <w:pPr>
        <w:pStyle w:val="ListParagraph"/>
        <w:numPr>
          <w:ilvl w:val="0"/>
          <w:numId w:val="9"/>
        </w:numPr>
        <w:spacing w:line="360" w:lineRule="auto"/>
        <w:jc w:val="both"/>
        <w:rPr>
          <w:sz w:val="24"/>
          <w:szCs w:val="24"/>
        </w:rPr>
      </w:pPr>
      <w:r w:rsidRPr="00FC1B32">
        <w:rPr>
          <w:rFonts w:eastAsia="Calibri"/>
          <w:sz w:val="24"/>
          <w:szCs w:val="24"/>
        </w:rPr>
        <w:t>Concentration risk: single-</w:t>
      </w:r>
      <w:proofErr w:type="spellStart"/>
      <w:r w:rsidRPr="00FC1B32">
        <w:rPr>
          <w:rFonts w:eastAsia="Calibri"/>
          <w:sz w:val="24"/>
          <w:szCs w:val="24"/>
        </w:rPr>
        <w:t>offtaker</w:t>
      </w:r>
      <w:proofErr w:type="spellEnd"/>
      <w:r w:rsidRPr="00FC1B32">
        <w:rPr>
          <w:rFonts w:eastAsia="Calibri"/>
          <w:sz w:val="24"/>
          <w:szCs w:val="24"/>
        </w:rPr>
        <w:t xml:space="preserve"> (BP Gas Marketing) and single-project (GTA) dependence limits Senegal's diversification and negotiating leverage until a second LNG stream is sanctioned.</w:t>
      </w:r>
    </w:p>
    <w:p w14:paraId="59441340" w14:textId="77777777" w:rsidR="009B7D1C" w:rsidRPr="00FC1B32" w:rsidRDefault="00000000" w:rsidP="00FC1B32">
      <w:pPr>
        <w:pStyle w:val="ListParagraph"/>
        <w:numPr>
          <w:ilvl w:val="0"/>
          <w:numId w:val="9"/>
        </w:numPr>
        <w:spacing w:line="360" w:lineRule="auto"/>
        <w:jc w:val="both"/>
        <w:rPr>
          <w:rFonts w:eastAsia="Calibri"/>
          <w:sz w:val="24"/>
          <w:szCs w:val="24"/>
        </w:rPr>
      </w:pPr>
      <w:r w:rsidRPr="00FC1B32">
        <w:rPr>
          <w:rFonts w:eastAsia="Calibri"/>
          <w:sz w:val="24"/>
          <w:szCs w:val="24"/>
        </w:rPr>
        <w:t xml:space="preserve">Policy risk: the </w:t>
      </w:r>
      <w:proofErr w:type="spellStart"/>
      <w:r w:rsidRPr="00FC1B32">
        <w:rPr>
          <w:rFonts w:eastAsia="Calibri"/>
          <w:sz w:val="24"/>
          <w:szCs w:val="24"/>
        </w:rPr>
        <w:t>Yakaar</w:t>
      </w:r>
      <w:proofErr w:type="spellEnd"/>
      <w:r w:rsidRPr="00FC1B32">
        <w:rPr>
          <w:rFonts w:eastAsia="Calibri"/>
          <w:sz w:val="24"/>
          <w:szCs w:val="24"/>
        </w:rPr>
        <w:t>-Teranga transition signals that future export-oriented capital must be structured around domestic-priority terms, a factor international buyers and financiers will price into any new Senegalese LNG project.</w:t>
      </w:r>
    </w:p>
    <w:p w14:paraId="3A3056FD" w14:textId="77777777" w:rsidR="00FC1B32" w:rsidRPr="003E7D75" w:rsidRDefault="00FC1B32" w:rsidP="003E7D75">
      <w:pPr>
        <w:spacing w:line="360" w:lineRule="auto"/>
        <w:jc w:val="both"/>
        <w:rPr>
          <w:sz w:val="24"/>
          <w:szCs w:val="24"/>
        </w:rPr>
      </w:pPr>
    </w:p>
    <w:p w14:paraId="23A36F18" w14:textId="77777777" w:rsidR="009B7D1C" w:rsidRPr="00FC1B32" w:rsidRDefault="00000000" w:rsidP="003E7D75">
      <w:pPr>
        <w:spacing w:line="360" w:lineRule="auto"/>
        <w:jc w:val="both"/>
        <w:rPr>
          <w:b/>
          <w:bCs/>
          <w:sz w:val="24"/>
          <w:szCs w:val="24"/>
        </w:rPr>
      </w:pPr>
      <w:r w:rsidRPr="00FC1B32">
        <w:rPr>
          <w:rFonts w:eastAsia="Calibri"/>
          <w:b/>
          <w:bCs/>
          <w:sz w:val="24"/>
          <w:szCs w:val="24"/>
        </w:rPr>
        <w:t>5.5 Export Prospects Through 2040</w:t>
      </w:r>
    </w:p>
    <w:p w14:paraId="4FE9B453" w14:textId="58B40AF7" w:rsidR="009B7D1C" w:rsidRPr="003E7D75" w:rsidRDefault="00000000" w:rsidP="003E7D75">
      <w:pPr>
        <w:spacing w:line="360" w:lineRule="auto"/>
        <w:jc w:val="both"/>
        <w:rPr>
          <w:sz w:val="24"/>
          <w:szCs w:val="24"/>
        </w:rPr>
      </w:pPr>
      <w:r w:rsidRPr="003E7D75">
        <w:rPr>
          <w:rFonts w:eastAsia="Calibri"/>
          <w:sz w:val="24"/>
          <w:szCs w:val="24"/>
        </w:rPr>
        <w:t xml:space="preserve">Through 2028, expect continued GTA ramp-up toward and potentially beyond nameplate via debottlenecking, with export volumes the primary driver of Senegal's near-term hydrocarbon revenue. The 2030s outlook bifurcates on </w:t>
      </w:r>
      <w:proofErr w:type="spellStart"/>
      <w:r w:rsidRPr="003E7D75">
        <w:rPr>
          <w:rFonts w:eastAsia="Calibri"/>
          <w:sz w:val="24"/>
          <w:szCs w:val="24"/>
        </w:rPr>
        <w:t>Yakaar</w:t>
      </w:r>
      <w:proofErr w:type="spellEnd"/>
      <w:r w:rsidRPr="003E7D75">
        <w:rPr>
          <w:rFonts w:eastAsia="Calibri"/>
          <w:sz w:val="24"/>
          <w:szCs w:val="24"/>
        </w:rPr>
        <w:t xml:space="preserve">-Teranga: an upside case in which PETROSEN secures a technical/financial partner and a portion of the field's output is directed to a second LNG stream would meaningfully expand Senegal's export scale and market diversification; a downside </w:t>
      </w:r>
      <w:r w:rsidR="00FC1B32" w:rsidRPr="003E7D75">
        <w:rPr>
          <w:rFonts w:eastAsia="Calibri"/>
          <w:sz w:val="24"/>
          <w:szCs w:val="24"/>
        </w:rPr>
        <w:t>case mirroring</w:t>
      </w:r>
      <w:r w:rsidRPr="003E7D75">
        <w:rPr>
          <w:rFonts w:eastAsia="Calibri"/>
          <w:sz w:val="24"/>
          <w:szCs w:val="24"/>
        </w:rPr>
        <w:t xml:space="preserve"> Mauritania's </w:t>
      </w:r>
      <w:proofErr w:type="spellStart"/>
      <w:r w:rsidRPr="003E7D75">
        <w:rPr>
          <w:rFonts w:eastAsia="Calibri"/>
          <w:sz w:val="24"/>
          <w:szCs w:val="24"/>
        </w:rPr>
        <w:t>BirAllah</w:t>
      </w:r>
      <w:proofErr w:type="spellEnd"/>
      <w:r w:rsidRPr="003E7D75">
        <w:rPr>
          <w:rFonts w:eastAsia="Calibri"/>
          <w:sz w:val="24"/>
          <w:szCs w:val="24"/>
        </w:rPr>
        <w:t xml:space="preserve"> partner-sourcing difficulties would leave Senegal dependent on GTA (with only incremental Phase 2 upside) as its sole export asset through much of the 2030s.</w:t>
      </w:r>
    </w:p>
    <w:p w14:paraId="60A4F4D6" w14:textId="77777777" w:rsidR="00FC1B32" w:rsidRDefault="00FC1B32" w:rsidP="003E7D75">
      <w:pPr>
        <w:spacing w:line="360" w:lineRule="auto"/>
        <w:jc w:val="both"/>
        <w:rPr>
          <w:rFonts w:eastAsia="Calibri"/>
          <w:sz w:val="24"/>
          <w:szCs w:val="24"/>
        </w:rPr>
      </w:pPr>
    </w:p>
    <w:p w14:paraId="53B7AE5D" w14:textId="14281471" w:rsidR="009B7D1C" w:rsidRPr="00FC1B32" w:rsidRDefault="00000000" w:rsidP="003E7D75">
      <w:pPr>
        <w:spacing w:line="360" w:lineRule="auto"/>
        <w:jc w:val="both"/>
        <w:rPr>
          <w:b/>
          <w:bCs/>
          <w:sz w:val="24"/>
          <w:szCs w:val="24"/>
        </w:rPr>
      </w:pPr>
      <w:r w:rsidRPr="00FC1B32">
        <w:rPr>
          <w:rFonts w:eastAsia="Calibri"/>
          <w:b/>
          <w:bCs/>
          <w:sz w:val="24"/>
          <w:szCs w:val="24"/>
        </w:rPr>
        <w:t>6. Strategic Intelligence Assessment</w:t>
      </w:r>
    </w:p>
    <w:p w14:paraId="48A91A4C" w14:textId="77777777" w:rsidR="009B7D1C" w:rsidRPr="00FC1B32" w:rsidRDefault="00000000" w:rsidP="003E7D75">
      <w:pPr>
        <w:spacing w:line="360" w:lineRule="auto"/>
        <w:jc w:val="both"/>
        <w:rPr>
          <w:b/>
          <w:bCs/>
          <w:sz w:val="24"/>
          <w:szCs w:val="24"/>
        </w:rPr>
      </w:pPr>
      <w:r w:rsidRPr="00FC1B32">
        <w:rPr>
          <w:rFonts w:eastAsia="Calibri"/>
          <w:b/>
          <w:bCs/>
          <w:sz w:val="24"/>
          <w:szCs w:val="24"/>
        </w:rPr>
        <w:t>6.1 Investment Attractiveness</w:t>
      </w:r>
    </w:p>
    <w:p w14:paraId="1A62C0C2" w14:textId="77777777" w:rsidR="009B7D1C" w:rsidRDefault="00000000" w:rsidP="003E7D75">
      <w:pPr>
        <w:spacing w:line="360" w:lineRule="auto"/>
        <w:jc w:val="both"/>
        <w:rPr>
          <w:rFonts w:eastAsia="Calibri"/>
          <w:sz w:val="24"/>
          <w:szCs w:val="24"/>
        </w:rPr>
      </w:pPr>
      <w:r w:rsidRPr="003E7D75">
        <w:rPr>
          <w:rFonts w:eastAsia="Calibri"/>
          <w:sz w:val="24"/>
          <w:szCs w:val="24"/>
        </w:rPr>
        <w:t>Senegal offers a credible, rules-based fiscal and legal framework (2019 Petroleum Code, standard PSC terms, no tax holidays, capped and transparent PETROSEN carry) and one demonstrably bankable reference project (GTA/</w:t>
      </w:r>
      <w:proofErr w:type="spellStart"/>
      <w:r w:rsidRPr="003E7D75">
        <w:rPr>
          <w:rFonts w:eastAsia="Calibri"/>
          <w:sz w:val="24"/>
          <w:szCs w:val="24"/>
        </w:rPr>
        <w:t>Gimi</w:t>
      </w:r>
      <w:proofErr w:type="spellEnd"/>
      <w:r w:rsidRPr="003E7D75">
        <w:rPr>
          <w:rFonts w:eastAsia="Calibri"/>
          <w:sz w:val="24"/>
          <w:szCs w:val="24"/>
        </w:rPr>
        <w:t xml:space="preserve">). This combination is attractive relative to peers with less </w:t>
      </w:r>
      <w:r w:rsidRPr="003E7D75">
        <w:rPr>
          <w:rFonts w:eastAsia="Calibri"/>
          <w:sz w:val="24"/>
          <w:szCs w:val="24"/>
        </w:rPr>
        <w:lastRenderedPageBreak/>
        <w:t xml:space="preserve">predictable fiscal regimes. It is offset by a demonstrated willingness to accept the exit of major IOC partners (BP, Kosmos) rather than compromise on domestic-allocation policy at </w:t>
      </w:r>
      <w:proofErr w:type="spellStart"/>
      <w:r w:rsidRPr="003E7D75">
        <w:rPr>
          <w:rFonts w:eastAsia="Calibri"/>
          <w:sz w:val="24"/>
          <w:szCs w:val="24"/>
        </w:rPr>
        <w:t>Yakaar</w:t>
      </w:r>
      <w:proofErr w:type="spellEnd"/>
      <w:r w:rsidRPr="003E7D75">
        <w:rPr>
          <w:rFonts w:eastAsia="Calibri"/>
          <w:sz w:val="24"/>
          <w:szCs w:val="24"/>
        </w:rPr>
        <w:t>-Teranga — investors should read this not as expropriation risk but as a signal that future contracts will more explicitly embed domestic-offtake commitments as a condition of access to Senegal's largest remaining gas resource.</w:t>
      </w:r>
    </w:p>
    <w:p w14:paraId="6A5E6F1D" w14:textId="77777777" w:rsidR="00FC1B32" w:rsidRPr="003E7D75" w:rsidRDefault="00FC1B32" w:rsidP="003E7D75">
      <w:pPr>
        <w:spacing w:line="360" w:lineRule="auto"/>
        <w:jc w:val="both"/>
        <w:rPr>
          <w:sz w:val="24"/>
          <w:szCs w:val="24"/>
        </w:rPr>
      </w:pPr>
    </w:p>
    <w:p w14:paraId="5989A293" w14:textId="77777777" w:rsidR="009B7D1C" w:rsidRPr="00FC1B32" w:rsidRDefault="00000000" w:rsidP="003E7D75">
      <w:pPr>
        <w:spacing w:line="360" w:lineRule="auto"/>
        <w:jc w:val="both"/>
        <w:rPr>
          <w:b/>
          <w:bCs/>
          <w:sz w:val="24"/>
          <w:szCs w:val="24"/>
        </w:rPr>
      </w:pPr>
      <w:r w:rsidRPr="00FC1B32">
        <w:rPr>
          <w:rFonts w:eastAsia="Calibri"/>
          <w:b/>
          <w:bCs/>
          <w:sz w:val="24"/>
          <w:szCs w:val="24"/>
        </w:rPr>
        <w:t>6.2 Infrastructure Maturity</w:t>
      </w:r>
    </w:p>
    <w:p w14:paraId="102EC1EA" w14:textId="648D9B65" w:rsidR="009B7D1C" w:rsidRDefault="00000000" w:rsidP="003E7D75">
      <w:pPr>
        <w:spacing w:line="360" w:lineRule="auto"/>
        <w:jc w:val="both"/>
        <w:rPr>
          <w:rFonts w:eastAsia="Calibri"/>
          <w:sz w:val="24"/>
          <w:szCs w:val="24"/>
        </w:rPr>
      </w:pPr>
      <w:r w:rsidRPr="003E7D75">
        <w:rPr>
          <w:rFonts w:eastAsia="Calibri"/>
          <w:sz w:val="24"/>
          <w:szCs w:val="24"/>
        </w:rPr>
        <w:t xml:space="preserve">Upstream-to-LNG infrastructure (GTA) is mature, operating at nameplate, and independently financeable, as evidenced by Golar's successful FLNG refinancing. Midstream domestic infrastructure the 400 km pipeline network and gas-fired power plant conversions is immature and represents the binding constraint on both the domestic gas-to-power </w:t>
      </w:r>
      <w:proofErr w:type="spellStart"/>
      <w:r w:rsidRPr="003E7D75">
        <w:rPr>
          <w:rFonts w:eastAsia="Calibri"/>
          <w:sz w:val="24"/>
          <w:szCs w:val="24"/>
        </w:rPr>
        <w:t>programme</w:t>
      </w:r>
      <w:proofErr w:type="spellEnd"/>
      <w:r w:rsidRPr="003E7D75">
        <w:rPr>
          <w:rFonts w:eastAsia="Calibri"/>
          <w:sz w:val="24"/>
          <w:szCs w:val="24"/>
        </w:rPr>
        <w:t xml:space="preserve"> and any near-term </w:t>
      </w:r>
      <w:proofErr w:type="spellStart"/>
      <w:r w:rsidRPr="003E7D75">
        <w:rPr>
          <w:rFonts w:eastAsia="Calibri"/>
          <w:sz w:val="24"/>
          <w:szCs w:val="24"/>
        </w:rPr>
        <w:t>Yakaar</w:t>
      </w:r>
      <w:proofErr w:type="spellEnd"/>
      <w:r w:rsidRPr="003E7D75">
        <w:rPr>
          <w:rFonts w:eastAsia="Calibri"/>
          <w:sz w:val="24"/>
          <w:szCs w:val="24"/>
        </w:rPr>
        <w:t>-Teranga development, since a domestic-first field cannot generate value without the transport and demand-side infrastructure to absorb its output.</w:t>
      </w:r>
    </w:p>
    <w:p w14:paraId="43312576" w14:textId="77777777" w:rsidR="00FC1B32" w:rsidRPr="003E7D75" w:rsidRDefault="00FC1B32" w:rsidP="003E7D75">
      <w:pPr>
        <w:spacing w:line="360" w:lineRule="auto"/>
        <w:jc w:val="both"/>
        <w:rPr>
          <w:sz w:val="24"/>
          <w:szCs w:val="24"/>
        </w:rPr>
      </w:pPr>
    </w:p>
    <w:p w14:paraId="6CD1DFAF" w14:textId="77777777" w:rsidR="009B7D1C" w:rsidRPr="00FC1B32" w:rsidRDefault="00000000" w:rsidP="003E7D75">
      <w:pPr>
        <w:spacing w:line="360" w:lineRule="auto"/>
        <w:jc w:val="both"/>
        <w:rPr>
          <w:b/>
          <w:bCs/>
          <w:sz w:val="24"/>
          <w:szCs w:val="24"/>
        </w:rPr>
      </w:pPr>
      <w:r w:rsidRPr="00FC1B32">
        <w:rPr>
          <w:rFonts w:eastAsia="Calibri"/>
          <w:b/>
          <w:bCs/>
          <w:sz w:val="24"/>
          <w:szCs w:val="24"/>
        </w:rPr>
        <w:t>6.3 Regulatory Effectiveness</w:t>
      </w:r>
    </w:p>
    <w:p w14:paraId="4A7F26D2" w14:textId="77777777" w:rsidR="009B7D1C" w:rsidRDefault="00000000" w:rsidP="003E7D75">
      <w:pPr>
        <w:spacing w:line="360" w:lineRule="auto"/>
        <w:jc w:val="both"/>
        <w:rPr>
          <w:rFonts w:eastAsia="Calibri"/>
          <w:sz w:val="24"/>
          <w:szCs w:val="24"/>
        </w:rPr>
      </w:pPr>
      <w:r w:rsidRPr="003E7D75">
        <w:rPr>
          <w:rFonts w:eastAsia="Calibri"/>
          <w:sz w:val="24"/>
          <w:szCs w:val="24"/>
        </w:rPr>
        <w:t xml:space="preserve">The Petroleum Code framework is clear and consistently applied on fiscal terms, but the </w:t>
      </w:r>
      <w:proofErr w:type="spellStart"/>
      <w:r w:rsidRPr="003E7D75">
        <w:rPr>
          <w:rFonts w:eastAsia="Calibri"/>
          <w:sz w:val="24"/>
          <w:szCs w:val="24"/>
        </w:rPr>
        <w:t>Yakaar</w:t>
      </w:r>
      <w:proofErr w:type="spellEnd"/>
      <w:r w:rsidRPr="003E7D75">
        <w:rPr>
          <w:rFonts w:eastAsia="Calibri"/>
          <w:sz w:val="24"/>
          <w:szCs w:val="24"/>
        </w:rPr>
        <w:t xml:space="preserve">-Teranga episode shows that commercial negotiation — specifically, how domestic-allocation obligations are structured within a PSC or successor agreement — remains a significant, and only partially predictable, point of friction between the state and international operators. Government messaging (explicitly denying </w:t>
      </w:r>
      <w:proofErr w:type="spellStart"/>
      <w:r w:rsidRPr="003E7D75">
        <w:rPr>
          <w:rFonts w:eastAsia="Calibri"/>
          <w:sz w:val="24"/>
          <w:szCs w:val="24"/>
        </w:rPr>
        <w:t>nationalisation</w:t>
      </w:r>
      <w:proofErr w:type="spellEnd"/>
      <w:r w:rsidRPr="003E7D75">
        <w:rPr>
          <w:rFonts w:eastAsia="Calibri"/>
          <w:sz w:val="24"/>
          <w:szCs w:val="24"/>
        </w:rPr>
        <w:t>) suggests an intent to preserve investor confidence even while asserting greater domestic-priority control, but this has yet to be tested through a signed replacement agreement.</w:t>
      </w:r>
    </w:p>
    <w:p w14:paraId="21EC0B37" w14:textId="77777777" w:rsidR="00FC1B32" w:rsidRPr="003E7D75" w:rsidRDefault="00FC1B32" w:rsidP="003E7D75">
      <w:pPr>
        <w:spacing w:line="360" w:lineRule="auto"/>
        <w:jc w:val="both"/>
        <w:rPr>
          <w:sz w:val="24"/>
          <w:szCs w:val="24"/>
        </w:rPr>
      </w:pPr>
    </w:p>
    <w:p w14:paraId="0B013603" w14:textId="77777777" w:rsidR="009B7D1C" w:rsidRPr="00FC1B32" w:rsidRDefault="00000000" w:rsidP="003E7D75">
      <w:pPr>
        <w:spacing w:line="360" w:lineRule="auto"/>
        <w:jc w:val="both"/>
        <w:rPr>
          <w:b/>
          <w:bCs/>
          <w:sz w:val="24"/>
          <w:szCs w:val="24"/>
        </w:rPr>
      </w:pPr>
      <w:r w:rsidRPr="00FC1B32">
        <w:rPr>
          <w:rFonts w:eastAsia="Calibri"/>
          <w:b/>
          <w:bCs/>
          <w:sz w:val="24"/>
          <w:szCs w:val="24"/>
        </w:rPr>
        <w:t>6.4 Long-Term Sustainability</w:t>
      </w:r>
    </w:p>
    <w:p w14:paraId="4881BDE6" w14:textId="77777777" w:rsidR="009B7D1C" w:rsidRPr="003E7D75" w:rsidRDefault="00000000" w:rsidP="003E7D75">
      <w:pPr>
        <w:spacing w:line="360" w:lineRule="auto"/>
        <w:jc w:val="both"/>
        <w:rPr>
          <w:sz w:val="24"/>
          <w:szCs w:val="24"/>
        </w:rPr>
      </w:pPr>
      <w:r w:rsidRPr="003E7D75">
        <w:rPr>
          <w:rFonts w:eastAsia="Calibri"/>
          <w:sz w:val="24"/>
          <w:szCs w:val="24"/>
        </w:rPr>
        <w:t>Senegal's gas sector is sustainable in resource terms (ample reserves, proven export technology) but faces a capital-structure sustainability question: can PETROSEN, alone or with new partners willing to accept domestic-priority terms, finance a $7.5 billion field without the IOC-anchored model that built GTA? The answer will likely determine whether Senegal's gas economy plateaus around its current single-project export scale or expands materially into the 2030s.</w:t>
      </w:r>
    </w:p>
    <w:p w14:paraId="28BCECA2" w14:textId="77777777" w:rsidR="00FC1B32" w:rsidRDefault="00FC1B32" w:rsidP="003E7D75">
      <w:pPr>
        <w:spacing w:line="360" w:lineRule="auto"/>
        <w:jc w:val="both"/>
        <w:rPr>
          <w:rFonts w:eastAsia="Calibri"/>
          <w:sz w:val="24"/>
          <w:szCs w:val="24"/>
        </w:rPr>
      </w:pPr>
    </w:p>
    <w:p w14:paraId="052341E8" w14:textId="77777777" w:rsidR="00FC1B32" w:rsidRDefault="00FC1B32" w:rsidP="003E7D75">
      <w:pPr>
        <w:spacing w:line="360" w:lineRule="auto"/>
        <w:jc w:val="both"/>
        <w:rPr>
          <w:rFonts w:eastAsia="Calibri"/>
          <w:b/>
          <w:bCs/>
          <w:sz w:val="24"/>
          <w:szCs w:val="24"/>
        </w:rPr>
      </w:pPr>
    </w:p>
    <w:p w14:paraId="345EEBDC" w14:textId="72CEDDE3" w:rsidR="009B7D1C" w:rsidRPr="00FC1B32" w:rsidRDefault="00000000" w:rsidP="003E7D75">
      <w:pPr>
        <w:spacing w:line="360" w:lineRule="auto"/>
        <w:jc w:val="both"/>
        <w:rPr>
          <w:b/>
          <w:bCs/>
          <w:sz w:val="24"/>
          <w:szCs w:val="24"/>
        </w:rPr>
      </w:pPr>
      <w:r w:rsidRPr="00FC1B32">
        <w:rPr>
          <w:rFonts w:eastAsia="Calibri"/>
          <w:b/>
          <w:bCs/>
          <w:sz w:val="24"/>
          <w:szCs w:val="24"/>
        </w:rPr>
        <w:lastRenderedPageBreak/>
        <w:t>6.5 Strategic Recommendations</w:t>
      </w:r>
    </w:p>
    <w:p w14:paraId="388B1F74" w14:textId="77777777" w:rsidR="009B7D1C" w:rsidRPr="00FC1B32" w:rsidRDefault="00000000" w:rsidP="00FC1B32">
      <w:pPr>
        <w:spacing w:line="360" w:lineRule="auto"/>
        <w:jc w:val="both"/>
        <w:rPr>
          <w:sz w:val="24"/>
          <w:szCs w:val="24"/>
        </w:rPr>
      </w:pPr>
      <w:r w:rsidRPr="00FC1B32">
        <w:rPr>
          <w:rFonts w:eastAsia="Calibri"/>
          <w:sz w:val="24"/>
          <w:szCs w:val="24"/>
        </w:rPr>
        <w:t>For Policymakers</w:t>
      </w:r>
    </w:p>
    <w:p w14:paraId="4C427863" w14:textId="77777777" w:rsidR="009B7D1C" w:rsidRPr="00FC1B32" w:rsidRDefault="00000000" w:rsidP="00FC1B32">
      <w:pPr>
        <w:pStyle w:val="ListParagraph"/>
        <w:numPr>
          <w:ilvl w:val="0"/>
          <w:numId w:val="10"/>
        </w:numPr>
        <w:spacing w:line="360" w:lineRule="auto"/>
        <w:jc w:val="both"/>
        <w:rPr>
          <w:sz w:val="24"/>
          <w:szCs w:val="24"/>
        </w:rPr>
      </w:pPr>
      <w:r w:rsidRPr="00FC1B32">
        <w:rPr>
          <w:rFonts w:eastAsia="Calibri"/>
          <w:sz w:val="24"/>
          <w:szCs w:val="24"/>
        </w:rPr>
        <w:t xml:space="preserve">Codify domestic-offtake expectations clearly and early in any future licensing round or </w:t>
      </w:r>
      <w:proofErr w:type="spellStart"/>
      <w:r w:rsidRPr="00FC1B32">
        <w:rPr>
          <w:rFonts w:eastAsia="Calibri"/>
          <w:sz w:val="24"/>
          <w:szCs w:val="24"/>
        </w:rPr>
        <w:t>Yakaar</w:t>
      </w:r>
      <w:proofErr w:type="spellEnd"/>
      <w:r w:rsidRPr="00FC1B32">
        <w:rPr>
          <w:rFonts w:eastAsia="Calibri"/>
          <w:sz w:val="24"/>
          <w:szCs w:val="24"/>
        </w:rPr>
        <w:t>-Teranga partner solicitation, rather than negotiating them contract-by-contract after IOC entry — this would reduce the recurring exit pattern seen with BP and Kosmos.</w:t>
      </w:r>
    </w:p>
    <w:p w14:paraId="2D11403D" w14:textId="77777777" w:rsidR="009B7D1C" w:rsidRPr="00FC1B32" w:rsidRDefault="00000000" w:rsidP="00FC1B32">
      <w:pPr>
        <w:pStyle w:val="ListParagraph"/>
        <w:numPr>
          <w:ilvl w:val="0"/>
          <w:numId w:val="10"/>
        </w:numPr>
        <w:spacing w:line="360" w:lineRule="auto"/>
        <w:jc w:val="both"/>
        <w:rPr>
          <w:sz w:val="24"/>
          <w:szCs w:val="24"/>
        </w:rPr>
      </w:pPr>
      <w:proofErr w:type="spellStart"/>
      <w:r w:rsidRPr="00FC1B32">
        <w:rPr>
          <w:rFonts w:eastAsia="Calibri"/>
          <w:sz w:val="24"/>
          <w:szCs w:val="24"/>
        </w:rPr>
        <w:t>Prioritise</w:t>
      </w:r>
      <w:proofErr w:type="spellEnd"/>
      <w:r w:rsidRPr="00FC1B32">
        <w:rPr>
          <w:rFonts w:eastAsia="Calibri"/>
          <w:sz w:val="24"/>
          <w:szCs w:val="24"/>
        </w:rPr>
        <w:t xml:space="preserve"> de-risking the domestic midstream buildout (400 km pipeline, plant conversions) using blended finance (FONSIS, DFIs) ahead of or alongside upstream FID decisions, since midstream readiness — not upstream resource — is now the binding constraint.</w:t>
      </w:r>
    </w:p>
    <w:p w14:paraId="09DA2893" w14:textId="77777777" w:rsidR="009B7D1C" w:rsidRPr="00FC1B32" w:rsidRDefault="00000000" w:rsidP="00FC1B32">
      <w:pPr>
        <w:spacing w:line="360" w:lineRule="auto"/>
        <w:jc w:val="both"/>
        <w:rPr>
          <w:sz w:val="24"/>
          <w:szCs w:val="24"/>
        </w:rPr>
      </w:pPr>
      <w:r w:rsidRPr="00FC1B32">
        <w:rPr>
          <w:rFonts w:eastAsia="Calibri"/>
          <w:sz w:val="24"/>
          <w:szCs w:val="24"/>
        </w:rPr>
        <w:t>For Investors</w:t>
      </w:r>
    </w:p>
    <w:p w14:paraId="11533CAA" w14:textId="77777777" w:rsidR="009B7D1C" w:rsidRPr="00FC1B32" w:rsidRDefault="00000000" w:rsidP="00FC1B32">
      <w:pPr>
        <w:pStyle w:val="ListParagraph"/>
        <w:numPr>
          <w:ilvl w:val="0"/>
          <w:numId w:val="10"/>
        </w:numPr>
        <w:spacing w:line="360" w:lineRule="auto"/>
        <w:jc w:val="both"/>
        <w:rPr>
          <w:sz w:val="24"/>
          <w:szCs w:val="24"/>
        </w:rPr>
      </w:pPr>
      <w:r w:rsidRPr="00FC1B32">
        <w:rPr>
          <w:rFonts w:eastAsia="Calibri"/>
          <w:sz w:val="24"/>
          <w:szCs w:val="24"/>
        </w:rPr>
        <w:t xml:space="preserve">Treat </w:t>
      </w:r>
      <w:proofErr w:type="spellStart"/>
      <w:r w:rsidRPr="00FC1B32">
        <w:rPr>
          <w:rFonts w:eastAsia="Calibri"/>
          <w:sz w:val="24"/>
          <w:szCs w:val="24"/>
        </w:rPr>
        <w:t>Yakaar</w:t>
      </w:r>
      <w:proofErr w:type="spellEnd"/>
      <w:r w:rsidRPr="00FC1B32">
        <w:rPr>
          <w:rFonts w:eastAsia="Calibri"/>
          <w:sz w:val="24"/>
          <w:szCs w:val="24"/>
        </w:rPr>
        <w:t>-Teranga as a structurally different opportunity from GTA: viable entry likely requires accepting domestic-offtake-weighted economics and either co-investing in midstream infrastructure or structuring returns around long-tenor (15–20-year) domestic offtake contracts rather than spot-linked LNG export economics.</w:t>
      </w:r>
    </w:p>
    <w:p w14:paraId="414AEE25" w14:textId="77777777" w:rsidR="009B7D1C" w:rsidRPr="00FC1B32" w:rsidRDefault="00000000" w:rsidP="00FC1B32">
      <w:pPr>
        <w:pStyle w:val="ListParagraph"/>
        <w:numPr>
          <w:ilvl w:val="0"/>
          <w:numId w:val="10"/>
        </w:numPr>
        <w:spacing w:line="360" w:lineRule="auto"/>
        <w:jc w:val="both"/>
        <w:rPr>
          <w:sz w:val="24"/>
          <w:szCs w:val="24"/>
        </w:rPr>
      </w:pPr>
      <w:r w:rsidRPr="00FC1B32">
        <w:rPr>
          <w:rFonts w:eastAsia="Calibri"/>
          <w:sz w:val="24"/>
          <w:szCs w:val="24"/>
        </w:rPr>
        <w:t>Evaluate FLNG/midstream investment (following the Golar/</w:t>
      </w:r>
      <w:proofErr w:type="spellStart"/>
      <w:r w:rsidRPr="00FC1B32">
        <w:rPr>
          <w:rFonts w:eastAsia="Calibri"/>
          <w:sz w:val="24"/>
          <w:szCs w:val="24"/>
        </w:rPr>
        <w:t>Gimi</w:t>
      </w:r>
      <w:proofErr w:type="spellEnd"/>
      <w:r w:rsidRPr="00FC1B32">
        <w:rPr>
          <w:rFonts w:eastAsia="Calibri"/>
          <w:sz w:val="24"/>
          <w:szCs w:val="24"/>
        </w:rPr>
        <w:t xml:space="preserve"> model) as a distinct, potentially more bankable entry point than upstream equity, given the demonstrated lender appetite for asset-backed, charter-secured floating LNG financing.</w:t>
      </w:r>
    </w:p>
    <w:p w14:paraId="729ED79B" w14:textId="77777777" w:rsidR="009B7D1C" w:rsidRPr="00FC1B32" w:rsidRDefault="00000000" w:rsidP="00FC1B32">
      <w:pPr>
        <w:spacing w:line="360" w:lineRule="auto"/>
        <w:jc w:val="both"/>
        <w:rPr>
          <w:sz w:val="24"/>
          <w:szCs w:val="24"/>
        </w:rPr>
      </w:pPr>
      <w:r w:rsidRPr="00FC1B32">
        <w:rPr>
          <w:rFonts w:eastAsia="Calibri"/>
          <w:sz w:val="24"/>
          <w:szCs w:val="24"/>
        </w:rPr>
        <w:t>For Industry Stakeholders</w:t>
      </w:r>
    </w:p>
    <w:p w14:paraId="52C2512A" w14:textId="77777777" w:rsidR="009B7D1C" w:rsidRPr="00FC1B32" w:rsidRDefault="00000000" w:rsidP="00FC1B32">
      <w:pPr>
        <w:pStyle w:val="ListParagraph"/>
        <w:numPr>
          <w:ilvl w:val="0"/>
          <w:numId w:val="10"/>
        </w:numPr>
        <w:spacing w:line="360" w:lineRule="auto"/>
        <w:jc w:val="both"/>
        <w:rPr>
          <w:sz w:val="24"/>
          <w:szCs w:val="24"/>
        </w:rPr>
      </w:pPr>
      <w:r w:rsidRPr="00FC1B32">
        <w:rPr>
          <w:rFonts w:eastAsia="Calibri"/>
          <w:sz w:val="24"/>
          <w:szCs w:val="24"/>
        </w:rPr>
        <w:t>Position technical and commercial offerings around debottlenecking and efficiency gains at GTA, which the partners have flagged as a lower-cost route to incremental capacity than a full Phase 2 sanction.</w:t>
      </w:r>
    </w:p>
    <w:p w14:paraId="03B09BD7" w14:textId="77777777" w:rsidR="009B7D1C" w:rsidRPr="00FC1B32" w:rsidRDefault="00000000" w:rsidP="00FC1B32">
      <w:pPr>
        <w:pStyle w:val="ListParagraph"/>
        <w:numPr>
          <w:ilvl w:val="0"/>
          <w:numId w:val="10"/>
        </w:numPr>
        <w:spacing w:line="360" w:lineRule="auto"/>
        <w:jc w:val="both"/>
        <w:rPr>
          <w:sz w:val="24"/>
          <w:szCs w:val="24"/>
        </w:rPr>
      </w:pPr>
      <w:r w:rsidRPr="00FC1B32">
        <w:rPr>
          <w:rFonts w:eastAsia="Calibri"/>
          <w:sz w:val="24"/>
          <w:szCs w:val="24"/>
        </w:rPr>
        <w:t xml:space="preserve">Monitor the </w:t>
      </w:r>
      <w:proofErr w:type="spellStart"/>
      <w:r w:rsidRPr="00FC1B32">
        <w:rPr>
          <w:rFonts w:eastAsia="Calibri"/>
          <w:sz w:val="24"/>
          <w:szCs w:val="24"/>
        </w:rPr>
        <w:t>BirAllah</w:t>
      </w:r>
      <w:proofErr w:type="spellEnd"/>
      <w:r w:rsidRPr="00FC1B32">
        <w:rPr>
          <w:rFonts w:eastAsia="Calibri"/>
          <w:sz w:val="24"/>
          <w:szCs w:val="24"/>
        </w:rPr>
        <w:t xml:space="preserve"> precedent in Mauritania closely as a leading indicator for how partner-sourcing difficulties might play out at </w:t>
      </w:r>
      <w:proofErr w:type="spellStart"/>
      <w:r w:rsidRPr="00FC1B32">
        <w:rPr>
          <w:rFonts w:eastAsia="Calibri"/>
          <w:sz w:val="24"/>
          <w:szCs w:val="24"/>
        </w:rPr>
        <w:t>Yakaar</w:t>
      </w:r>
      <w:proofErr w:type="spellEnd"/>
      <w:r w:rsidRPr="00FC1B32">
        <w:rPr>
          <w:rFonts w:eastAsia="Calibri"/>
          <w:sz w:val="24"/>
          <w:szCs w:val="24"/>
        </w:rPr>
        <w:t>-Teranga, given the shared basin geology and now-similar domestic-priority policy stance in both countries.</w:t>
      </w:r>
    </w:p>
    <w:p w14:paraId="14BC7D4B" w14:textId="2139A314" w:rsidR="009B7D1C" w:rsidRPr="003E7D75" w:rsidRDefault="009B7D1C" w:rsidP="003E7D75">
      <w:pPr>
        <w:spacing w:line="360" w:lineRule="auto"/>
        <w:jc w:val="both"/>
        <w:rPr>
          <w:sz w:val="24"/>
          <w:szCs w:val="24"/>
        </w:rPr>
      </w:pPr>
    </w:p>
    <w:sectPr w:rsidR="009B7D1C" w:rsidRPr="003E7D75" w:rsidSect="003E7D75">
      <w:footerReference w:type="default" r:id="rId7"/>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A37A1D" w14:textId="77777777" w:rsidR="005178C9" w:rsidRDefault="005178C9">
      <w:r>
        <w:separator/>
      </w:r>
    </w:p>
  </w:endnote>
  <w:endnote w:type="continuationSeparator" w:id="0">
    <w:p w14:paraId="03A00CB1" w14:textId="77777777" w:rsidR="005178C9" w:rsidRDefault="005178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F6C43" w14:textId="5E535CF9" w:rsidR="009B7D1C" w:rsidRDefault="009B7D1C">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6CF262" w14:textId="77777777" w:rsidR="005178C9" w:rsidRDefault="005178C9">
      <w:r>
        <w:separator/>
      </w:r>
    </w:p>
  </w:footnote>
  <w:footnote w:type="continuationSeparator" w:id="0">
    <w:p w14:paraId="65FA602E" w14:textId="77777777" w:rsidR="005178C9" w:rsidRDefault="005178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2585E"/>
    <w:multiLevelType w:val="hybridMultilevel"/>
    <w:tmpl w:val="B9C8B2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DF1926"/>
    <w:multiLevelType w:val="hybridMultilevel"/>
    <w:tmpl w:val="F6281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4065BB"/>
    <w:multiLevelType w:val="hybridMultilevel"/>
    <w:tmpl w:val="023CFF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4D7630"/>
    <w:multiLevelType w:val="hybridMultilevel"/>
    <w:tmpl w:val="9C366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C764B2"/>
    <w:multiLevelType w:val="hybridMultilevel"/>
    <w:tmpl w:val="92B6B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8F219E"/>
    <w:multiLevelType w:val="hybridMultilevel"/>
    <w:tmpl w:val="B784D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8874843"/>
    <w:multiLevelType w:val="hybridMultilevel"/>
    <w:tmpl w:val="D6982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FE0B5C"/>
    <w:multiLevelType w:val="hybridMultilevel"/>
    <w:tmpl w:val="FFB8BED8"/>
    <w:lvl w:ilvl="0" w:tplc="090A31BE">
      <w:start w:val="1"/>
      <w:numFmt w:val="bullet"/>
      <w:lvlText w:val="●"/>
      <w:lvlJc w:val="left"/>
      <w:pPr>
        <w:ind w:left="720" w:hanging="360"/>
      </w:pPr>
    </w:lvl>
    <w:lvl w:ilvl="1" w:tplc="B99E6E88">
      <w:start w:val="1"/>
      <w:numFmt w:val="bullet"/>
      <w:lvlText w:val="○"/>
      <w:lvlJc w:val="left"/>
      <w:pPr>
        <w:ind w:left="1440" w:hanging="360"/>
      </w:pPr>
    </w:lvl>
    <w:lvl w:ilvl="2" w:tplc="E34C7BEC">
      <w:start w:val="1"/>
      <w:numFmt w:val="bullet"/>
      <w:lvlText w:val="■"/>
      <w:lvlJc w:val="left"/>
      <w:pPr>
        <w:ind w:left="2160" w:hanging="360"/>
      </w:pPr>
    </w:lvl>
    <w:lvl w:ilvl="3" w:tplc="6CC2CE58">
      <w:start w:val="1"/>
      <w:numFmt w:val="bullet"/>
      <w:lvlText w:val="●"/>
      <w:lvlJc w:val="left"/>
      <w:pPr>
        <w:ind w:left="2880" w:hanging="360"/>
      </w:pPr>
    </w:lvl>
    <w:lvl w:ilvl="4" w:tplc="9CEC9CC2">
      <w:start w:val="1"/>
      <w:numFmt w:val="bullet"/>
      <w:lvlText w:val="○"/>
      <w:lvlJc w:val="left"/>
      <w:pPr>
        <w:ind w:left="3600" w:hanging="360"/>
      </w:pPr>
    </w:lvl>
    <w:lvl w:ilvl="5" w:tplc="499EBBDA">
      <w:start w:val="1"/>
      <w:numFmt w:val="bullet"/>
      <w:lvlText w:val="■"/>
      <w:lvlJc w:val="left"/>
      <w:pPr>
        <w:ind w:left="4320" w:hanging="360"/>
      </w:pPr>
    </w:lvl>
    <w:lvl w:ilvl="6" w:tplc="0C0A4B42">
      <w:start w:val="1"/>
      <w:numFmt w:val="bullet"/>
      <w:lvlText w:val="●"/>
      <w:lvlJc w:val="left"/>
      <w:pPr>
        <w:ind w:left="5040" w:hanging="360"/>
      </w:pPr>
    </w:lvl>
    <w:lvl w:ilvl="7" w:tplc="9CC84ADC">
      <w:start w:val="1"/>
      <w:numFmt w:val="bullet"/>
      <w:lvlText w:val="●"/>
      <w:lvlJc w:val="left"/>
      <w:pPr>
        <w:ind w:left="5760" w:hanging="360"/>
      </w:pPr>
    </w:lvl>
    <w:lvl w:ilvl="8" w:tplc="3F40F2FC">
      <w:start w:val="1"/>
      <w:numFmt w:val="bullet"/>
      <w:lvlText w:val="●"/>
      <w:lvlJc w:val="left"/>
      <w:pPr>
        <w:ind w:left="6480" w:hanging="360"/>
      </w:pPr>
    </w:lvl>
  </w:abstractNum>
  <w:abstractNum w:abstractNumId="8" w15:restartNumberingAfterBreak="0">
    <w:nsid w:val="5AD85C46"/>
    <w:multiLevelType w:val="hybridMultilevel"/>
    <w:tmpl w:val="68B448EC"/>
    <w:lvl w:ilvl="0" w:tplc="0EF4EB9C">
      <w:start w:val="1"/>
      <w:numFmt w:val="bullet"/>
      <w:lvlText w:val="•"/>
      <w:lvlJc w:val="left"/>
      <w:pPr>
        <w:ind w:left="460" w:hanging="260"/>
      </w:pPr>
    </w:lvl>
    <w:lvl w:ilvl="1" w:tplc="6BDAF132">
      <w:start w:val="1"/>
      <w:numFmt w:val="bullet"/>
      <w:lvlText w:val="◦"/>
      <w:lvlJc w:val="left"/>
      <w:pPr>
        <w:ind w:left="820" w:hanging="260"/>
      </w:pPr>
    </w:lvl>
    <w:lvl w:ilvl="2" w:tplc="C3427242">
      <w:numFmt w:val="decimal"/>
      <w:lvlText w:val=""/>
      <w:lvlJc w:val="left"/>
    </w:lvl>
    <w:lvl w:ilvl="3" w:tplc="AA283D7E">
      <w:numFmt w:val="decimal"/>
      <w:lvlText w:val=""/>
      <w:lvlJc w:val="left"/>
    </w:lvl>
    <w:lvl w:ilvl="4" w:tplc="722C82FC">
      <w:numFmt w:val="decimal"/>
      <w:lvlText w:val=""/>
      <w:lvlJc w:val="left"/>
    </w:lvl>
    <w:lvl w:ilvl="5" w:tplc="6EE84994">
      <w:numFmt w:val="decimal"/>
      <w:lvlText w:val=""/>
      <w:lvlJc w:val="left"/>
    </w:lvl>
    <w:lvl w:ilvl="6" w:tplc="1396CE50">
      <w:numFmt w:val="decimal"/>
      <w:lvlText w:val=""/>
      <w:lvlJc w:val="left"/>
    </w:lvl>
    <w:lvl w:ilvl="7" w:tplc="56FEAA06">
      <w:numFmt w:val="decimal"/>
      <w:lvlText w:val=""/>
      <w:lvlJc w:val="left"/>
    </w:lvl>
    <w:lvl w:ilvl="8" w:tplc="53508CB2">
      <w:numFmt w:val="decimal"/>
      <w:lvlText w:val=""/>
      <w:lvlJc w:val="left"/>
    </w:lvl>
  </w:abstractNum>
  <w:abstractNum w:abstractNumId="9" w15:restartNumberingAfterBreak="0">
    <w:nsid w:val="63EB7703"/>
    <w:multiLevelType w:val="hybridMultilevel"/>
    <w:tmpl w:val="F8E63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08333436">
    <w:abstractNumId w:val="7"/>
    <w:lvlOverride w:ilvl="0">
      <w:startOverride w:val="1"/>
    </w:lvlOverride>
  </w:num>
  <w:num w:numId="2" w16cid:durableId="2111047072">
    <w:abstractNumId w:val="8"/>
    <w:lvlOverride w:ilvl="0">
      <w:startOverride w:val="1"/>
    </w:lvlOverride>
  </w:num>
  <w:num w:numId="3" w16cid:durableId="550116362">
    <w:abstractNumId w:val="9"/>
  </w:num>
  <w:num w:numId="4" w16cid:durableId="1848204263">
    <w:abstractNumId w:val="0"/>
  </w:num>
  <w:num w:numId="5" w16cid:durableId="1540165740">
    <w:abstractNumId w:val="6"/>
  </w:num>
  <w:num w:numId="6" w16cid:durableId="963120749">
    <w:abstractNumId w:val="5"/>
  </w:num>
  <w:num w:numId="7" w16cid:durableId="2099518726">
    <w:abstractNumId w:val="4"/>
  </w:num>
  <w:num w:numId="8" w16cid:durableId="2141923870">
    <w:abstractNumId w:val="1"/>
  </w:num>
  <w:num w:numId="9" w16cid:durableId="141393675">
    <w:abstractNumId w:val="2"/>
  </w:num>
  <w:num w:numId="10" w16cid:durableId="15755819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7D1C"/>
    <w:rsid w:val="003E7D75"/>
    <w:rsid w:val="005178C9"/>
    <w:rsid w:val="009B7BC9"/>
    <w:rsid w:val="009B7D1C"/>
    <w:rsid w:val="00FC1B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05EDB2"/>
  <w15:docId w15:val="{A509F791-C4D7-41F3-8251-5C6A76C79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3E7D75"/>
    <w:pPr>
      <w:tabs>
        <w:tab w:val="center" w:pos="4680"/>
        <w:tab w:val="right" w:pos="9360"/>
      </w:tabs>
    </w:pPr>
  </w:style>
  <w:style w:type="character" w:customStyle="1" w:styleId="HeaderChar">
    <w:name w:val="Header Char"/>
    <w:basedOn w:val="DefaultParagraphFont"/>
    <w:link w:val="Header"/>
    <w:uiPriority w:val="99"/>
    <w:rsid w:val="003E7D75"/>
  </w:style>
  <w:style w:type="paragraph" w:styleId="Footer">
    <w:name w:val="footer"/>
    <w:basedOn w:val="Normal"/>
    <w:link w:val="FooterChar"/>
    <w:uiPriority w:val="99"/>
    <w:unhideWhenUsed/>
    <w:rsid w:val="003E7D75"/>
    <w:pPr>
      <w:tabs>
        <w:tab w:val="center" w:pos="4680"/>
        <w:tab w:val="right" w:pos="9360"/>
      </w:tabs>
    </w:pPr>
  </w:style>
  <w:style w:type="character" w:customStyle="1" w:styleId="FooterChar">
    <w:name w:val="Footer Char"/>
    <w:basedOn w:val="DefaultParagraphFont"/>
    <w:link w:val="Footer"/>
    <w:uiPriority w:val="99"/>
    <w:rsid w:val="003E7D75"/>
  </w:style>
  <w:style w:type="table" w:styleId="TableGrid">
    <w:name w:val="Table Grid"/>
    <w:basedOn w:val="TableNormal"/>
    <w:uiPriority w:val="39"/>
    <w:rsid w:val="003E7D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11</Pages>
  <Words>3188</Words>
  <Characters>18175</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Administrator</cp:lastModifiedBy>
  <cp:revision>2</cp:revision>
  <dcterms:created xsi:type="dcterms:W3CDTF">2026-08-04T07:56:00Z</dcterms:created>
  <dcterms:modified xsi:type="dcterms:W3CDTF">2026-08-04T12:12:00Z</dcterms:modified>
</cp:coreProperties>
</file>