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entury Gothic" w:cs="Century Gothic" w:eastAsia="Century Gothic" w:hAnsi="Century Gothic"/>
          <w:b w:val="1"/>
          <w:bCs w:val="1"/>
          <w:sz w:val="42"/>
          <w:szCs w:val="42"/>
        </w:rPr>
      </w:pPr>
      <w:r w:rsidDel="00000000" w:rsidR="00000000" w:rsidRPr="00000000">
        <w:rPr>
          <w:rFonts w:ascii="Century Gothic" w:cs="Century Gothic" w:eastAsia="Century Gothic" w:hAnsi="Century Gothic"/>
          <w:b w:val="1"/>
          <w:bCs w:val="1"/>
          <w:sz w:val="42"/>
          <w:szCs w:val="42"/>
          <w:rtl w:val="0"/>
        </w:rPr>
        <w:t xml:space="preserve">Sierra Leone's Frontier Energy Strategy: De-Risking the Basin and Orchestrating Regional Monetization Platforms</w:t>
      </w:r>
    </w:p>
    <w:p w:rsidR="00000000" w:rsidDel="00000000" w:rsidP="00000000" w:rsidRDefault="00000000" w:rsidRPr="00000000" w14:paraId="00000002">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3">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sz w:val="24"/>
          <w:szCs w:val="24"/>
          <w:rtl w:val="0"/>
        </w:rPr>
        <w:t xml:space="preserve">Executive Summary</w:t>
      </w:r>
      <w:r w:rsidDel="00000000" w:rsidR="00000000" w:rsidRPr="00000000">
        <w:rPr>
          <w:rFonts w:ascii="Century Gothic" w:cs="Century Gothic" w:eastAsia="Century Gothic" w:hAnsi="Century Gothic"/>
          <w:b w:val="1"/>
          <w:bCs w:val="1"/>
          <w:rtl w:val="0"/>
        </w:rPr>
        <w:t xml:space="preserve"> </w:t>
      </w:r>
    </w:p>
    <w:p w:rsidR="00000000" w:rsidDel="00000000" w:rsidP="00000000" w:rsidRDefault="00000000" w:rsidRPr="00000000" w14:paraId="00000004">
      <w:pPr>
        <w:spacing w:after="240" w:befor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Sierra Leone is pursuing a data-led frontier petroleum strategy designed to reduce geological uncertainty before committing to large-scale exploration and development. The approach combines advanced seismic reprocessing, reconnaissance agreements with international operators, targeted petroleum licensing and efforts to improve the investment environment. Eni's five-block reconnaissance agreement, Shell's 18-block entry and Marginal Energy's more than $225 million exploration commitment illustrate the renewed interest in the basin.</w:t>
      </w:r>
    </w:p>
    <w:p w:rsidR="00000000" w:rsidDel="00000000" w:rsidP="00000000" w:rsidRDefault="00000000" w:rsidRPr="00000000" w14:paraId="00000005">
      <w:pPr>
        <w:spacing w:after="240" w:befor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 the same time, Sierra Leone is developing potential downstream and regional demand anchors. The 108.4 MW Nant Power project, backed by DFC and EBID, is expected to provide a significant new source of baseload electricity and is designed around LPG/LNG fuel supply. However, the plant should currently be viewed as a potential future domestic-gas offtake anchor rather than evidence of an established domestic gas market.</w:t>
      </w:r>
    </w:p>
    <w:p w:rsidR="00000000" w:rsidDel="00000000" w:rsidP="00000000" w:rsidRDefault="00000000" w:rsidRPr="00000000" w14:paraId="00000006">
      <w:pPr>
        <w:spacing w:after="240" w:befor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Regional infrastructure provides additional optionality. Sierra Leone's participation in the proposed African Atlantic Gas Pipeline could position the country within a future regional gas network, while the CLSG interconnector creates an avenue for electricity trade. Neither should yet be treated as a confirmed domestic gas monetization route.</w:t>
      </w:r>
    </w:p>
    <w:p w:rsidR="00000000" w:rsidDel="00000000" w:rsidP="00000000" w:rsidRDefault="00000000" w:rsidRPr="00000000" w14:paraId="00000007">
      <w:pPr>
        <w:spacing w:after="240" w:befor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commercial proposition therefore remains contingent on exploration success. Sierra Leone has historically drilled eight wells and recorded four non-commercial discoveries, meaning the current strategy is fundamentally a basin de-risking exercise rather than a proven gas commercialization programme</w:t>
      </w:r>
    </w:p>
    <w:p w:rsidR="00000000" w:rsidDel="00000000" w:rsidP="00000000" w:rsidRDefault="00000000" w:rsidRPr="00000000" w14:paraId="00000008">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9">
      <w:pPr>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DE-RISKING MECHANICS</w:t>
      </w:r>
      <w:r w:rsidDel="00000000" w:rsidR="00000000" w:rsidRPr="00000000">
        <w:rPr>
          <w:rtl w:val="0"/>
        </w:rPr>
      </w:r>
    </w:p>
    <w:p w:rsidR="00000000" w:rsidDel="00000000" w:rsidP="00000000" w:rsidRDefault="00000000" w:rsidRPr="00000000" w14:paraId="0000000A">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Rather than opening the basin directly to production-sharing bids, PDSL is using a reconnaissance model. The reconnaissance model allows international operators to undertake technical evaluation and geological/geophysical work before committing to full exploration programmes, thereby reducing the amount of geological uncertainty that prospective investors must absorb at the next licensing stage.  This shifts exploration risk capital onto the operator while preserving the government's ability to design a more competitive, better-informed bid round once results are in hand.  </w:t>
      </w:r>
    </w:p>
    <w:p w:rsidR="00000000" w:rsidDel="00000000" w:rsidP="00000000" w:rsidRDefault="00000000" w:rsidRPr="00000000" w14:paraId="0000000B">
      <w:pPr>
        <w:jc w:val="both"/>
        <w:rPr>
          <w:rFonts w:ascii="Century Gothic" w:cs="Century Gothic" w:eastAsia="Century Gothic" w:hAnsi="Century Gothic"/>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Pillar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Objective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Key Deliverable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Data &amp; Seismic Enhancement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Reduce geological uncertainty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TGS Fusion 3D, new 3D acquisition, independent basin studies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Regulatory &amp; Fiscal Reform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Compress investment timelines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30–40 day approvals, predictable terms, streamlined ratification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Strategic partnership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Validate basin potential with credible operators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Roboto" w:cs="Roboto" w:eastAsia="Roboto" w:hAnsi="Roboto"/>
                <w:sz w:val="21"/>
                <w:szCs w:val="21"/>
                <w:highlight w:val="white"/>
                <w:rtl w:val="0"/>
              </w:rPr>
              <w:t xml:space="preserve">Shell (18 blocks), Eni (5 blocks), Marginal Energy ($225M)</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Regional monetisation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Create domestic &amp; regional gas offtake pathways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Roboto" w:cs="Roboto" w:eastAsia="Roboto" w:hAnsi="Roboto"/>
                <w:sz w:val="21"/>
                <w:szCs w:val="21"/>
                <w:rtl w:val="0"/>
              </w:rPr>
              <w:t xml:space="preserve">Nant Power 108 MW CCGT, AAGP transit integration</w:t>
            </w:r>
            <w:r w:rsidDel="00000000" w:rsidR="00000000" w:rsidRPr="00000000">
              <w:rPr>
                <w:rFonts w:ascii="Century Gothic" w:cs="Century Gothic" w:eastAsia="Century Gothic" w:hAnsi="Century Gothic"/>
                <w:rtl w:val="0"/>
              </w:rPr>
              <w:t xml:space="preserve"> </w:t>
            </w:r>
          </w:p>
        </w:tc>
      </w:tr>
    </w:tbl>
    <w:p w:rsidR="00000000" w:rsidDel="00000000" w:rsidP="00000000" w:rsidRDefault="00000000" w:rsidRPr="00000000" w14:paraId="0000001B">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C">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FISCAL AND NATIONAL PARTICIPATION FRAMEWORK</w:t>
      </w:r>
    </w:p>
    <w:p w:rsidR="00000000" w:rsidDel="00000000" w:rsidP="00000000" w:rsidRDefault="00000000" w:rsidRPr="00000000" w14:paraId="0000001D">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terms disclosed across the 2025–26 deal cycle establish a consistent fiscal template that will likely anchor the forthcoming sixth licensing round. The government has also been pursuing institutional reforms, including plans for a stronger state participation structure in the petroleum sector , which will hold a mandatory carried interest across exploration licenses.</w:t>
      </w:r>
    </w:p>
    <w:p w:rsidR="00000000" w:rsidDel="00000000" w:rsidP="00000000" w:rsidRDefault="00000000" w:rsidRPr="00000000" w14:paraId="0000001E">
      <w:pPr>
        <w:jc w:val="both"/>
        <w:rPr>
          <w:rFonts w:ascii="Century Gothic" w:cs="Century Gothic" w:eastAsia="Century Gothic" w:hAnsi="Century Gothic"/>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35"/>
        <w:gridCol w:w="2805"/>
        <w:gridCol w:w="3120"/>
        <w:tblGridChange w:id="0">
          <w:tblGrid>
            <w:gridCol w:w="3435"/>
            <w:gridCol w:w="2805"/>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Fiscal/Participation Terms</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Oil</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Gas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State carried interest (exploration/development)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 least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 least 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Royalty 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Additional paid-up option post-production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Up to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Up to 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Mandatory NOC carried interest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 (all exploration licenses)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 (all exploration licenses)</w:t>
            </w:r>
          </w:p>
        </w:tc>
      </w:tr>
    </w:tbl>
    <w:p w:rsidR="00000000" w:rsidDel="00000000" w:rsidP="00000000" w:rsidRDefault="00000000" w:rsidRPr="00000000" w14:paraId="0000002E">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lower carried interest and royalty rate applied to gas relative to oil (5% vs. 10% on both counts) is a policy signal in itself: it lowers the effective government take on gas discoveries relative to oil, consistent with a strategy of encouraging gas-directed exploration and monetization even where gas volumes are harder to commercialize than liquids in a frontier, infrastructure-poor setting.</w:t>
      </w:r>
    </w:p>
    <w:p w:rsidR="00000000" w:rsidDel="00000000" w:rsidP="00000000" w:rsidRDefault="00000000" w:rsidRPr="00000000" w14:paraId="00000030">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1">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NANT GAS-TO-POWER PLATFORM</w:t>
      </w:r>
    </w:p>
    <w:p w:rsidR="00000000" w:rsidDel="00000000" w:rsidP="00000000" w:rsidRDefault="00000000" w:rsidRPr="00000000" w14:paraId="00000032">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single most consequential piece of Sierra Leone's gas monetization architecture is the Nant (Western Area Power Generation) project in Freetown. Developed by Anergi Group and TCQ Power under the Nant Power banner, the plant is sized at 108.4 MW across public disclosures, and is expected to nearly double the country's installed generation capacity when it reaches full operation around 2027. The US International Development Finance Corporation (DFC) approved $412 million in financing and political risk insurance for the project, including a loan of up to $292 million.</w:t>
      </w:r>
    </w:p>
    <w:p w:rsidR="00000000" w:rsidDel="00000000" w:rsidP="00000000" w:rsidRDefault="00000000" w:rsidRPr="00000000" w14:paraId="00000033">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Critically, Nant's developer has structured the project to avoid a dependency on offshore gas supply that does not yet exist. In its own account, the project prioritized reaching first power using propane as a bridging fuel, deliberately removing the LNG-availability bottleneck from the project's critical path, and only then expanding the platform toward LNG once bankability and construction momentum were secured. </w:t>
      </w:r>
    </w:p>
    <w:p w:rsidR="00000000" w:rsidDel="00000000" w:rsidP="00000000" w:rsidRDefault="00000000" w:rsidRPr="00000000" w14:paraId="00000035">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6">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separately DFC-backed LNG import terminal, using US-sourced gas, is intended to firm up fuel supply ahead of any domestic offshore production reaching the market. This sequencing, propane bridge → LNG import → (potential) domestic offshore gas → regional export, is the practical monetization pathway PDSL and its power-sector counterparts are executing today, independent of exploration outcomes.</w:t>
      </w:r>
    </w:p>
    <w:p w:rsidR="00000000" w:rsidDel="00000000" w:rsidP="00000000" w:rsidRDefault="00000000" w:rsidRPr="00000000" w14:paraId="00000037">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8">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Project Specifications</w:t>
      </w:r>
    </w:p>
    <w:p w:rsidR="00000000" w:rsidDel="00000000" w:rsidP="00000000" w:rsidRDefault="00000000" w:rsidRPr="00000000" w14:paraId="00000039">
      <w:pPr>
        <w:spacing w:before="160" w:line="240" w:lineRule="auto"/>
        <w:jc w:val="both"/>
        <w:rPr>
          <w:rFonts w:ascii="Century Gothic" w:cs="Century Gothic" w:eastAsia="Century Gothic" w:hAnsi="Century Gothic"/>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Parameters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Details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Capacity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108.4 MW (Phase 1); 40.1 MW (Phase 2, planned)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Technology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Siemens Combined Cycle Gas Turbine (CCGT)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Fuel strategy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LPG (propane) initial → LNG transition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PPA 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22 years with EDSA &amp; Government of Sierra Leone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COD target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Q3 2027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Freetown supply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~60% of electricity demand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Developer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CECA SL Generation Ltd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EPC Contractor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Shapoorji Pallonji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Total investment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$417 million</w:t>
            </w:r>
          </w:p>
        </w:tc>
      </w:tr>
    </w:tbl>
    <w:p w:rsidR="00000000" w:rsidDel="00000000" w:rsidP="00000000" w:rsidRDefault="00000000" w:rsidRPr="00000000" w14:paraId="0000004E">
      <w:pPr>
        <w:spacing w:before="160" w:line="24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F">
      <w:pPr>
        <w:spacing w:before="160" w:line="24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REGIONAL MONETIZATION PLATFORMS</w:t>
      </w:r>
    </w:p>
    <w:p w:rsidR="00000000" w:rsidDel="00000000" w:rsidP="00000000" w:rsidRDefault="00000000" w:rsidRPr="00000000" w14:paraId="00000050">
      <w:pPr>
        <w:spacing w:before="16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Sierra Leone, three monetization platforms are being orchestrated in parallel rather than sequentially:</w:t>
      </w:r>
    </w:p>
    <w:p w:rsidR="00000000" w:rsidDel="00000000" w:rsidP="00000000" w:rsidRDefault="00000000" w:rsidRPr="00000000" w14:paraId="00000051">
      <w:pPr>
        <w:spacing w:before="160" w:line="240" w:lineRule="auto"/>
        <w:jc w:val="both"/>
        <w:rPr>
          <w:rFonts w:ascii="Century Gothic" w:cs="Century Gothic" w:eastAsia="Century Gothic" w:hAnsi="Century Gothic"/>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Platform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Anchor Project</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Scale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Status</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Strategic Role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Domestic gas-to-power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Nant / Western Area plant, Freetown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105–126.5 MW</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Under construction / financial close reached; targeted online 2027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Primary near-term platform; de-risks demand ahead of supply certainty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LNG import bridge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DFC-backed import terminal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Not disclosed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Financing secured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Firms up fuel supply and demonstrates bankable offtake structure to future domestic producers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Regional grid export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CLSG 225kV interconnector (Côte d'Ivoire–Liberia–Sierra Leone–Guinea)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Regional interconnection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Operational, expanding regional trade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Longer-run optionality to export power (not raw gas) into neighboring deficit markets</w:t>
            </w:r>
          </w:p>
        </w:tc>
      </w:tr>
    </w:tbl>
    <w:p w:rsidR="00000000" w:rsidDel="00000000" w:rsidP="00000000" w:rsidRDefault="00000000" w:rsidRPr="00000000" w14:paraId="00000066">
      <w:pPr>
        <w:spacing w:before="160" w:line="24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7">
      <w:pPr>
        <w:spacing w:before="160" w:line="24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RISK</w:t>
      </w:r>
    </w:p>
    <w:p w:rsidR="00000000" w:rsidDel="00000000" w:rsidP="00000000" w:rsidRDefault="00000000" w:rsidRPr="00000000" w14:paraId="00000068">
      <w:pPr>
        <w:spacing w:before="160" w:line="240" w:lineRule="auto"/>
        <w:jc w:val="both"/>
        <w:rPr>
          <w:rFonts w:ascii="Century Gothic" w:cs="Century Gothic" w:eastAsia="Century Gothic" w:hAnsi="Century Gothic"/>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Risk Category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Description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Mitigation/Observed Response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Resource risk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independently audited gas reserves published; historical discoveries (4 of 8 wells) were non-commercial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Reconnaissance-first sequencing defers capital-intensive drilling until seismic re-interpretation is complete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Fiscal/regulatory execution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NOC still being finalized; sixth licensing round not yet launched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Fiscal template already disclosed and consistent across three 2025–26 deals, reducing negotiation uncertainty for new entrants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Power sector bankability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Utility financial fragility typical of low-electrification markets (36% national access as at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DFC political risk insurance and sovereign co-liability structures used in Nant PPA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Fuel-supply sequencing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Domestic gas-to-power depends on propane/LNG import bridge ahead of any offshore gas reaching market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Phased fuel strategy explicitly designed to decouple first power from offshore exploration timeline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Regional competition for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Guinea, Equatorial Guinea, Mauritania and Senegal are simultaneously courting the same pool of frontier operators (notably Eni)</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Differentiated positioning via ultra-deepwater acreage (Shell) and aggressive fiscal terms vs. peers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Governance/investment 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Sierra Leone's institutional capacity and transparency track record remain under continued scrutiny by investors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AfDB/MCC-supported governance programs; PDSL transparency messaging at international forums</w:t>
            </w:r>
          </w:p>
        </w:tc>
      </w:tr>
    </w:tbl>
    <w:p w:rsidR="00000000" w:rsidDel="00000000" w:rsidP="00000000" w:rsidRDefault="00000000" w:rsidRPr="00000000" w14:paraId="0000007E">
      <w:pPr>
        <w:spacing w:before="160" w:line="24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F">
      <w:pPr>
        <w:spacing w:before="16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OUTLOOK</w:t>
      </w:r>
      <w:r w:rsidDel="00000000" w:rsidR="00000000" w:rsidRPr="00000000">
        <w:rPr>
          <w:rtl w:val="0"/>
        </w:rPr>
      </w:r>
    </w:p>
    <w:p w:rsidR="00000000" w:rsidDel="00000000" w:rsidP="00000000" w:rsidRDefault="00000000" w:rsidRPr="00000000" w14:paraId="00000080">
      <w:pPr>
        <w:spacing w:before="16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Sierra Leone's frontier gas strategy over the next 12–24 months will be judged less on reserve bookings, which remain unlikely before the 2026 drilling campaign delivers results, and more on execution of the de-risking and monetization architecture already in motion. Two signposts merit close monitoring:</w:t>
      </w:r>
    </w:p>
    <w:p w:rsidR="00000000" w:rsidDel="00000000" w:rsidP="00000000" w:rsidRDefault="00000000" w:rsidRPr="00000000" w14:paraId="00000081">
      <w:pPr>
        <w:numPr>
          <w:ilvl w:val="0"/>
          <w:numId w:val="1"/>
        </w:numPr>
        <w:spacing w:before="160" w:line="240"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Sixth licensing round launch terms </w:t>
      </w:r>
    </w:p>
    <w:p w:rsidR="00000000" w:rsidDel="00000000" w:rsidP="00000000" w:rsidRDefault="00000000" w:rsidRPr="00000000" w14:paraId="00000082">
      <w:pPr>
        <w:spacing w:before="16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 see if PDSL preserves the 10%/5% carried-interest and royalty differential between oil and gas, and how aggressively it markets the newly reprocessed seismic to attract a fourth major operator beyond Eni, Shell and Marginal Energy.</w:t>
      </w:r>
    </w:p>
    <w:p w:rsidR="00000000" w:rsidDel="00000000" w:rsidP="00000000" w:rsidRDefault="00000000" w:rsidRPr="00000000" w14:paraId="00000083">
      <w:pPr>
        <w:numPr>
          <w:ilvl w:val="0"/>
          <w:numId w:val="2"/>
        </w:numPr>
        <w:spacing w:before="160" w:line="240" w:lineRule="auto"/>
        <w:ind w:left="720" w:hanging="360"/>
        <w:jc w:val="both"/>
        <w:rPr>
          <w:rFonts w:ascii="Times New Roman" w:cs="Times New Roman" w:eastAsia="Times New Roman" w:hAnsi="Times New Roman"/>
        </w:rPr>
      </w:pPr>
      <w:r w:rsidDel="00000000" w:rsidR="00000000" w:rsidRPr="00000000">
        <w:rPr>
          <w:rFonts w:ascii="Century Gothic" w:cs="Century Gothic" w:eastAsia="Century Gothic" w:hAnsi="Century Gothic"/>
          <w:b w:val="1"/>
          <w:bCs w:val="1"/>
          <w:rtl w:val="0"/>
        </w:rPr>
        <w:t xml:space="preserve">Nant/Western Area commissioning and fuel-transition milestones</w:t>
      </w: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84">
      <w:pPr>
        <w:spacing w:before="16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shift from propane to LNG-fired operation, and progress on the NOC's formal establishment, will indicate whether the domestic monetization platform is on track to absorb future offshore gas volumes, or whether Sierra Leone remains a power-import-dependent market even as its offshore acreage fills with international operators.</w:t>
      </w:r>
    </w:p>
    <w:p w:rsidR="00000000" w:rsidDel="00000000" w:rsidP="00000000" w:rsidRDefault="00000000" w:rsidRPr="00000000" w14:paraId="00000085">
      <w:pPr>
        <w:spacing w:before="160" w:line="240" w:lineRule="auto"/>
        <w:jc w:val="both"/>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